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rd20260716_pre14a.htm"/>
      <w:bookmarkStart w:id="1" w:name="ksfrd20260716_pre14a"/>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UNITED STATES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SCHEDULE 14A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Proxy Statement 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14(a) of the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Exchange Act of 1934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(Amendment No. </w:t>
      </w:r>
      <w:r>
        <w:rPr>
          <w:rFonts w:ascii="Times New Roman" w:hAnsi="Times New Roman"/>
          <w:caps w:val="false"/>
          <w:smallCaps w:val="false"/>
          <w:sz w:val="20"/>
        </w:rPr>
        <w:t>    </w:t>
      </w:r>
      <w:r>
        <w:rPr>
          <w:rFonts w:ascii="Times New Roman" w:hAnsi="Times New Roman"/>
          <w:b/>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the Registrant  ☒                              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hanging="260"/>
        <w:jc w:val="left"/>
        <w:rPr>
          <w:rFonts w:ascii="Times New Roman" w:hAnsi="Times New Roman"/>
          <w:caps w:val="false"/>
          <w:smallCaps w:val="false"/>
          <w:sz w:val="20"/>
        </w:rPr>
      </w:pPr>
      <w:r>
        <w:rPr>
          <w:rFonts w:ascii="Times New Roman" w:hAnsi="Times New Roman"/>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230"/>
        <w:gridCol w:w="669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Preliminary Proxy Statement</w:t>
            </w:r>
          </w:p>
        </w:tc>
      </w:tr>
      <w:tr>
        <w:trPr/>
        <w:tc>
          <w:tcPr>
            <w:tcW w:w="23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Confidential, for Use of the Commission Only</w:t>
            </w:r>
            <w:r>
              <w:rPr>
                <w:rFonts w:ascii="Times New Roman" w:hAnsi="Times New Roman"/>
                <w:caps w:val="false"/>
                <w:smallCaps w:val="false"/>
                <w:sz w:val="20"/>
              </w:rPr>
              <w:t> </w:t>
            </w:r>
            <w:r>
              <w:rPr>
                <w:rFonts w:ascii="Times New Roman" w:hAnsi="Times New Roman"/>
                <w:b/>
                <w:caps w:val="false"/>
                <w:smallCaps w:val="false"/>
                <w:sz w:val="20"/>
              </w:rPr>
              <w:t>(as permitted by Rule 14a-6(e)(2))</w:t>
            </w:r>
          </w:p>
        </w:tc>
      </w:tr>
      <w:tr>
        <w:trPr/>
        <w:tc>
          <w:tcPr>
            <w:tcW w:w="23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Definitive Proxy Statement</w:t>
            </w:r>
          </w:p>
        </w:tc>
      </w:tr>
      <w:tr>
        <w:trPr/>
        <w:tc>
          <w:tcPr>
            <w:tcW w:w="23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Definitive Additional Materials</w:t>
            </w:r>
          </w:p>
        </w:tc>
      </w:tr>
      <w:tr>
        <w:trPr/>
        <w:tc>
          <w:tcPr>
            <w:tcW w:w="23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FRIEDMAN INDUSTRIES, INCORPORATED </w:t>
      </w:r>
    </w:p>
    <w:p>
      <w:pPr>
        <w:pStyle w:val="TextBody"/>
        <w:bidi w:val="0"/>
        <w:spacing w:before="0" w:after="0"/>
        <w:ind w:left="260" w:right="0" w:hanging="260"/>
        <w:jc w:val="center"/>
        <w:rPr>
          <w:rFonts w:ascii="Times New Roman" w:hAnsi="Times New Roman"/>
          <w:b/>
          <w:caps w:val="false"/>
          <w:smallCaps w:val="false"/>
          <w:sz w:val="20"/>
        </w:rPr>
      </w:pPr>
      <w:r>
        <w:rPr>
          <w:rFonts w:ascii="Times New Roman" w:hAnsi="Times New Roman"/>
          <w:b/>
          <w:caps w:val="false"/>
          <w:smallCaps w:val="false"/>
          <w:sz w:val="20"/>
        </w:rPr>
        <w:t xml:space="preserve">(Name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(Name of person(s) filing proxy statement, if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230"/>
        <w:gridCol w:w="824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fee required.</w:t>
            </w:r>
          </w:p>
        </w:tc>
      </w:tr>
      <w:tr>
        <w:trPr/>
        <w:tc>
          <w:tcPr>
            <w:tcW w:w="23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 paid previously with preliminary materials</w:t>
            </w:r>
          </w:p>
        </w:tc>
      </w:tr>
      <w:tr>
        <w:trPr/>
        <w:tc>
          <w:tcPr>
            <w:tcW w:w="23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FRIEDMAN INDUSTRIES, INCORPORATED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NOTICE OF ANNUAL MEETING OF SHAREHOLDERS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Shareholders of Friedman Industries,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Annual Meeting of Shareholders of Friedman Industries, Incorporated (the “Company”) will be held in the offices of Norton Rose Fulbright US LLP, 1550 Lamar, Suite 2000, Houston, Texas 77010, on Tuesday, September 22, 2026, at 9:00 a.m. (Central Time), for the following purposes: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3"/>
        <w:gridCol w:w="9902"/>
      </w:tblGrid>
      <w:tr>
        <w:trPr/>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elect the six director nominees named in the accompanying proxy statement to serve on the Company’s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60"/>
        <w:gridCol w:w="245"/>
        <w:gridCol w:w="845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8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vote on a non-binding advisory resolution regarding the compensation of Named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ratify the selection of Baker Tilly US, LLP as our independent registered public accounting firm for the fiscal year ending March 31, 2027.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2"/>
        <w:gridCol w:w="9903"/>
      </w:tblGrid>
      <w:tr>
        <w:trPr/>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vote on an amendment of the Company’s Articles of Incorporation to enable shareholders to amend the Company’s Bylaws.</w:t>
            </w:r>
          </w:p>
        </w:tc>
      </w:tr>
    </w:tbl>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60"/>
        <w:gridCol w:w="245"/>
        <w:gridCol w:w="834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8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transact such other business as may properly come before the meeting and any adjournment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of Directors has fixed the close of business on July 27, 2026, as the record date for the determination of shareholders entitled to receive this notice and to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All shareholders are cordially invited to attend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This notice and the accompanying proxy materials have been sent to you by order of the Board of Directors.</w:t>
      </w:r>
    </w:p>
    <w:tbl>
      <w:tblPr>
        <w:tblW w:w="3020" w:type="dxa"/>
        <w:jc w:val="left"/>
        <w:tblInd w:w="0" w:type="dxa"/>
        <w:tblLayout w:type="fixed"/>
        <w:tblCellMar>
          <w:top w:w="0" w:type="dxa"/>
          <w:left w:w="0" w:type="dxa"/>
          <w:bottom w:w="0" w:type="dxa"/>
          <w:right w:w="0" w:type="dxa"/>
        </w:tblCellMar>
      </w:tblPr>
      <w:tblGrid>
        <w:gridCol w:w="60"/>
        <w:gridCol w:w="60"/>
        <w:gridCol w:w="2840"/>
        <w:gridCol w:w="60"/>
      </w:tblGrid>
      <w:tr>
        <w:trPr/>
        <w:tc>
          <w:tcPr>
            <w:tcW w:w="60" w:type="dxa"/>
            <w:tcBorders/>
          </w:tcPr>
          <w:p>
            <w:pPr>
              <w:pStyle w:val="TableContents"/>
              <w:bidi w:val="0"/>
              <w:spacing w:before="0" w:after="0"/>
              <w:ind w:left="0" w:right="0" w:hanging="0"/>
              <w:jc w:val="left"/>
              <w:rPr/>
            </w:pPr>
            <w:r>
              <w:rPr/>
              <w:t> </w:t>
            </w:r>
          </w:p>
        </w:tc>
        <w:tc>
          <w:tcPr>
            <w:tcW w:w="2900" w:type="dxa"/>
            <w:gridSpan w:val="2"/>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60"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284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Order of the Board of Directors,</w:t>
            </w:r>
          </w:p>
        </w:tc>
        <w:tc>
          <w:tcPr>
            <w:tcW w:w="60" w:type="dxa"/>
            <w:tcBorders/>
          </w:tcPr>
          <w:p>
            <w:pPr>
              <w:pStyle w:val="TableContents"/>
              <w:bidi w:val="0"/>
              <w:spacing w:before="0" w:after="0"/>
              <w:ind w:left="0" w:right="0" w:hanging="0"/>
              <w:jc w:val="left"/>
              <w:rPr/>
            </w:pPr>
            <w:r>
              <w:rPr/>
              <w:t> </w:t>
            </w:r>
          </w:p>
        </w:tc>
      </w:tr>
      <w:tr>
        <w:trPr/>
        <w:tc>
          <w:tcPr>
            <w:tcW w:w="60"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2840" w:type="dxa"/>
            <w:tcBorders/>
            <w:vAlign w:val="bottom"/>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60"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2840"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Alex LaRue</w:t>
            </w:r>
          </w:p>
        </w:tc>
        <w:tc>
          <w:tcPr>
            <w:tcW w:w="60" w:type="dxa"/>
            <w:tcBorders/>
          </w:tcPr>
          <w:p>
            <w:pPr>
              <w:pStyle w:val="TableContents"/>
              <w:bidi w:val="0"/>
              <w:spacing w:before="0" w:after="0"/>
              <w:ind w:left="0" w:right="0" w:hanging="0"/>
              <w:jc w:val="left"/>
              <w:rPr/>
            </w:pPr>
            <w:r>
              <w:rPr/>
              <w:t> </w:t>
            </w:r>
          </w:p>
        </w:tc>
      </w:tr>
      <w:tr>
        <w:trPr/>
        <w:tc>
          <w:tcPr>
            <w:tcW w:w="60"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2840" w:type="dxa"/>
            <w:tcBorders/>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ALEX LARUE</w:t>
            </w:r>
          </w:p>
        </w:tc>
        <w:tc>
          <w:tcPr>
            <w:tcW w:w="60" w:type="dxa"/>
            <w:tcBorders/>
          </w:tcPr>
          <w:p>
            <w:pPr>
              <w:pStyle w:val="TableContents"/>
              <w:bidi w:val="0"/>
              <w:spacing w:before="0" w:after="0"/>
              <w:ind w:left="0" w:right="0" w:hanging="0"/>
              <w:jc w:val="left"/>
              <w:rPr/>
            </w:pPr>
            <w:r>
              <w:rPr/>
              <w:t> </w:t>
            </w:r>
          </w:p>
        </w:tc>
      </w:tr>
      <w:tr>
        <w:trPr/>
        <w:tc>
          <w:tcPr>
            <w:tcW w:w="60"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2840" w:type="dxa"/>
            <w:tcBorders/>
          </w:tcPr>
          <w:p>
            <w:pPr>
              <w:pStyle w:val="TableContents"/>
              <w:bidi w:val="0"/>
              <w:spacing w:before="0" w:after="0"/>
              <w:ind w:left="0" w:right="0" w:hanging="0"/>
              <w:jc w:val="right"/>
              <w:rPr/>
            </w:pPr>
            <w:r>
              <w:rPr/>
              <w:t> </w:t>
            </w:r>
            <w:r>
              <w:rPr>
                <w:rFonts w:ascii="Times New Roman;Times;serif" w:hAnsi="Times New Roman;Times;serif"/>
                <w:i/>
                <w:sz w:val="20"/>
              </w:rPr>
              <w:t>Secretary</w:t>
            </w:r>
          </w:p>
        </w:tc>
        <w:tc>
          <w:tcPr>
            <w:tcW w:w="60"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  ], 2026</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Longview, Texas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IMPORTANT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Whether or not you expect to attend the meeting, please sign and date the enclosed white proxy card and mail it in the enclosed envelope to assure representation of your shares. If you attend the meeting, you may vote either in person or by your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IMPORTANT NOTICE REGARDING THE AVAILABILITY OF PROXY MATERIALS FOR THE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SHAREHOLDER MEETING TO BE HELD ON SEPTEMBER 22,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The accompanying proxy statement, a form of proxy card and a copy of our 2026 Annual Report to Shareholders are available at http://www.friedmanindustries.com/investors/proxy/. This website is not a forum for voting and presents only an overview of the more complete proxy materials. Shareholders are encouraged to access and review the proxy materials before voting.</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FRIEDMAN INDUSTRIES, INCORPORATED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PROXY STATEMENT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 Annual Meeting of Shareholders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To Be Held on September 22,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This proxy statement is furnished in connection with the solicitation of proxies by the Board of Directors of Friedman Industries, Incorporated (the “Company”), 1121 Judson Road, Suite 124, Longview, Texas 75601 (telephone number 903-758-3431) to be used at the Annual Meeting of Shareholders to be held at 9:00 a.m. (Central Time) on Tuesday, September 22, 2026 (the “Annual Meeting”), in the offices of Norton Rose Fulbright US LLP, 1550 Lamar, Suite 2000, Houston, Texas 77010, for the purposes set forth in the foregoing notice of the meeting. Properly executed proxies received in time for the meeting will be voted as directed therein, unless revoked in the manner provided hereinafter. As to any matter for which no choice has been specified in a proxy, other than as specifically set forth herein, the shares represented thereby will be voted by the persons named in the proxy (i) for the election as director of all of the nominees listed herein, (ii) for the non-binding, advisory resolution regarding the compensation of Named Executive Officers, (iii) for the ratification of the selection of Baker Tilly US, LLP as the Company’s independent registered public accounting firm for the fiscal year ending March 31, 2027, (iv) for the amendment of the Company’s Articles of Incorporation to enable shareholders to amend the Company’s Bylaws and (v) in the discretion of such persons in connection with any other business that may properly come before the meeting. If the enclosed form of proxy is executed and returned, it may nevertheless be revoked by the shareholder at any time before it is exercised pursuant to either the shareholder’s execution and return of a subsequent proxy or the shareholder’s voting in person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At the close of business on July 27, 2026, there were 7,212,791 shares of our common stock, $1.00 par value (“Common Stock”), entitled to vote. Holders of record of Common Stock on such date will be entitled to one vote per share on all matters to come before the shareholders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holders of a majority of the total shares of Common Stock issued and outstanding on the record date that are present in person or represented by proxy will constitute a quorum for the transaction of business at the Annual Meeting. In addition to any shares represented by shareholders who attend the meeting in person, the shares held by each shareholder who signs and returns the enclosed form of proxy will be counted for purposes of determining the presence of a quorum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Annual Report to Shareholders for the fiscal year ended March 31, 2026, including financial statements, is enclosed with this proxy statement. This proxy statement is being mailed on or about August 5, 2026, to shareholders of record as of July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PROPOSAL 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ELECTION OF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number of directors on the Board of Directors is fixed from time to time by the affirmative vote of a majority of the total number of directors then in office. Currently, the Board of Directors is fixed at seven directors. In connection with the Annual Meeting, Tim Stevenson has elected to retire from the Board of Directors and will not stand for reelection. Mr. Stevenson’s decision not to stand for reelection was not the result of any disagreement with the Company, management, the Board of Directors or any committee of the Board of Directors regarding the Company’s operations, policies or practices. Following the Annual Meeting, the Board of Directors will be reduced from seven to six directors. The persons who are elected directors will hold office until the next Annual Meeting of Shareholders and until their successors are elected and shall qualify.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It is intended that the persons appointed as proxies to act on behalf of shareholders in the enclosed proxy will vote for the election of the six nominees named below. The management of the Company does not contemplate that any of such nominees will become unavailable to serve as a director. However, should any nominee be unable to serve as a director or become unavailable for any reason, proxies which do not withhold authority to vote for that nominee may be voted for another nominee to be selected by the Nominating Committee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The enclosed form of proxy provides a means for shareholders to vote for all of the nominees for director listed therein, to withhold authority to vote for one or more of such nominees or to withhold authority to vote for all of such nominees. If you hold shares of our Common Stock through a broker-dealer, bank nominee, custodian or other securities intermediary, </w:t>
      </w:r>
      <w:r>
        <w:rPr>
          <w:rFonts w:ascii="Times New Roman" w:hAnsi="Times New Roman"/>
          <w:b/>
          <w:caps w:val="false"/>
          <w:smallCaps w:val="false"/>
          <w:sz w:val="20"/>
        </w:rPr>
        <w:t>the intermediary will not vote those shares for the election of any nominee for director unless you give the intermediary specific voting instructions on a timely basis directing the intermediary to vote for such nominee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Each director nominee receiving a plurality of votes cast for will be elected as a director. Broker non-votes and withheld votes will have no effect on the plurality vote regarding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names of the nominees for election to the Board of Directors, the principal occupation or employment of each of the nominees, the period during which each nominee has served as a director of the Company and the age of each nominee: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96"/>
        <w:gridCol w:w="60"/>
        <w:gridCol w:w="7578"/>
        <w:gridCol w:w="60"/>
        <w:gridCol w:w="740"/>
        <w:gridCol w:w="60"/>
        <w:gridCol w:w="411"/>
      </w:tblGrid>
      <w:tr>
        <w:trPr/>
        <w:tc>
          <w:tcPr>
            <w:tcW w:w="129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Nominee</w:t>
            </w:r>
          </w:p>
        </w:tc>
        <w:tc>
          <w:tcPr>
            <w:tcW w:w="60" w:type="dxa"/>
            <w:tcBorders/>
            <w:tcMar>
              <w:bottom w:w="0" w:type="dxa"/>
            </w:tcMar>
            <w:vAlign w:val="center"/>
          </w:tcPr>
          <w:p>
            <w:pPr>
              <w:pStyle w:val="TableContents"/>
              <w:bidi w:val="0"/>
              <w:spacing w:before="0" w:after="283"/>
              <w:jc w:val="left"/>
              <w:rPr/>
            </w:pPr>
            <w:r>
              <w:rPr/>
              <w:t> </w:t>
            </w:r>
          </w:p>
        </w:tc>
        <w:tc>
          <w:tcPr>
            <w:tcW w:w="7578"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Principal</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Occupation</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and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Business</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Experience</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for</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more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than the Last Five Years</w:t>
            </w:r>
          </w:p>
        </w:tc>
        <w:tc>
          <w:tcPr>
            <w:tcW w:w="60" w:type="dxa"/>
            <w:tcBorders/>
            <w:tcMar>
              <w:bottom w:w="0" w:type="dxa"/>
            </w:tcMar>
            <w:vAlign w:val="center"/>
          </w:tcPr>
          <w:p>
            <w:pPr>
              <w:pStyle w:val="TableContents"/>
              <w:bidi w:val="0"/>
              <w:spacing w:before="0" w:after="283"/>
              <w:jc w:val="left"/>
              <w:rPr/>
            </w:pPr>
            <w:r>
              <w:rPr/>
              <w:t> </w:t>
            </w:r>
          </w:p>
        </w:tc>
        <w:tc>
          <w:tcPr>
            <w:tcW w:w="7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Director</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Since</w:t>
            </w:r>
            <w:r>
              <w:rPr>
                <w:rFonts w:ascii="Times New Roman;Times;serif" w:hAnsi="Times New Roman;Times;serif"/>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41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Age</w:t>
            </w:r>
            <w:r>
              <w:rPr>
                <w:rFonts w:ascii="Times New Roman;Times;serif" w:hAnsi="Times New Roman;Times;serif"/>
                <w:caps w:val="false"/>
                <w:smallCaps w:val="false"/>
                <w:sz w:val="20"/>
              </w:rPr>
              <w:t> </w:t>
            </w:r>
          </w:p>
        </w:tc>
      </w:tr>
      <w:tr>
        <w:trPr/>
        <w:tc>
          <w:tcPr>
            <w:tcW w:w="1296" w:type="dxa"/>
            <w:tcBorders/>
            <w:shd w:fill="CCEEFF" w:val="clear"/>
            <w:tcMar>
              <w:bottom w:w="0" w:type="dxa"/>
            </w:tcMar>
            <w:vAlign w:val="center"/>
          </w:tcPr>
          <w:p>
            <w:pPr>
              <w:pStyle w:val="TableContents"/>
              <w:bidi w:val="0"/>
              <w:spacing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Mike Taylor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78" w:type="dxa"/>
            <w:tcBorders/>
            <w:shd w:fill="CCEEFF" w:val="clear"/>
            <w:tcMar>
              <w:bottom w:w="0" w:type="dxa"/>
            </w:tcMar>
            <w:vAlign w:val="center"/>
          </w:tcPr>
          <w:p>
            <w:pPr>
              <w:pStyle w:val="TableContents"/>
              <w:bidi w:val="0"/>
              <w:spacing w:before="0" w:after="0"/>
              <w:ind w:left="24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and Chief Executive Officer of the Company since September 2019; formerly Interim President and Interim Chief Executive Officer since February 2019; formerly retired; formerly President, Cargill Metals Supply Chain (steel processing and distribution), The Woodlands, Texas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67</w:t>
            </w:r>
          </w:p>
        </w:tc>
      </w:tr>
      <w:tr>
        <w:trPr/>
        <w:tc>
          <w:tcPr>
            <w:tcW w:w="1296" w:type="dxa"/>
            <w:tcBorders/>
            <w:shd w:fill="FFFFFF" w:val="clear"/>
            <w:tcMar>
              <w:bottom w:w="0" w:type="dxa"/>
            </w:tcMar>
            <w:vAlign w:val="center"/>
          </w:tcPr>
          <w:p>
            <w:pPr>
              <w:pStyle w:val="TableContents"/>
              <w:bidi w:val="0"/>
              <w:spacing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Hanson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78" w:type="dxa"/>
            <w:tcBorders/>
            <w:shd w:fill="FFFFFF" w:val="clear"/>
            <w:tcMar>
              <w:bottom w:w="0" w:type="dxa"/>
            </w:tcMar>
            <w:vAlign w:val="center"/>
          </w:tcPr>
          <w:p>
            <w:pPr>
              <w:pStyle w:val="TableContents"/>
              <w:bidi w:val="0"/>
              <w:spacing w:before="0" w:after="0"/>
              <w:ind w:left="24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Retired; formerly Vice President of Sales and Marketing for North Star BlueScope Steel (steel mill), Maumee, Ohio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69</w:t>
            </w:r>
          </w:p>
        </w:tc>
      </w:tr>
      <w:tr>
        <w:trPr/>
        <w:tc>
          <w:tcPr>
            <w:tcW w:w="1296" w:type="dxa"/>
            <w:tcBorders/>
            <w:shd w:fill="CCEEFF" w:val="clear"/>
            <w:tcMar>
              <w:bottom w:w="0" w:type="dxa"/>
            </w:tcMar>
            <w:vAlign w:val="center"/>
          </w:tcPr>
          <w:p>
            <w:pPr>
              <w:pStyle w:val="TableContents"/>
              <w:bidi w:val="0"/>
              <w:spacing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Max Reichenthal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78" w:type="dxa"/>
            <w:tcBorders/>
            <w:shd w:fill="CCEEFF" w:val="clear"/>
            <w:tcMar>
              <w:bottom w:w="0" w:type="dxa"/>
            </w:tcMar>
            <w:vAlign w:val="center"/>
          </w:tcPr>
          <w:p>
            <w:pPr>
              <w:pStyle w:val="TableContents"/>
              <w:bidi w:val="0"/>
              <w:spacing w:before="0" w:after="0"/>
              <w:ind w:left="24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Texas Iron and Metal (steel product sales), Houston, Texas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68</w:t>
            </w:r>
          </w:p>
        </w:tc>
      </w:tr>
      <w:tr>
        <w:trPr/>
        <w:tc>
          <w:tcPr>
            <w:tcW w:w="1296" w:type="dxa"/>
            <w:tcBorders/>
            <w:shd w:fill="FFFFFF" w:val="clear"/>
            <w:tcMar>
              <w:bottom w:w="0" w:type="dxa"/>
            </w:tcMar>
            <w:vAlign w:val="center"/>
          </w:tcPr>
          <w:p>
            <w:pPr>
              <w:pStyle w:val="TableContents"/>
              <w:bidi w:val="0"/>
              <w:spacing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Sandy Scott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78" w:type="dxa"/>
            <w:tcBorders/>
            <w:shd w:fill="FFFFFF" w:val="clear"/>
            <w:tcMar>
              <w:bottom w:w="0" w:type="dxa"/>
            </w:tcMar>
            <w:vAlign w:val="center"/>
          </w:tcPr>
          <w:p>
            <w:pPr>
              <w:pStyle w:val="TableContents"/>
              <w:bidi w:val="0"/>
              <w:spacing w:before="0" w:after="0"/>
              <w:ind w:left="24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Retired; Current director on the boards of AllClear Underground Solutions, DWD International LLC and Goodwill of Houston; formerly Chief Executive Officer, Sprint Industrial Holdings (rental equipment and transportation company), Houston, Texas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r>
      <w:tr>
        <w:trPr/>
        <w:tc>
          <w:tcPr>
            <w:tcW w:w="1296" w:type="dxa"/>
            <w:tcBorders/>
            <w:shd w:fill="CCEEFF" w:val="clear"/>
            <w:tcMar>
              <w:bottom w:w="0" w:type="dxa"/>
            </w:tcMar>
            <w:vAlign w:val="center"/>
          </w:tcPr>
          <w:p>
            <w:pPr>
              <w:pStyle w:val="TableContents"/>
              <w:bidi w:val="0"/>
              <w:spacing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Sharon Taylor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78" w:type="dxa"/>
            <w:tcBorders/>
            <w:shd w:fill="CCEEFF" w:val="clear"/>
            <w:tcMar>
              <w:bottom w:w="0" w:type="dxa"/>
            </w:tcMar>
            <w:vAlign w:val="center"/>
          </w:tcPr>
          <w:p>
            <w:pPr>
              <w:pStyle w:val="TableContents"/>
              <w:bidi w:val="0"/>
              <w:spacing w:before="0" w:after="0"/>
              <w:ind w:left="24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Vice President and Chief Financial Officer, Martin Midstream Partners LP and Martin Resource Management Corporation (terminalling, processing, transportation, storage and packaging services for petroleum products and by-products); formerly Director of Finance and Investor Relations, Martin Midstream Partners LP; formerly Business Analyst – Finance, Martin Midstream Partners LP, Kilgore, Texas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w:t>
            </w:r>
          </w:p>
        </w:tc>
      </w:tr>
      <w:tr>
        <w:trPr/>
        <w:tc>
          <w:tcPr>
            <w:tcW w:w="1296" w:type="dxa"/>
            <w:tcBorders/>
            <w:shd w:fill="FFFFFF" w:val="clear"/>
            <w:tcMar>
              <w:bottom w:w="0" w:type="dxa"/>
            </w:tcMar>
            <w:vAlign w:val="center"/>
          </w:tcPr>
          <w:p>
            <w:pPr>
              <w:pStyle w:val="TableContents"/>
              <w:bidi w:val="0"/>
              <w:spacing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Joe L. Williams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78" w:type="dxa"/>
            <w:tcBorders/>
            <w:shd w:fill="FFFFFF" w:val="clear"/>
            <w:tcMar>
              <w:bottom w:w="0" w:type="dxa"/>
            </w:tcMar>
            <w:vAlign w:val="center"/>
          </w:tcPr>
          <w:p>
            <w:pPr>
              <w:pStyle w:val="TableContents"/>
              <w:bidi w:val="0"/>
              <w:spacing w:before="0" w:after="0"/>
              <w:ind w:left="240" w:right="0" w:firstLine="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Partner, Pozmantier, Williams &amp; Stone Insurance Consultants, LLC (insurance and risk management consultants), Houston, Texas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1"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The Board of Directors recommends voting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the election of each of the nominees named above.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BOARD OF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business and affairs are managed under the direction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Director Qualifications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As set forth in the Charter of the Nominating Committee of the Board of Directors, a majority of the members of the Board of Directors must qualify as independent directors in accordance with the applicable provisions of the Securities Exchange Act of 1934, as amended (the “Exchange Act”), the rules promulgated thereunder and the applicable Nasdaq rules. In addition, the Nominating Committee considers the following qualifications in assessing director candidates: (a) an understanding of business and financial affairs and the complexities of a business organization; (b) a record of competence and accomplishments through leadership in industry, education, the professions or government; (c) a genuine interest in representing all of the shareholders and the interest of the Company overall; (d) a willingness to maintain a committed relationship with the Company as a director; (e) a willingness and ability to spend the necessary time required to function effectively as a director; (f) a reputation for honesty and integrity; and (g) such other additional qualifications as the Nominating Committee may establish from time to time, taking into account the composition and expertise of the entire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addition, the following experience, qualifications, attributes and skills were considered in determining the current nominees for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Mr. Taylor is currently the President and Chief Executive Officer of the Company and has past experience as President of Cargill Metals Supply Chain, a large steel processing and distribution business. His executive experience and his extensive knowledge of the steel industry qualify him to serve as a member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Mr. Hanson has past experience as an executive at North Star BlueScope Steel, a flat-rolled steel mill located in Delta, Ohio. He has a sound understanding of our business and the broader steel industry. His independence, executive experience and industry knowledge qualify him to serve as a member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Mr. Reichenthal has past and current experience as an executive officer and is currently the President of Texas Iron and Metal in Houston, Texas. He is thoroughly familiar with the steel and pipe business. His independence, his business experience and his experience as an executive officer qualify him to serve as a member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Ms. Scott has past experience as an executive officer and director experience with companies in a variety of industries. Her independence, executive experience and director experience qualify her to serve as a member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Ms. Taylor has past and current experience in management level finance and investor relations positions. Ms. Taylor qualifies as a “financial expert” as defined by the U.S. Securities and Exchange Commission (the “SEC”). Ms. Taylor is not related to Mike Taylor, the Company’s President and Chief Executive Officer. Ms. Taylor’s executive experience in finance and investor relations qualify her to serve as a member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Mr. Williams has a broad range of experience in insurance and risk management. He has served as an executive officer in several large insurance businesses and is currently a partner of Pozmantier, Williams &amp; Stone Insurance Consultants, LLC in Houston, Texas. His independence, insight into business operations and executive experience qualify him to serve as a member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Identifying and Evaluating Nominees for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Nominating Committee of the Board of Directors utilizes a variety of methods for identifying and evaluating nominees for director. The Nominating Committee assesses the appropriate size of the Board and whether any vacancies on the Board are expected due to retirement or otherwise. In the event that vacancies are anticipated, or otherwise arise, the Nominating Committee will consider various potential candidates for director. Candidates may come to the attention of the Nominating Committee through current Board members, professional search firms, shareholders or other persons. Shareholders may recommend nominees by contacting the Nominating Committee at P.O. Box 2192, Longview, Texas 75606. With respect to appropriately qualified nominees recommended by shareholders, our Nominating Committee will consider such nominees in the same manner as it evaluates other potential director nominees. In evaluating director nominations, the Nominating Committee seeks to achieve a diverse range of perspectives based on each Board member’s knowledge, life experiences, capabilities and background. While the Nominating Committee does not have a formal policy with respect to diversity, it does attempt to identify director nominees who can provide a diverse perspective to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Board of Directors Independence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of Directors has affirmatively determined that all nominees, with the exception of Mr. Taylor, are independent and have no material relationship with the Company that would interfere with their exercise of independent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Executive Session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addition to regular Board meetings, the Board of Directors has established a program for the independent directors to meet at regularly scheduled executive sessions without management present as often as necessary, but not less than once in each fiscal year. Mr. Williams serves as the presiding director for each executive session.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Board Leadership Structure and Role in Risk Oversight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Mr. Taylor serves as Chairman of the Board. Mr. Taylor leads the meetings of the Board of Directors and in consultation with Mr. Alex LaRue, Chief Financial Officer — Secretary &amp; Treasurer of the Company, prepares the agenda for Board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does not have a policy on whether or not the roles of Chairman of the Board and Chief Executive Officer should be separate or combined and, if they are to be separate, whether the Chairman of the Board should be selected from the non-employee directors or be an employee. The directors serving on the Board possess considerable professional and industry experience and a unique knowledge of the challenges and opportunities that the Company faces. As such, the Board believes that it is in the best position to evaluate the needs of the Company and to determine how best to organize the Company’s leadership structure to meet those needs. The Board believes that the most effective leadership structure for the Company at the present time is for Mr. Taylor to serve as both Chairman of the Board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This structure enables our Chief Executive Officer to act as a bridge between management and the Board, helping both to act together in pursuing the best interests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There is no specific lead independent director. The Board believes that there is already substantial independent oversight of the Company’s management and a strong counterbalancing governance structure in place, as demonstrated by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 majority of independent directors: Six out of the seven current directors and five out of the six director nominees meet the criteria for independence required by Nasdaq rules; Mr. Taylor is deemed not to be independent.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committees are composed solely of independent directors: Our Audit, Compensation and Nominating Committees are each composed solely of independent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With respect to the oversight of the Company’s risk, the Company’s executive officers supervise the day-to-day risk management responsibilities and in turn report, when necessary, to the Audit Committee with respect to financial and operational risk and to the full Board with respect to risks associated with the Company’s overall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Attendance at the Annual Meeting of Shareholders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of Directors holds a regular meeting in conjunction with the Annual Meeting of Shareholders. Directors are encouraged to and generally attend the Annual Meeting of Shareholders. The 2025 Annual Meeting of Shareholders was attended by all of the directors in place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Communications with the Board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Shareholders may contact our directors individually, a committee of the Board of Directors, the independent directors of the Board of Directors as a group or the Board of Directors generally by mailing the communication to Friedman Industries, Incorporated, Shareholder Communications, P.O. Box 2192, Longview, Texas 75606, to the attention of the Corporate Secretary. Communications that are intended specifically for the independent directors should be sent to the same address, to the attention of the Presiding Director of the Executive Sessions.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Proposals submitted by shareholders for inclusion in our annual proxy statement will not be considered shareholder communications under this policy and shall be handled in accordance with the rules and regulations promulgated from time to time by the SEC and the procedures described below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Investor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To obtain a printed copy of our Code of Conduct and Ethics or the charter for the Audit Committee, the Compensation Committee or the Nominating Committee of the Board of Directors or to obtain directions to our Annual Meeting, send a request to us in care of Investor Relations, P.O. Box 2192, Longview, Texas 75606.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have adopted a Clawback Policy that is designed to comply with Section 10D of the Exchange Act and the requirements pursuant to Nasdaq rules. This policy applies to our current and former executive officers. In the event we are required to prepare an accounting restatement of our financial statements due to our material noncompliance with any financial reporting requirement under the securities laws, the Board of Directors will require us to seek reimbursement or forfeiture reasonably promptly of any erroneously awarded incentive compensation received by any covered executive during the three completed fiscal years immediately preceding the date on which we are required to prepare an accounting restatement and during an applicable transition period.</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Employee, Officer and Director Hedging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Officers, directors and employees are prohibited by our Insider Trading Policy from engaging at any time in transactions involving put, call or other options or derivatives with respect to the Company’s securities (other than options or other securities issued under the Company’s own equity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Company’s insider trading policy has been reasonably designed to promote compliance with applicable insider trading laws, rules and regulations, and Nasdaq listing standards. The Insider Trading Policy is filed as Exhibit 19.1 to our Annual Report on Form 10-K for the fiscal year ended March 31, 2026.</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Director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For the fiscal year ended March 31, 2026, directors were paid $9,000 per quarter. In addition, the Chairman and members of the Audit Committee received $3,000 and $2,250, respectively, per quarter. Mr. Taylor did not receive any compensation for serving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Except for Mr. Taylor, who is a Named Executive Officer (as defined in “Executive Compensation” below), the following table summarizes compensation paid to each director during the fiscal year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Director Compensation Table for Fiscal Year 2026</w:t>
      </w:r>
    </w:p>
    <w:p>
      <w:pPr>
        <w:pStyle w:val="TextBody"/>
        <w:bidi w:val="0"/>
        <w:spacing w:before="0" w:after="0"/>
        <w:ind w:left="0" w:right="0" w:hanging="0"/>
        <w:jc w:val="left"/>
        <w:rPr>
          <w:caps w:val="false"/>
          <w:smallCaps w:val="false"/>
        </w:rPr>
      </w:pPr>
      <w:r>
        <w:rPr>
          <w:caps w:val="false"/>
          <w:smallCaps w:val="false"/>
        </w:rPr>
        <w:t> </w:t>
      </w:r>
    </w:p>
    <w:tbl>
      <w:tblPr>
        <w:tblW w:w="5000" w:type="dxa"/>
        <w:jc w:val="left"/>
        <w:tblInd w:w="0" w:type="dxa"/>
        <w:tblLayout w:type="fixed"/>
        <w:tblCellMar>
          <w:top w:w="0" w:type="dxa"/>
          <w:left w:w="0" w:type="dxa"/>
          <w:bottom w:w="28" w:type="dxa"/>
          <w:right w:w="0" w:type="dxa"/>
        </w:tblCellMar>
      </w:tblPr>
      <w:tblGrid>
        <w:gridCol w:w="1505"/>
        <w:gridCol w:w="60"/>
        <w:gridCol w:w="1310"/>
        <w:gridCol w:w="60"/>
        <w:gridCol w:w="60"/>
        <w:gridCol w:w="1235"/>
        <w:gridCol w:w="60"/>
        <w:gridCol w:w="60"/>
        <w:gridCol w:w="590"/>
        <w:gridCol w:w="60"/>
      </w:tblGrid>
      <w:tr>
        <w:trPr/>
        <w:tc>
          <w:tcPr>
            <w:tcW w:w="15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3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Fees Earned or</w:t>
              <w:br/>
              <w:t>Paid in Cash</w:t>
              <w:br/>
              <w:t xml:space="preserve">($)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w:t>
              <w:br/>
              <w:t>Compensation</w:t>
              <w:br/>
              <w:t xml:space="preserve">($) (1)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br/>
              <w:t xml:space="preserve">($) </w:t>
            </w:r>
          </w:p>
        </w:tc>
        <w:tc>
          <w:tcPr>
            <w:tcW w:w="60" w:type="dxa"/>
            <w:tcBorders/>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Hanson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1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46,000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Max Reichenthal</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1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3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55,000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Sandy Scott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1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46,000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 Stevenson (2)</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1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3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55,000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Sharon Taylor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1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59,000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Joe L. Williams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1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3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46,000</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60"/>
        <w:gridCol w:w="245"/>
        <w:gridCol w:w="98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8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 compensation consists of restricted stock awards issued to directors during the fiscal year ended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Stevenson is a member of the Board of Directors as of the distribution of this proxy statement, but he informed the Board of Directors he will not stand for reelection at the Annual Meeting. He is therefore not listed as a director nominee in this proxy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There were no transactions in fiscal year 2026 with related persons which required disclosure pursuant to Item 404(a) of Regulation S-K (17 CFR Part 229).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Policies and Procedures with Respect to Approval of 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Audit Committee of the Board of Directors has adopted a written policy with respect to related party transactions to document procedures pursuant to which such transactions are reviewed, approved or ratified. The policy applies to any transaction between us and any related party other than transactions (i) available to all employees generally or (ii) involving less than $5,000 when aggregated with all similar transactions. The Audit Committee is responsible for reviewing, approving and ratifying any related party transaction. In general, the policy prohibits all related party transactions although the Audit Committee may approve related party transactions (A) in exceptional circumstances where the situation is urgent and no reasonable alternatives exist, (B) when the benefit is unique and significant or (C) the economic value to us is highly compelling over an extended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Committees of the Board of Directors and Meeting Attendance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During fiscal year 2026, the Board of Directors met five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of Directors has an Audit Committee which currently consists of Ms. Taylor (Chair) and Messrs. Reichenthal and Stevenson. The Audit Committee discusses with the independent accountants and management our financial statements and the scope of the audit examinations, reviews with the independent accountants the audit budget, receives and reviews the audit report submitted by the independent accountants, reviews with the independent accountants internal accounting and control procedures and engages our independent auditor. The Audit Committee’s responsibilities to the Board of Directors are further detailed in the Second Amended and Restated Charter of the Audit Committee, as amended, which is attached as Appendix A to this proxy statement. The Audit Committee met four times in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of Directors has a Compensation Committee currently composed of Mses. Scott and Taylor and Messrs. Hanson, Reichenthal and Stevenson (Chair). The Compensation Committee considers and recommends for approval by the Board of Directors adjustments to the compensation of our executive officers and the implementation of any compensation program. In addition, the Compensation Committee administers any equity incentive plan of the Company pursuant to the terms of such plan. The Compensation Committee’s responsibilities are further detailed in the Charter of the Compensation Committee, which is attached as Appendix B to this proxy statement. The Compensation Committee met three times in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of Directors has a Nominating Committee currently composed of Mses. Scott (Chair) and Taylor and Messrs. Reichenthal, Stevenson and Williams, each of whom is independent in accordance with the applicable Nasdaq rules. Nominees to the Board of Directors are proposed by the Nominating Committee. The Nominating Committee’s responsibilities are further detailed in the Charter of the Nominating Committee, which is attached as Appendix C to this proxy statement. The Nominating Committee will consider appropriately qualified nominees timely recommended by shareholders in the same manner as it evaluates other potential director nominees. The Nominating Committee met one time in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During the fiscal year ended March 31, 2026, no director attended fewer than 75% of the combined meetings of the Board of Directors and of any committee of which such director was a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Audit Committee Qualifications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of Directors has affirmatively determined that all members of the Audit Committee are independent in accordance with the applicable Nasdaq rules and Rule 10A-3(b)(1) of the Exchange Act. The Board also has determined that each of the members of the Audit Committee is able to read and understand fundamental financial statements. In addition, the Board has determined that Ms. Taylor meets the financial sophistication requirements set forth in the applicable Nasdaq rules and qualifies as an “audit committee financial expert,” as that term is defined in the rules promulgated by the SEC pursuant to the Sarbanes-Oxley Act of 2002,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Audit Committee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Audit Committee of the Board of Directors has reviewed and discussed with our management and Baker Tilly US, LLP (“Bakery Tilly”), our independent auditor, the audits of the Company’s financial statements and internal controls over financial reporting contained in our Annual Report on Form 10-K for the fiscal year ended March 31, 2026. The Audit Committee has also discussed with our independent auditor the matters required to be discussed pursuant to AS 1301: Communications with Audit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Audit Committee received and has discussed the written disclosures and letters from Baker Tilly required by applicable requirements of the Public Company Accounting Oversight Board regarding the independent accountant’s communications with the Audit Committee concerning independence and has discussed with Baker Tilly its independence in connection with its audits of our most recent financial statements as of fiscal year-end. The Audit Committee has also considered whether the provision of non-audit services to the Company by Baker Tilly is compatible with maintaining that firm’s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Based on the review and discussions referred to above, the Audit Committee approved the inclusion of the audited financial statements in our Annual Report on Form 10-K for the fiscal year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information in the foregoing three paragraphs shall not be deemed to be soliciting material, or to be filed with the SEC or subject to Regulation 14A or 14C under the Exchange Act or to liabilities under Section 18 of the Exchange Act nor shall it be deemed to be incorporated by reference into any filing under the Securities Act of 1933, as amended, or the Exchange Act, except to the extent that we specifically incorporate these paragraphs by reference.</w:t>
      </w:r>
    </w:p>
    <w:p>
      <w:pPr>
        <w:pStyle w:val="TextBody"/>
        <w:bidi w:val="0"/>
        <w:spacing w:before="0" w:after="0"/>
        <w:ind w:left="0" w:right="0" w:hanging="0"/>
        <w:jc w:val="left"/>
        <w:rPr>
          <w:caps w:val="false"/>
          <w:smallCaps w:val="false"/>
        </w:rPr>
      </w:pPr>
      <w:r>
        <w:rPr>
          <w:caps w:val="false"/>
          <w:smallCaps w:val="false"/>
        </w:rPr>
        <w:t> </w:t>
      </w:r>
    </w:p>
    <w:tbl>
      <w:tblPr>
        <w:tblW w:w="1580" w:type="dxa"/>
        <w:jc w:val="left"/>
        <w:tblInd w:w="0" w:type="dxa"/>
        <w:tblLayout w:type="fixed"/>
        <w:tblCellMar>
          <w:top w:w="0" w:type="dxa"/>
          <w:left w:w="0" w:type="dxa"/>
          <w:bottom w:w="0" w:type="dxa"/>
          <w:right w:w="0" w:type="dxa"/>
        </w:tblCellMar>
      </w:tblPr>
      <w:tblGrid>
        <w:gridCol w:w="75"/>
        <w:gridCol w:w="1430"/>
        <w:gridCol w:w="75"/>
      </w:tblGrid>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Sharon Taylor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Max Reichenthal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 Stevenson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Procedures and Processes for Determining Executive and Director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Compensation Committee of the Board of Directors is responsible for reviewing and recommending to the full Board of Directors the compensation of our Chief Executive Officer and our other Named Executive Officers. The Compensation Committee may retain compensation consultants or other advisers it deems appropriate. The Compensation Committee may delegate any of its duties and responsibilities to a subcommittee consisting of not less than two members of the Compensation Committee. Based on the Compensation Committee’s analysis of relevant data, the Compensation Committee determines its recommendation regarding the compensation of our Chief Executive Officer during an executive session of the Compensation Committee at which the Chief Executive Officer is not present. Our Chief Executive Officer makes recommendations regarding the compensation of our other executive officers to the Compensation Committee. The Compensation Committee considers the recommendations, discusses the recommendations with our Chief Executive Officer, may discuss the matter in executive session and then makes recommendations to the full Board of Directors. The final determination as to the compensation of the Chief Executive Officer and all other executive officers of the Company is made by the full Board of Directors based on the recommendations of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of Directors, or an authorized committee thereof, may from time-to-time review and determine the form and amount of director compensation, including cash, equity-based awards and other director compensation to maintain a transparent and readily understandable compensation program which ensures that the directors continue to receive fair and appropriate compensation for the time commitment required to discharge their duties as directors for a company of our size.</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PROPOSAL 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ADVISORY (NON-BINDING) VOTE ON EXECUTIVE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At the meeting, the shareholders will vote on a non-binding, advisory resolution regarding the compensation of the Company’s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believe that our compensation policies and procedures are competitive, focused on pay-for-performance and strongly aligned with the long-term interests of our shareholders. This advisory shareholder vote, commonly known as “Say-on-Pay”, gives you as a shareholder the opportunity to endorse or not endorse the compensation we pay our Named Executive Officers through voting for or against the following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caps w:val="false"/>
          <w:smallCaps w:val="false"/>
        </w:rPr>
      </w:pPr>
      <w:r>
        <w:rPr>
          <w:caps w:val="false"/>
          <w:smallCaps w:val="false"/>
        </w:rPr>
        <w:t>“</w:t>
      </w:r>
      <w:r>
        <w:rPr>
          <w:rFonts w:ascii="Times New Roman" w:hAnsi="Times New Roman"/>
          <w:b/>
          <w:caps w:val="false"/>
          <w:smallCaps w:val="false"/>
          <w:sz w:val="20"/>
        </w:rPr>
        <w:t>Resolved, that the shareholders approve the compensation of the Company</w:t>
      </w:r>
      <w:r>
        <w:rPr>
          <w:rFonts w:ascii="Times New Roman" w:hAnsi="Times New Roman"/>
          <w:caps w:val="false"/>
          <w:smallCaps w:val="false"/>
          <w:sz w:val="20"/>
        </w:rPr>
        <w:t>’</w:t>
      </w:r>
      <w:r>
        <w:rPr>
          <w:rFonts w:ascii="Times New Roman" w:hAnsi="Times New Roman"/>
          <w:b/>
          <w:caps w:val="false"/>
          <w:smallCaps w:val="false"/>
          <w:sz w:val="20"/>
        </w:rPr>
        <w:t>s Named Executive Officers as disclosed in the Company</w:t>
      </w:r>
      <w:r>
        <w:rPr>
          <w:rFonts w:ascii="Times New Roman" w:hAnsi="Times New Roman"/>
          <w:caps w:val="false"/>
          <w:smallCaps w:val="false"/>
          <w:sz w:val="20"/>
        </w:rPr>
        <w:t>’</w:t>
      </w:r>
      <w:r>
        <w:rPr>
          <w:rFonts w:ascii="Times New Roman" w:hAnsi="Times New Roman"/>
          <w:b/>
          <w:caps w:val="false"/>
          <w:smallCaps w:val="false"/>
          <w:sz w:val="20"/>
        </w:rPr>
        <w:t>s 2026 proxy statement pursuant to the disclosure rules of the U.S. Securities and Exchange Commission (which disclosure includes the Summary Compensation Table and related discussion).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Because your vote is advisory, it will not be binding upon the Company or the Board of Directors. However, the Compensation Committee will take into account the outcome of the vote when considering future executive compensation arrangements. Additionally, your advisory vote will not be construed (i) as overruling a decision by the Company or the Board of Directors, (ii) to create or imply any change to the fiduciary duties of the Company or the Board of Directors, (iii) to create or imply any additional fiduciary duties for the Company or the Board of Directors or (iv) to restrict or limit the ability of shareholders to make proposals for inclusion in proxy materials related to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Vote Required for Approval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order to be approved, Proposal No. 2 must receive the affirmative vote of a majority of the votes represented at the meeting, by person or proxy and entitled to vote at the meeting. Abstentions with respect to the approval of this proposal will have the effect of a vote against this proposal. Broker non-votes will not be treated as shares that are represented at the meeting for the purposes of this proposal and will have no effect on the outcome of the vote on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The Board of Directors recommends voting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Summary Compensation Table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sets forth certain information regarding compensation paid for services rendered during the fiscal years ended March 31, 2026 and March 31, 2025, to each of our executive officers (collectively, the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Summary Compensation Table for Fiscal Year 2026</w:t>
      </w:r>
    </w:p>
    <w:p>
      <w:pPr>
        <w:pStyle w:val="TextBody"/>
        <w:bidi w:val="0"/>
        <w:spacing w:before="0" w:after="0"/>
        <w:ind w:left="0" w:right="0" w:hanging="0"/>
        <w:jc w:val="left"/>
        <w:rPr>
          <w:caps w:val="false"/>
          <w:smallCaps w:val="false"/>
        </w:rPr>
      </w:pPr>
      <w:r>
        <w:rPr>
          <w:caps w:val="false"/>
          <w:smallCaps w:val="false"/>
        </w:rPr>
        <w:t> </w:t>
      </w:r>
    </w:p>
    <w:tbl>
      <w:tblPr>
        <w:tblW w:w="9830" w:type="dxa"/>
        <w:jc w:val="left"/>
        <w:tblInd w:w="0" w:type="dxa"/>
        <w:tblLayout w:type="fixed"/>
        <w:tblCellMar>
          <w:top w:w="0" w:type="dxa"/>
          <w:left w:w="0" w:type="dxa"/>
          <w:bottom w:w="28" w:type="dxa"/>
          <w:right w:w="0" w:type="dxa"/>
        </w:tblCellMar>
      </w:tblPr>
      <w:tblGrid>
        <w:gridCol w:w="3920"/>
        <w:gridCol w:w="60"/>
        <w:gridCol w:w="440"/>
        <w:gridCol w:w="60"/>
        <w:gridCol w:w="695"/>
        <w:gridCol w:w="60"/>
        <w:gridCol w:w="60"/>
        <w:gridCol w:w="845"/>
        <w:gridCol w:w="60"/>
        <w:gridCol w:w="60"/>
        <w:gridCol w:w="1175"/>
        <w:gridCol w:w="60"/>
        <w:gridCol w:w="60"/>
        <w:gridCol w:w="1235"/>
        <w:gridCol w:w="60"/>
        <w:gridCol w:w="60"/>
        <w:gridCol w:w="845"/>
        <w:gridCol w:w="75"/>
      </w:tblGrid>
      <w:tr>
        <w:trPr/>
        <w:tc>
          <w:tcPr>
            <w:tcW w:w="39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and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Principal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Position</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Salary</w:t>
              <w:br/>
              <w:t xml:space="preserve">($)(1)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Bonus</w:t>
              <w:br/>
              <w:t xml:space="preserve">($)(2)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w:t>
              <w:b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w:t>
              <w:br/>
              <w:t>Compensation</w:t>
              <w:br/>
              <w:t xml:space="preserve">($)(4)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br/>
              <w:t xml:space="preserve">($) </w:t>
            </w:r>
          </w:p>
        </w:tc>
        <w:tc>
          <w:tcPr>
            <w:tcW w:w="75" w:type="dxa"/>
            <w:tcBorders/>
            <w:tcMar>
              <w:bottom w:w="0" w:type="dxa"/>
            </w:tcMar>
            <w:vAlign w:val="center"/>
          </w:tcPr>
          <w:p>
            <w:pPr>
              <w:pStyle w:val="TableContents"/>
              <w:bidi w:val="0"/>
              <w:spacing w:before="0" w:after="283"/>
              <w:jc w:val="left"/>
              <w:rPr/>
            </w:pPr>
            <w:r>
              <w:rPr/>
              <w:t> </w:t>
            </w:r>
          </w:p>
        </w:tc>
      </w:tr>
      <w:tr>
        <w:trPr/>
        <w:tc>
          <w:tcPr>
            <w:tcW w:w="39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J. Taylor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1,221,635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718,234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2,709,607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2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&amp; Chief Executive Officer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662,499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700,734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Alex LaRue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265,440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457,664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870,434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2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 — Secretary &amp; Treasurer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365,704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Gaurav Chhibbar (5)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263,938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1,175,529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2,518,500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2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Operating Officer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8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2125" w:type="dxa"/>
        <w:jc w:val="left"/>
        <w:tblInd w:w="0" w:type="dxa"/>
        <w:tblLayout w:type="fixed"/>
        <w:tblCellMar>
          <w:top w:w="0" w:type="dxa"/>
          <w:left w:w="0" w:type="dxa"/>
          <w:bottom w:w="0" w:type="dxa"/>
          <w:right w:w="0" w:type="dxa"/>
        </w:tblCellMar>
      </w:tblPr>
      <w:tblGrid>
        <w:gridCol w:w="245"/>
        <w:gridCol w:w="188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8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Represents base salary.</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bonuses based on Company performance and Christmas bonuses, each of which is paid at the discretion of the Board of Directors. The fiscal year 2026 bonus total for Mr. Chhibbar also includes a bonus associated with his initial hiring by the Company.</w:t>
            </w:r>
          </w:p>
        </w:tc>
      </w:tr>
    </w:tbl>
    <w:tbl>
      <w:tblPr>
        <w:tblW w:w="9385" w:type="dxa"/>
        <w:jc w:val="left"/>
        <w:tblInd w:w="0" w:type="dxa"/>
        <w:tblLayout w:type="fixed"/>
        <w:tblCellMar>
          <w:top w:w="0" w:type="dxa"/>
          <w:left w:w="0" w:type="dxa"/>
          <w:bottom w:w="0" w:type="dxa"/>
          <w:right w:w="0" w:type="dxa"/>
        </w:tblCellMar>
      </w:tblPr>
      <w:tblGrid>
        <w:gridCol w:w="245"/>
        <w:gridCol w:w="914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Reflects the aggregate grant date fair value for stock awards computed in accordance with FASB ASC Topic 718.</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9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Reflects contributions by the Company to the Friedman Industries, Inc. Employees’ Retirement and 401(k) Plan for the benefit of the Named Executive Officers and cash dividends received related to restricted shares awarded under the Company’s equity based incentive plan.</w:t>
            </w:r>
          </w:p>
        </w:tc>
      </w:tr>
    </w:tbl>
    <w:tbl>
      <w:tblPr>
        <w:tblW w:w="7945" w:type="dxa"/>
        <w:jc w:val="left"/>
        <w:tblInd w:w="0" w:type="dxa"/>
        <w:tblLayout w:type="fixed"/>
        <w:tblCellMar>
          <w:top w:w="0" w:type="dxa"/>
          <w:left w:w="0" w:type="dxa"/>
          <w:bottom w:w="0" w:type="dxa"/>
          <w:right w:w="0" w:type="dxa"/>
        </w:tblCellMar>
      </w:tblPr>
      <w:tblGrid>
        <w:gridCol w:w="245"/>
        <w:gridCol w:w="770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77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Chhibbar became an executive officer of the Company upon his employment in July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Outstanding Equity Awards at Fiscal Year-End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803"/>
        <w:gridCol w:w="60"/>
        <w:gridCol w:w="1239"/>
        <w:gridCol w:w="60"/>
        <w:gridCol w:w="60"/>
        <w:gridCol w:w="1179"/>
        <w:gridCol w:w="60"/>
        <w:gridCol w:w="60"/>
        <w:gridCol w:w="1045"/>
        <w:gridCol w:w="60"/>
        <w:gridCol w:w="60"/>
        <w:gridCol w:w="710"/>
        <w:gridCol w:w="60"/>
        <w:gridCol w:w="60"/>
        <w:gridCol w:w="892"/>
        <w:gridCol w:w="60"/>
        <w:gridCol w:w="60"/>
        <w:gridCol w:w="800"/>
        <w:gridCol w:w="60"/>
        <w:gridCol w:w="60"/>
        <w:gridCol w:w="800"/>
        <w:gridCol w:w="60"/>
        <w:gridCol w:w="60"/>
        <w:gridCol w:w="836"/>
        <w:gridCol w:w="60"/>
        <w:gridCol w:w="60"/>
        <w:gridCol w:w="801"/>
        <w:gridCol w:w="80"/>
      </w:tblGrid>
      <w:tr>
        <w:trPr/>
        <w:tc>
          <w:tcPr>
            <w:tcW w:w="80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5545" w:type="dxa"/>
            <w:gridSpan w:val="13"/>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Option Awards</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3597" w:type="dxa"/>
            <w:gridSpan w:val="10"/>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Stock Awards</w:t>
            </w:r>
          </w:p>
        </w:tc>
        <w:tc>
          <w:tcPr>
            <w:tcW w:w="8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803"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23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Underlying Unexercised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Options (#) Exercisable</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179"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Underlying Unexercised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Options (#)</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Unexercisable</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1045"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Equity</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Incentive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Plan Awards: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Securities Underlying Unexercised Unearned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Options (#)</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71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Option</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Exercise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Price ($)</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892"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Option</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Expiration Date</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80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 or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Units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Stock That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Have Not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Vested (#)</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80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Market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 or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Units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Stock That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Have Not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Vested ($)</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8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Equity</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Incentive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Plan Awards: Number of Unearned Shares, Units or Other Rights That Have Not Vested (#)</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6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8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Equity</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Incentive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Plan Awards: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Market or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Payout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Unearned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Units or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Rights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That Have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Vested ($)</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8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80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39"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w:t>
            </w:r>
          </w:p>
        </w:tc>
        <w:tc>
          <w:tcPr>
            <w:tcW w:w="8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80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J. Taylor</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3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24,956 (1)</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$442,221</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3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24,956 (6)</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$442,221</w:t>
            </w:r>
          </w:p>
        </w:tc>
        <w:tc>
          <w:tcPr>
            <w:tcW w:w="8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80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Alex LaRue</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3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4,666 (1)</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$82,682</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3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4,666 (6)</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$82,682</w:t>
            </w:r>
          </w:p>
        </w:tc>
        <w:tc>
          <w:tcPr>
            <w:tcW w:w="8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80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Gaurav Chhibbar</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3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50,000 (2)</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$886,000</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3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center"/>
              <w:rPr/>
            </w:pPr>
            <w:r>
              <w:rPr/>
              <w:t>—</w:t>
            </w:r>
          </w:p>
        </w:tc>
        <w:tc>
          <w:tcPr>
            <w:tcW w:w="8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7810" w:type="dxa"/>
        <w:jc w:val="left"/>
        <w:tblInd w:w="0" w:type="dxa"/>
        <w:tblLayout w:type="fixed"/>
        <w:tblCellMar>
          <w:top w:w="0" w:type="dxa"/>
          <w:left w:w="0" w:type="dxa"/>
          <w:bottom w:w="0" w:type="dxa"/>
          <w:right w:w="0" w:type="dxa"/>
        </w:tblCellMar>
      </w:tblPr>
      <w:tblGrid>
        <w:gridCol w:w="245"/>
        <w:gridCol w:w="756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75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shares will vest in equal amounts each year for three years commencing on April 1, 2025.</w:t>
            </w:r>
          </w:p>
        </w:tc>
      </w:tr>
    </w:tbl>
    <w:tbl>
      <w:tblPr>
        <w:tblW w:w="7675" w:type="dxa"/>
        <w:jc w:val="left"/>
        <w:tblInd w:w="0" w:type="dxa"/>
        <w:tblLayout w:type="fixed"/>
        <w:tblCellMar>
          <w:top w:w="0" w:type="dxa"/>
          <w:left w:w="0" w:type="dxa"/>
          <w:bottom w:w="0" w:type="dxa"/>
          <w:right w:w="0" w:type="dxa"/>
        </w:tblCellMar>
      </w:tblPr>
      <w:tblGrid>
        <w:gridCol w:w="245"/>
        <w:gridCol w:w="743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7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shares will vest in two equal installments on November 1, 2026 and November 1, 2027.</w:t>
            </w:r>
          </w:p>
        </w:tc>
      </w:tr>
    </w:tbl>
    <w:tbl>
      <w:tblPr>
        <w:tblW w:w="6520" w:type="dxa"/>
        <w:jc w:val="left"/>
        <w:tblInd w:w="0" w:type="dxa"/>
        <w:tblLayout w:type="fixed"/>
        <w:tblCellMar>
          <w:top w:w="0" w:type="dxa"/>
          <w:left w:w="0" w:type="dxa"/>
          <w:bottom w:w="0" w:type="dxa"/>
          <w:right w:w="0" w:type="dxa"/>
        </w:tblCellMar>
      </w:tblPr>
      <w:tblGrid>
        <w:gridCol w:w="245"/>
        <w:gridCol w:w="627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6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Represents restricted shares that remain subject to time-based vesting criteria.</w:t>
            </w:r>
          </w:p>
        </w:tc>
      </w:tr>
    </w:tbl>
    <w:tbl>
      <w:tblPr>
        <w:tblW w:w="6625" w:type="dxa"/>
        <w:jc w:val="left"/>
        <w:tblInd w:w="0" w:type="dxa"/>
        <w:tblLayout w:type="fixed"/>
        <w:tblCellMar>
          <w:top w:w="0" w:type="dxa"/>
          <w:left w:w="0" w:type="dxa"/>
          <w:bottom w:w="0" w:type="dxa"/>
          <w:right w:w="0" w:type="dxa"/>
        </w:tblCellMar>
      </w:tblPr>
      <w:tblGrid>
        <w:gridCol w:w="245"/>
        <w:gridCol w:w="638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6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the closing price of our common stock on March 31, 2026 of $17.72.</w:t>
            </w:r>
          </w:p>
        </w:tc>
      </w:tr>
    </w:tbl>
    <w:tbl>
      <w:tblPr>
        <w:tblW w:w="7165" w:type="dxa"/>
        <w:jc w:val="left"/>
        <w:tblInd w:w="0" w:type="dxa"/>
        <w:tblLayout w:type="fixed"/>
        <w:tblCellMar>
          <w:top w:w="0" w:type="dxa"/>
          <w:left w:w="0" w:type="dxa"/>
          <w:bottom w:w="0" w:type="dxa"/>
          <w:right w:w="0" w:type="dxa"/>
        </w:tblCellMar>
      </w:tblPr>
      <w:tblGrid>
        <w:gridCol w:w="245"/>
        <w:gridCol w:w="692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6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Represents restricted shares that remain subject to performance-based vesting criteria.</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99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shares will vest depending on performance criteria related to earnings before tax and amounts of accounts receivable, inventory and property, plant and equipment over a three-year period commencing April 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table below sets forth the following information as of March 31, 2026 for all equity compensation plans, including those previously approved by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4"/>
        <w:gridCol w:w="60"/>
        <w:gridCol w:w="1664"/>
        <w:gridCol w:w="60"/>
        <w:gridCol w:w="60"/>
        <w:gridCol w:w="1725"/>
        <w:gridCol w:w="60"/>
        <w:gridCol w:w="60"/>
        <w:gridCol w:w="2050"/>
        <w:gridCol w:w="62"/>
      </w:tblGrid>
      <w:tr>
        <w:trPr/>
        <w:tc>
          <w:tcPr>
            <w:tcW w:w="4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679" w:type="dxa"/>
            <w:gridSpan w:val="7"/>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Compensation Plan Table</w:t>
            </w:r>
          </w:p>
        </w:tc>
        <w:tc>
          <w:tcPr>
            <w:tcW w:w="62" w:type="dxa"/>
            <w:tcBorders/>
            <w:vAlign w:val="center"/>
          </w:tcPr>
          <w:p>
            <w:pPr>
              <w:pStyle w:val="TableContents"/>
              <w:bidi w:val="0"/>
              <w:spacing w:before="0" w:after="283"/>
              <w:jc w:val="left"/>
              <w:rPr/>
            </w:pPr>
            <w:r>
              <w:rPr/>
              <w:t> </w:t>
            </w:r>
          </w:p>
        </w:tc>
      </w:tr>
      <w:tr>
        <w:trPr/>
        <w:tc>
          <w:tcPr>
            <w:tcW w:w="4404"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Plan Category</w:t>
            </w:r>
          </w:p>
        </w:tc>
        <w:tc>
          <w:tcPr>
            <w:tcW w:w="60" w:type="dxa"/>
            <w:tcBorders/>
            <w:vAlign w:val="center"/>
          </w:tcPr>
          <w:p>
            <w:pPr>
              <w:pStyle w:val="TableContents"/>
              <w:bidi w:val="0"/>
              <w:spacing w:before="0" w:after="283"/>
              <w:ind w:left="0" w:right="0" w:hanging="0"/>
              <w:jc w:val="left"/>
              <w:rPr/>
            </w:pPr>
            <w:r>
              <w:rPr/>
              <w:t> </w:t>
            </w:r>
          </w:p>
        </w:tc>
        <w:tc>
          <w:tcPr>
            <w:tcW w:w="1664"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br/>
              <w:t>securities to be issued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upon exercise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outstanding options,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price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outstanding options,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5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 available for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future issuance under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 compensation plans</w:t>
            </w:r>
          </w:p>
        </w:tc>
        <w:tc>
          <w:tcPr>
            <w:tcW w:w="62" w:type="dxa"/>
            <w:tcBorders/>
            <w:vAlign w:val="center"/>
          </w:tcPr>
          <w:p>
            <w:pPr>
              <w:pStyle w:val="TableContents"/>
              <w:bidi w:val="0"/>
              <w:spacing w:before="0" w:after="283"/>
              <w:jc w:val="left"/>
              <w:rPr/>
            </w:pPr>
            <w:r>
              <w:rPr/>
              <w:t> </w:t>
            </w:r>
          </w:p>
        </w:tc>
      </w:tr>
      <w:tr>
        <w:trPr/>
        <w:tc>
          <w:tcPr>
            <w:tcW w:w="44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Approved By Security 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664"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172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20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521,696</w:t>
            </w:r>
          </w:p>
        </w:tc>
        <w:tc>
          <w:tcPr>
            <w:tcW w:w="62" w:type="dxa"/>
            <w:tcBorders/>
            <w:shd w:fill="CCEEFF" w:val="clear"/>
            <w:vAlign w:val="center"/>
          </w:tcPr>
          <w:p>
            <w:pPr>
              <w:pStyle w:val="TableContents"/>
              <w:bidi w:val="0"/>
              <w:spacing w:before="0" w:after="283"/>
              <w:jc w:val="left"/>
              <w:rPr/>
            </w:pPr>
            <w:r>
              <w:rPr/>
              <w:t> </w:t>
            </w:r>
          </w:p>
        </w:tc>
      </w:tr>
      <w:tr>
        <w:trPr/>
        <w:tc>
          <w:tcPr>
            <w:tcW w:w="44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Not Approved By Security 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664"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72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20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r>
      <w:tr>
        <w:trPr/>
        <w:tc>
          <w:tcPr>
            <w:tcW w:w="44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664"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521,696</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Potential Payments upon Termination or Change in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maintain the Friedman Industries, Inc. Employees’ Retirement and 401(k) Plan (the “401(k) Plan”), a defined contribution 401(k) plan. The 401(k) Plan covers substantially all employees, including officers, and employees’ rights to all Plan benefits become fully vested upon completion of six years of service. The Company maintains a life insurance policy on Mr. LaRue but does not currently have a policy in place on Messrs. Taylor and Chhibbar. From time to time and in its discretion, the Board has approved the transfer of an applicable life insurance policy to an officer upon the officer’s retirement. At March 31, 2026, the cash surrender value of the life insurance policy held by the Company on Mr. LaRue was approximately $13,000.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Company has a Key Employee Change in Control Severance Plan (the “Plan”). The Plan is intended to enable the Company to attract and retain designated officers and other key management employees (“Participants”) and maintain a stable work environment by providing certain unfunded compensation and other benefits (“Severance Benefits”) to Participants in the event of a qualifying termination of employment in connection with a qualifying Change in Control transaction. The Board has the authority to amend or terminate the Plan at any time prior to a Change in Control transaction, subject to certain other restrictions set forth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Plan administrator has all powers reasonably necessary to carry out its responsibilities under the Plan. The Plan administrator designates which officers and other key management employees of the Company participate in the Plan and become Participants. Eligible employees consist only of a select group of management or highly compensated employees who do not have an individual severance agreement or change in control agreement with the Company in effect. Subject to the restrictions set forth in the Plan, the Plan administrator may also discontinue a Participant’s participation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Pursuant to the terms of the Plan, a Participant will receive Severance Benefits under the Plan only if he or she experiences an Involuntary Termination. An Involuntary Termination is a termination of the Participant’s employment with the Company that occurs during a “Change in Control Period” and that constitutes either a “good reason” termination of employment by the Participant or a termination without “cause” by the Company, as provided in the Plan. A “Change in Control Period” begins three months prior to, and ends 18 months following,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 Change in Control is generally deemed to have occurred upon the occurrence of any of the following events: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consummation of a merger of the Company with another entity not controlled by the holders of the Company voting securities;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person becomes a beneficial owner of securities of the Company representing at least 30% of the voting power of the Company’s outstanding “voting securities,” subject to certain restrictions;</w:t>
            </w:r>
          </w:p>
        </w:tc>
      </w:tr>
    </w:tbl>
    <w:tbl>
      <w:tblPr>
        <w:tblW w:w="7855" w:type="dxa"/>
        <w:jc w:val="left"/>
        <w:tblInd w:w="0" w:type="dxa"/>
        <w:tblLayout w:type="fixed"/>
        <w:tblCellMar>
          <w:top w:w="0" w:type="dxa"/>
          <w:left w:w="0" w:type="dxa"/>
          <w:bottom w:w="0" w:type="dxa"/>
          <w:right w:w="0" w:type="dxa"/>
        </w:tblCellMar>
      </w:tblPr>
      <w:tblGrid>
        <w:gridCol w:w="60"/>
        <w:gridCol w:w="170"/>
        <w:gridCol w:w="76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Incumbent directors cease for any reason to constitute a majority of the members of the Board;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sale, transfer, lease or other disposition of all or substantially all of the Company’s assets is consummated, subject to certain restrictions and limitations; or</w:t>
            </w:r>
          </w:p>
        </w:tc>
      </w:tr>
    </w:tbl>
    <w:tbl>
      <w:tblPr>
        <w:tblW w:w="8770" w:type="dxa"/>
        <w:jc w:val="left"/>
        <w:tblInd w:w="0" w:type="dxa"/>
        <w:tblLayout w:type="fixed"/>
        <w:tblCellMar>
          <w:top w:w="0" w:type="dxa"/>
          <w:left w:w="0" w:type="dxa"/>
          <w:bottom w:w="0" w:type="dxa"/>
          <w:right w:w="0" w:type="dxa"/>
        </w:tblCellMar>
      </w:tblPr>
      <w:tblGrid>
        <w:gridCol w:w="60"/>
        <w:gridCol w:w="170"/>
        <w:gridCol w:w="85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stockholders of the Company approve a plan of complete liquidation or dissolution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Company will provide the following Severance Benefits under the Plan:</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60"/>
        <w:gridCol w:w="170"/>
        <w:gridCol w:w="3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lump sum cash payment equal to the sum of:</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the product of the Participant’s “severance multiplier” times the sum of the Participant’s base salary and the average of the Participant’s annual bonuses paid during the three prior years; and</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 a pro-rata bonus amount equal to the average of the Participant’s annual bonuses paid during the three prior years and pro-rated based on the number of days the Participant was employed during the year of termination;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cash payment equal to the product of the Participant’s severance multiplier times 12 times the monthly contribution the Company makes to the cost for the Participant and, if applicable, the Participant’s spouse and dependents, to participate in the Company’s medical, dental and vision coverage, calculated based on the contribution cost for such coverage for the month immediately preceding the date of Involuntary Termination;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 to $10,000 of outplacement services provided by one of the Company’s preferred outplacement providers suitable to the Participant’s position, and designated by the Participant, for a period of one year or, if earlier, until the first acceptance by the Participant of an offer of employment.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Any Severance Benefits payable to a Participant will be reduced by any severance benefits that a Participant would otherwise be entitled under any general severance policy, plan, or agreement maintained by the Company, unless expressly provided otherwise, as well as any severance benefits that a Participant would be entitled by operation of a statute or government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key employees currently designated by the Plan administrator as Participants in the Plan and their respective severance multiplier: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880" w:type="dxa"/>
        <w:jc w:val="left"/>
        <w:tblInd w:w="-7" w:type="dxa"/>
        <w:tblLayout w:type="fixed"/>
        <w:tblCellMar>
          <w:top w:w="28" w:type="dxa"/>
          <w:left w:w="28" w:type="dxa"/>
          <w:bottom w:w="28" w:type="dxa"/>
          <w:right w:w="28" w:type="dxa"/>
        </w:tblCellMar>
      </w:tblPr>
      <w:tblGrid>
        <w:gridCol w:w="1940"/>
        <w:gridCol w:w="2135"/>
        <w:gridCol w:w="1805"/>
      </w:tblGrid>
      <w:tr>
        <w:trPr/>
        <w:tc>
          <w:tcPr>
            <w:tcW w:w="5880" w:type="dxa"/>
            <w:gridSpan w:val="3"/>
            <w:tcBorders>
              <w:top w:val="single" w:sz="6" w:space="0" w:color="000000"/>
              <w:left w:val="single" w:sz="6" w:space="0" w:color="000000"/>
              <w:bottom w:val="single" w:sz="6" w:space="0" w:color="000000"/>
              <w:right w:val="single" w:sz="6" w:space="0" w:color="000000"/>
            </w:tcBorders>
            <w:shd w:fill="E6E6E6"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Participants in the Plan</w:t>
            </w:r>
          </w:p>
        </w:tc>
      </w:tr>
      <w:tr>
        <w:trPr/>
        <w:tc>
          <w:tcPr>
            <w:tcW w:w="1940" w:type="dxa"/>
            <w:tcBorders>
              <w:left w:val="single" w:sz="2" w:space="0" w:color="000000"/>
              <w:bottom w:val="single" w:sz="2" w:space="0" w:color="000000"/>
            </w:tcBorders>
            <w:shd w:fill="E6E6E6" w:val="clear"/>
            <w:tcMar>
              <w:top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Key Employee</w:t>
            </w:r>
            <w:r>
              <w:rPr>
                <w:rFonts w:ascii="Times New Roman" w:hAnsi="Times New Roman"/>
                <w:caps w:val="false"/>
                <w:smallCaps w:val="false"/>
                <w:sz w:val="20"/>
              </w:rPr>
              <w:t>’</w:t>
            </w:r>
            <w:r>
              <w:rPr>
                <w:rFonts w:ascii="Times New Roman" w:hAnsi="Times New Roman"/>
                <w:b/>
                <w:caps w:val="false"/>
                <w:smallCaps w:val="false"/>
                <w:sz w:val="20"/>
              </w:rPr>
              <w:t>s Name</w:t>
            </w:r>
          </w:p>
        </w:tc>
        <w:tc>
          <w:tcPr>
            <w:tcW w:w="2135" w:type="dxa"/>
            <w:tcBorders>
              <w:left w:val="single" w:sz="2" w:space="0" w:color="000000"/>
              <w:bottom w:val="single" w:sz="2" w:space="0" w:color="000000"/>
              <w:right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Key Employee</w:t>
            </w:r>
            <w:r>
              <w:rPr>
                <w:rFonts w:ascii="Times New Roman" w:hAnsi="Times New Roman"/>
                <w:caps w:val="false"/>
                <w:smallCaps w:val="false"/>
                <w:sz w:val="20"/>
              </w:rPr>
              <w:t>’</w:t>
            </w:r>
            <w:r>
              <w:rPr>
                <w:rFonts w:ascii="Times New Roman" w:hAnsi="Times New Roman"/>
                <w:b/>
                <w:caps w:val="false"/>
                <w:smallCaps w:val="false"/>
                <w:sz w:val="20"/>
              </w:rPr>
              <w:t>s Position</w:t>
            </w:r>
          </w:p>
        </w:tc>
        <w:tc>
          <w:tcPr>
            <w:tcW w:w="1805" w:type="dxa"/>
            <w:tcBorders>
              <w:bottom w:val="single" w:sz="2" w:space="0" w:color="000000"/>
              <w:right w:val="single" w:sz="2" w:space="0" w:color="000000"/>
            </w:tcBorders>
            <w:shd w:fill="E6E6E6" w:val="clear"/>
            <w:tcMar>
              <w:top w:w="0" w:type="dxa"/>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Severance Multiplier</w:t>
            </w:r>
          </w:p>
        </w:tc>
      </w:tr>
      <w:tr>
        <w:trPr/>
        <w:tc>
          <w:tcPr>
            <w:tcW w:w="1940" w:type="dxa"/>
            <w:tcBorders>
              <w:left w:val="single" w:sz="2" w:space="0" w:color="000000"/>
              <w:bottom w:val="single" w:sz="2" w:space="0" w:color="000000"/>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Mike Taylor</w:t>
            </w:r>
          </w:p>
        </w:tc>
        <w:tc>
          <w:tcPr>
            <w:tcW w:w="213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18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r>
      <w:tr>
        <w:trPr/>
        <w:tc>
          <w:tcPr>
            <w:tcW w:w="1940" w:type="dxa"/>
            <w:tcBorders>
              <w:left w:val="single" w:sz="2" w:space="0" w:color="000000"/>
              <w:bottom w:val="single" w:sz="2" w:space="0" w:color="000000"/>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Alex LaRue</w:t>
            </w:r>
          </w:p>
        </w:tc>
        <w:tc>
          <w:tcPr>
            <w:tcW w:w="213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18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r>
      <w:tr>
        <w:trPr/>
        <w:tc>
          <w:tcPr>
            <w:tcW w:w="1940" w:type="dxa"/>
            <w:tcBorders>
              <w:left w:val="single" w:sz="2" w:space="0" w:color="000000"/>
              <w:bottom w:val="single" w:sz="2" w:space="0" w:color="000000"/>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Gaurav Chhibbar</w:t>
            </w:r>
          </w:p>
        </w:tc>
        <w:tc>
          <w:tcPr>
            <w:tcW w:w="213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Operating Officer</w:t>
            </w:r>
          </w:p>
        </w:tc>
        <w:tc>
          <w:tcPr>
            <w:tcW w:w="18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As a condition to receiving Severance Benefits under the Plan, a Participant who incurs an Involuntary Termination must properly and timely execute and deliver to the Plan administrator, and not revoke, a separation agreement and release of all claims in favor of the Company in the form provided by the Plan administrator. A Participant forfeits all rights and benefits under the Plan if the Participant fails to timely provide a release or thereafter revokes the release during the applicable revocation period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 Versus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accordance with the SEC’s disclosure requirements, we are providing the following information about the relationship between executive compensation, our total shareholder return and net income for the most recent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Pay Versus Performance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table sets forth information concerning the compensation of our named executive officers for each of the fiscal years ended March 31, 2026, 2025 and 2024, and our financial performance for each such fiscal year. The amounts shown for “Compensation Actually Paid” reflects the Summary Compensation Table total with certain adjustments as described below, but does not reflect compensation actually earned, realized, or received by our NEOs.</w:t>
      </w:r>
    </w:p>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81"/>
        <w:gridCol w:w="60"/>
        <w:gridCol w:w="1551"/>
        <w:gridCol w:w="60"/>
        <w:gridCol w:w="60"/>
        <w:gridCol w:w="1261"/>
        <w:gridCol w:w="60"/>
        <w:gridCol w:w="60"/>
        <w:gridCol w:w="2543"/>
        <w:gridCol w:w="60"/>
        <w:gridCol w:w="60"/>
        <w:gridCol w:w="1349"/>
        <w:gridCol w:w="60"/>
        <w:gridCol w:w="60"/>
        <w:gridCol w:w="1228"/>
        <w:gridCol w:w="60"/>
        <w:gridCol w:w="60"/>
        <w:gridCol w:w="1055"/>
        <w:gridCol w:w="77"/>
      </w:tblGrid>
      <w:tr>
        <w:trPr/>
        <w:tc>
          <w:tcPr>
            <w:tcW w:w="48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Year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5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Summary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Table Total for PEO</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6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Compensation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Actually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 to PEO</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543"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Compensation Table Total for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Non-PEO NEOs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49"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Actually Paid to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Non-PEO NEOs</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28"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 of Initial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Fixed $100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Investment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Based on Total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Shareholder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Return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Earnings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77" w:type="dxa"/>
            <w:tcBorders>
              <w:bottom w:val="single" w:sz="2" w:space="0" w:color="000000"/>
            </w:tcBorders>
            <w:vAlign w:val="center"/>
          </w:tcPr>
          <w:p>
            <w:pPr>
              <w:pStyle w:val="TableContents"/>
              <w:bidi w:val="0"/>
              <w:spacing w:before="0" w:after="283"/>
              <w:jc w:val="left"/>
              <w:rPr/>
            </w:pPr>
            <w:r>
              <w:rPr/>
              <w:t> </w:t>
            </w:r>
          </w:p>
        </w:tc>
      </w:tr>
      <w:tr>
        <w:trPr/>
        <w:tc>
          <w:tcPr>
            <w:tcW w:w="4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5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2,709,607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2,874,307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1,936,534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4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1,855,808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19,533,000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8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5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700,734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6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662,234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365,704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4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361,854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2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6,085,000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5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1,614,524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1,693,724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693,581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4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701,501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17,345,000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For each fiscal year shown, our principal executive officers, or PEOs and our remaining NEOs or Non-PEO NEOs, represent the following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395" w:type="dxa"/>
        <w:jc w:val="left"/>
        <w:tblInd w:w="0" w:type="dxa"/>
        <w:tblLayout w:type="fixed"/>
        <w:tblCellMar>
          <w:top w:w="0" w:type="dxa"/>
          <w:left w:w="0" w:type="dxa"/>
          <w:bottom w:w="28" w:type="dxa"/>
          <w:right w:w="0" w:type="dxa"/>
        </w:tblCellMar>
      </w:tblPr>
      <w:tblGrid>
        <w:gridCol w:w="455"/>
        <w:gridCol w:w="1445"/>
        <w:gridCol w:w="2495"/>
      </w:tblGrid>
      <w:tr>
        <w:trPr/>
        <w:tc>
          <w:tcPr>
            <w:tcW w:w="4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144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PEOs</w:t>
            </w:r>
          </w:p>
        </w:tc>
        <w:tc>
          <w:tcPr>
            <w:tcW w:w="24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Non-PEO NEOs</w:t>
            </w:r>
          </w:p>
        </w:tc>
      </w:tr>
      <w:tr>
        <w:trPr/>
        <w:tc>
          <w:tcPr>
            <w:tcW w:w="45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44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Michael J. Taylor</w:t>
            </w:r>
          </w:p>
        </w:tc>
        <w:tc>
          <w:tcPr>
            <w:tcW w:w="249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Alex LaRue, Gaurav Chhibbar</w:t>
            </w:r>
          </w:p>
        </w:tc>
      </w:tr>
      <w:tr>
        <w:trPr/>
        <w:tc>
          <w:tcPr>
            <w:tcW w:w="4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44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Michael J. Taylor</w:t>
            </w:r>
          </w:p>
        </w:tc>
        <w:tc>
          <w:tcPr>
            <w:tcW w:w="249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Alex LaRue</w:t>
            </w:r>
          </w:p>
        </w:tc>
      </w:tr>
      <w:tr>
        <w:trPr/>
        <w:tc>
          <w:tcPr>
            <w:tcW w:w="45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144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Michael J. Taylor</w:t>
            </w:r>
          </w:p>
        </w:tc>
        <w:tc>
          <w:tcPr>
            <w:tcW w:w="249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Alex LaRue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Amounts represent compensation actually paid to our PEO and the average compensation actually paid to our Non-PEO NEOs for the relevant fiscal year as determined under Item 402(v)(2)(iii) of Regulation S-K to calculate “compensation actually paid”, which include the following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8120" w:type="dxa"/>
        <w:jc w:val="left"/>
        <w:tblInd w:w="0" w:type="dxa"/>
        <w:tblLayout w:type="fixed"/>
        <w:tblCellMar>
          <w:top w:w="0" w:type="dxa"/>
          <w:left w:w="0" w:type="dxa"/>
          <w:bottom w:w="0" w:type="dxa"/>
          <w:right w:w="0" w:type="dxa"/>
        </w:tblCellMar>
      </w:tblPr>
      <w:tblGrid>
        <w:gridCol w:w="8120"/>
      </w:tblGrid>
      <w:tr>
        <w:trPr/>
        <w:tc>
          <w:tcPr>
            <w:tcW w:w="81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Compensation actually paid to PEO and average compensation actually paid to Non-PEO NEOs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440"/>
        <w:gridCol w:w="60"/>
        <w:gridCol w:w="81"/>
        <w:gridCol w:w="1154"/>
        <w:gridCol w:w="60"/>
        <w:gridCol w:w="60"/>
        <w:gridCol w:w="66"/>
        <w:gridCol w:w="838"/>
        <w:gridCol w:w="80"/>
        <w:gridCol w:w="60"/>
        <w:gridCol w:w="92"/>
        <w:gridCol w:w="1083"/>
        <w:gridCol w:w="60"/>
        <w:gridCol w:w="60"/>
        <w:gridCol w:w="93"/>
        <w:gridCol w:w="1016"/>
        <w:gridCol w:w="80"/>
        <w:gridCol w:w="60"/>
        <w:gridCol w:w="970"/>
        <w:gridCol w:w="1298"/>
        <w:gridCol w:w="60"/>
        <w:gridCol w:w="60"/>
        <w:gridCol w:w="86"/>
        <w:gridCol w:w="798"/>
        <w:gridCol w:w="80"/>
        <w:gridCol w:w="60"/>
        <w:gridCol w:w="84"/>
        <w:gridCol w:w="1201"/>
        <w:gridCol w:w="65"/>
      </w:tblGrid>
      <w:tr>
        <w:trPr/>
        <w:tc>
          <w:tcPr>
            <w:tcW w:w="2759" w:type="dxa"/>
            <w:gridSpan w:val="8"/>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Reported in Summary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Table(a)</w:t>
            </w:r>
          </w:p>
        </w:tc>
        <w:tc>
          <w:tcPr>
            <w:tcW w:w="80" w:type="dxa"/>
            <w:tcBorders>
              <w:top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7241" w:type="dxa"/>
            <w:gridSpan w:val="18"/>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 Award Adjustments</w:t>
            </w:r>
          </w:p>
        </w:tc>
        <w:tc>
          <w:tcPr>
            <w:tcW w:w="65" w:type="dxa"/>
            <w:tcBorders>
              <w:top w:val="single" w:sz="2" w:space="0" w:color="000000"/>
              <w:bottom w:val="single" w:sz="2" w:space="0" w:color="000000"/>
            </w:tcBorders>
            <w:vAlign w:val="center"/>
          </w:tcPr>
          <w:p>
            <w:pPr>
              <w:pStyle w:val="TableContents"/>
              <w:bidi w:val="0"/>
              <w:spacing w:before="0" w:after="283"/>
              <w:jc w:val="left"/>
              <w:rPr/>
            </w:pPr>
            <w:r>
              <w:rPr/>
              <w:t> </w:t>
            </w:r>
          </w:p>
        </w:tc>
      </w:tr>
      <w:tr>
        <w:trPr/>
        <w:tc>
          <w:tcPr>
            <w:tcW w:w="440" w:type="dxa"/>
            <w:tcBorders>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Deduct Stock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and Option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 ($)</w:t>
            </w:r>
          </w:p>
        </w:tc>
        <w:tc>
          <w:tcPr>
            <w:tcW w:w="80" w:type="dxa"/>
            <w:tcBorders>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 Fair Value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Year End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Awards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Granted During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that Remain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Outstanding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and Unvested as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Year End(b)</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 Year over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Year Change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Fair Value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of Awards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Granted in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Prior Year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that Remain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Outstanding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and Unvested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Year</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End(c) ($)</w:t>
            </w:r>
          </w:p>
        </w:tc>
        <w:tc>
          <w:tcPr>
            <w:tcW w:w="80" w:type="dxa"/>
            <w:tcBorders>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2268" w:type="dxa"/>
            <w:gridSpan w:val="2"/>
            <w:tcBorders>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Add Fair Value as of Vesting Date of Awards Granted During Year that Vested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During Year(d)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884" w:type="dxa"/>
            <w:gridSpan w:val="2"/>
            <w:tcBorders>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Add Year over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Change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Fair Value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of Awards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Granted in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Prior Year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that Vest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During Year(e)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85" w:type="dxa"/>
            <w:gridSpan w:val="2"/>
            <w:tcBorders>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Compensation </w:t>
            </w:r>
          </w:p>
          <w:p>
            <w:pPr>
              <w:pStyle w:val="TableContents"/>
              <w:bidi w:val="0"/>
              <w:spacing w:lineRule="auto" w:line="288" w:before="0" w:after="0"/>
              <w:ind w:left="0" w:right="0" w:hanging="0"/>
              <w:jc w:val="center"/>
              <w:rPr>
                <w:caps w:val="false"/>
                <w:smallCaps w:val="false"/>
              </w:rPr>
            </w:pPr>
            <w:r>
              <w:rPr>
                <w:caps w:val="false"/>
                <w:smallCaps w:val="false"/>
              </w:rPr>
              <w:t>“</w:t>
            </w:r>
            <w:r>
              <w:rPr>
                <w:rFonts w:ascii="Times New Roman;Times;serif" w:hAnsi="Times New Roman;Times;serif"/>
                <w:b/>
                <w:caps w:val="false"/>
                <w:smallCaps w:val="false"/>
                <w:sz w:val="20"/>
              </w:rPr>
              <w:t xml:space="preserve">Actually Paid”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 ($)</w:t>
            </w:r>
          </w:p>
        </w:tc>
        <w:tc>
          <w:tcPr>
            <w:tcW w:w="65" w:type="dxa"/>
            <w:tcBorders>
              <w:bottom w:val="single" w:sz="2" w:space="0" w:color="000000"/>
            </w:tcBorders>
            <w:tcMar>
              <w:top w:w="0" w:type="dxa"/>
            </w:tcMar>
            <w:vAlign w:val="center"/>
          </w:tcPr>
          <w:p>
            <w:pPr>
              <w:pStyle w:val="TableContents"/>
              <w:bidi w:val="0"/>
              <w:spacing w:before="0" w:after="283"/>
              <w:jc w:val="left"/>
              <w:rPr/>
            </w:pPr>
            <w:r>
              <w:rPr/>
              <w:t> </w:t>
            </w:r>
          </w:p>
        </w:tc>
      </w:tr>
      <w:tr>
        <w:trPr/>
        <w:tc>
          <w:tcPr>
            <w:tcW w:w="10140" w:type="dxa"/>
            <w:gridSpan w:val="28"/>
            <w:tcBorders/>
            <w:shd w:fill="CCEEFF" w:val="clear"/>
            <w:tcMar>
              <w:top w:w="0" w:type="dxa"/>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PEO</w:t>
            </w:r>
          </w:p>
        </w:tc>
        <w:tc>
          <w:tcPr>
            <w:tcW w:w="65" w:type="dxa"/>
            <w:tcBorders/>
            <w:shd w:fill="CCEEFF" w:val="clear"/>
            <w:tcMar>
              <w:top w:w="0" w:type="dxa"/>
              <w:bottom w:w="0" w:type="dxa"/>
            </w:tcMar>
            <w:vAlign w:val="center"/>
          </w:tcPr>
          <w:p>
            <w:pPr>
              <w:pStyle w:val="TableContents"/>
              <w:bidi w:val="0"/>
              <w:spacing w:before="0" w:after="283"/>
              <w:jc w:val="left"/>
              <w:rPr/>
            </w:pPr>
            <w:r>
              <w:rPr/>
              <w:t> </w:t>
            </w:r>
          </w:p>
        </w:tc>
      </w:tr>
      <w:tr>
        <w:trPr/>
        <w:tc>
          <w:tcPr>
            <w:tcW w:w="440" w:type="dxa"/>
            <w:tcBorders/>
            <w:shd w:fill="FFFF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1"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2,709,607</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6"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3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(718,234</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2"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083"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887,934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3"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016"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7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29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6"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79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4"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201"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2,874,307</w:t>
            </w:r>
          </w:p>
        </w:tc>
        <w:tc>
          <w:tcPr>
            <w:tcW w:w="65" w:type="dxa"/>
            <w:tcBorders/>
            <w:shd w:fill="FFFFFF" w:val="clear"/>
            <w:tcMar>
              <w:top w:w="0" w:type="dxa"/>
              <w:bottom w:w="0" w:type="dxa"/>
            </w:tcMar>
            <w:vAlign w:val="center"/>
          </w:tcPr>
          <w:p>
            <w:pPr>
              <w:pStyle w:val="TableContents"/>
              <w:bidi w:val="0"/>
              <w:spacing w:before="0" w:after="283"/>
              <w:jc w:val="left"/>
              <w:rPr/>
            </w:pPr>
            <w:r>
              <w:rPr/>
              <w:t> </w:t>
            </w:r>
          </w:p>
        </w:tc>
      </w:tr>
      <w:tr>
        <w:trPr/>
        <w:tc>
          <w:tcPr>
            <w:tcW w:w="440" w:type="dxa"/>
            <w:tcBorders/>
            <w:shd w:fill="CCEE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1"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154"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700,734</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6"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38"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92"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083"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93"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016"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(38,500</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97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298"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6"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798"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4"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201"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662,234</w:t>
            </w:r>
          </w:p>
        </w:tc>
        <w:tc>
          <w:tcPr>
            <w:tcW w:w="65" w:type="dxa"/>
            <w:tcBorders/>
            <w:shd w:fill="CCEEFF" w:val="clear"/>
            <w:tcMar>
              <w:top w:w="0" w:type="dxa"/>
              <w:bottom w:w="0" w:type="dxa"/>
            </w:tcMar>
            <w:vAlign w:val="center"/>
          </w:tcPr>
          <w:p>
            <w:pPr>
              <w:pStyle w:val="TableContents"/>
              <w:bidi w:val="0"/>
              <w:spacing w:before="0" w:after="283"/>
              <w:jc w:val="left"/>
              <w:rPr/>
            </w:pPr>
            <w:r>
              <w:rPr/>
              <w:t> </w:t>
            </w:r>
          </w:p>
        </w:tc>
      </w:tr>
      <w:tr>
        <w:trPr/>
        <w:tc>
          <w:tcPr>
            <w:tcW w:w="440" w:type="dxa"/>
            <w:tcBorders/>
            <w:shd w:fill="FFFF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1"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1,614,524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6"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3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2"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083"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3"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016"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74,000</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7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29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6"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79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5,200</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4"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201"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1,693,724</w:t>
            </w:r>
          </w:p>
        </w:tc>
        <w:tc>
          <w:tcPr>
            <w:tcW w:w="65" w:type="dxa"/>
            <w:tcBorders/>
            <w:shd w:fill="FFFFFF" w:val="clear"/>
            <w:tcMar>
              <w:top w:w="0" w:type="dxa"/>
              <w:bottom w:w="0" w:type="dxa"/>
            </w:tcMar>
            <w:vAlign w:val="center"/>
          </w:tcPr>
          <w:p>
            <w:pPr>
              <w:pStyle w:val="TableContents"/>
              <w:bidi w:val="0"/>
              <w:spacing w:before="0" w:after="283"/>
              <w:jc w:val="left"/>
              <w:rPr/>
            </w:pPr>
            <w:r>
              <w:rPr/>
              <w:t> </w:t>
            </w:r>
          </w:p>
        </w:tc>
      </w:tr>
      <w:tr>
        <w:trPr/>
        <w:tc>
          <w:tcPr>
            <w:tcW w:w="10140" w:type="dxa"/>
            <w:gridSpan w:val="28"/>
            <w:tcBorders/>
            <w:shd w:fill="CCEEFF" w:val="clear"/>
            <w:tcMar>
              <w:top w:w="0" w:type="dxa"/>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Non-PEO NEOs</w:t>
            </w:r>
          </w:p>
        </w:tc>
        <w:tc>
          <w:tcPr>
            <w:tcW w:w="65" w:type="dxa"/>
            <w:tcBorders/>
            <w:shd w:fill="CCEEFF" w:val="clear"/>
            <w:tcMar>
              <w:top w:w="0" w:type="dxa"/>
              <w:bottom w:w="0" w:type="dxa"/>
            </w:tcMar>
            <w:vAlign w:val="center"/>
          </w:tcPr>
          <w:p>
            <w:pPr>
              <w:pStyle w:val="TableContents"/>
              <w:bidi w:val="0"/>
              <w:spacing w:before="0" w:after="283"/>
              <w:jc w:val="left"/>
              <w:rPr/>
            </w:pPr>
            <w:r>
              <w:rPr/>
              <w:t> </w:t>
            </w:r>
          </w:p>
        </w:tc>
      </w:tr>
      <w:tr>
        <w:trPr/>
        <w:tc>
          <w:tcPr>
            <w:tcW w:w="440" w:type="dxa"/>
            <w:tcBorders/>
            <w:shd w:fill="FFFF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1"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1,936,534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6"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3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(683,593</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2"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083"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603,152</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3"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016"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7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29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6"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79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4"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201"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1,855,808</w:t>
            </w:r>
          </w:p>
        </w:tc>
        <w:tc>
          <w:tcPr>
            <w:tcW w:w="65" w:type="dxa"/>
            <w:tcBorders/>
            <w:shd w:fill="FFFFFF" w:val="clear"/>
            <w:tcMar>
              <w:top w:w="0" w:type="dxa"/>
              <w:bottom w:w="0" w:type="dxa"/>
            </w:tcMar>
            <w:vAlign w:val="center"/>
          </w:tcPr>
          <w:p>
            <w:pPr>
              <w:pStyle w:val="TableContents"/>
              <w:bidi w:val="0"/>
              <w:spacing w:before="0" w:after="283"/>
              <w:jc w:val="left"/>
              <w:rPr/>
            </w:pPr>
            <w:r>
              <w:rPr/>
              <w:t> </w:t>
            </w:r>
          </w:p>
        </w:tc>
      </w:tr>
      <w:tr>
        <w:trPr/>
        <w:tc>
          <w:tcPr>
            <w:tcW w:w="440" w:type="dxa"/>
            <w:tcBorders/>
            <w:shd w:fill="CCEE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1"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154"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365,704</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6"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838"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92"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083"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93"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016"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(3,850</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97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298"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6"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798"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84"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1201"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361,854</w:t>
            </w:r>
          </w:p>
        </w:tc>
        <w:tc>
          <w:tcPr>
            <w:tcW w:w="65" w:type="dxa"/>
            <w:tcBorders/>
            <w:shd w:fill="CCEEFF" w:val="clear"/>
            <w:tcMar>
              <w:top w:w="0" w:type="dxa"/>
              <w:bottom w:w="0" w:type="dxa"/>
            </w:tcMar>
            <w:vAlign w:val="center"/>
          </w:tcPr>
          <w:p>
            <w:pPr>
              <w:pStyle w:val="TableContents"/>
              <w:bidi w:val="0"/>
              <w:spacing w:before="0" w:after="283"/>
              <w:jc w:val="left"/>
              <w:rPr/>
            </w:pPr>
            <w:r>
              <w:rPr/>
              <w:t> </w:t>
            </w:r>
          </w:p>
        </w:tc>
      </w:tr>
      <w:tr>
        <w:trPr/>
        <w:tc>
          <w:tcPr>
            <w:tcW w:w="440" w:type="dxa"/>
            <w:tcBorders/>
            <w:shd w:fill="FFFF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1"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154"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693,581</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6"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83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2"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083"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3"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016"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7,400</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97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29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6"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798"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84"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1201"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701,501</w:t>
            </w:r>
          </w:p>
        </w:tc>
        <w:tc>
          <w:tcPr>
            <w:tcW w:w="65" w:type="dxa"/>
            <w:tcBorders/>
            <w:shd w:fill="FFFFFF" w:val="clear"/>
            <w:tcMar>
              <w:top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2"/>
        <w:gridCol w:w="9943"/>
      </w:tblGrid>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for our PEO, the applicable amounts reported in the Summary Compensation Table and for the Non-PEO NEOs, the average of the applicable amounts reported in the Summary Compensation Table in each of the fiscal years indicated.</w:t>
            </w:r>
          </w:p>
        </w:tc>
      </w:tr>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either (i) the fair value, with respect to our PEO, or (ii) the average of the fair value, with respect to the Non-PEO NEOs, in each case as of March 31 of the covered fiscal year of awards granted in the covered fiscal year that remained outstanding and unvested (in whole or in part) as of the end of the covered fiscal year.</w:t>
            </w:r>
          </w:p>
        </w:tc>
      </w:tr>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either (i) the change in fair value, with respect to our PEO, or (ii) the average of the change in fair value, with respect to the Non-PEO NEOs, in each case from March 31 of the prior fiscal year to March 31 of the covered fiscal year of awards granted in a prior fiscal year that remained outstanding and unvested (in whole or in part) as of the end of the covered fiscal year.</w:t>
            </w:r>
          </w:p>
        </w:tc>
      </w:tr>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either (i) the fair value, with respect to our PEO, or (ii) the average of the fair value, with respect to the Non-PEO NEOs, in each case, as of the day awards became vested in the covered fiscal year, when such awards were also granted in the covered fiscal year.</w:t>
            </w:r>
          </w:p>
        </w:tc>
      </w:tr>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9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either (i) the change in fair value, with respect to our PEO, or (ii) the average of the change in fair value, with respect to the Non-PEO NEOs, in each case from March 31 of the prior fiscal year to the day awards became vested in the covered fiscal year, when such awards were granted in a prior fiscal year.</w:t>
            </w:r>
          </w:p>
        </w:tc>
      </w:tr>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99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for our PEO, the total compensation actually paid and for the Non-PEO NEOs, the average total compensation actually paid in each of the fiscal years indicated.</w:t>
            </w:r>
          </w:p>
        </w:tc>
      </w:tr>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943"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Relationship Between Pay and Financial Performance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graph below compares the compensation actually paid to our PEO and the average of the compensation actually paid to our Non-PEO NEOs, with our cumulative total shareholder return, or TSR, for the fiscal years ended March 31, 2026, 2025 and 2024. TSR amounts reported in the graph assume an initial fixed investment of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581525" cy="2838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81525" cy="28384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graph below compares the compensation actually paid to our PEOs and the average of the compensation actually paid to our Non-PEO NEOs, with our net income, for the fiscal years ended March 31, 2026,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648200" cy="285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648200" cy="28575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Under the Exchange Act, our directors, executive officers and 10% shareholders must report to the SEC certain transactions involving Common Stock. Based solely on a review of the copies of the reports required pursuant to Section 16(a) of the Exchange Act that have been furnished to us and written representations that no other reports were required, we believe that these filing requirements have been satisfied for the fiscal year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following table sets forth certain information concerning the beneficial ownership of Common Stock by directors, nominees for director, Named Executive Officers, executive officers and directors as a group and persons who owned of record more than 5% of the outstanding Common Stock as of July 27, 2026:</w:t>
      </w:r>
    </w:p>
    <w:p>
      <w:pPr>
        <w:pStyle w:val="TextBody"/>
        <w:bidi w:val="0"/>
        <w:spacing w:before="0" w:after="0"/>
        <w:ind w:left="0" w:right="0" w:hanging="0"/>
        <w:jc w:val="left"/>
        <w:rPr>
          <w:caps w:val="false"/>
          <w:smallCaps w:val="false"/>
        </w:rPr>
      </w:pPr>
      <w:r>
        <w:rPr>
          <w:caps w:val="false"/>
          <w:smallCaps w:val="false"/>
        </w:rPr>
        <w:t> </w:t>
      </w:r>
    </w:p>
    <w:tbl>
      <w:tblPr>
        <w:tblW w:w="7983" w:type="dxa"/>
        <w:jc w:val="left"/>
        <w:tblInd w:w="0" w:type="dxa"/>
        <w:tblLayout w:type="fixed"/>
        <w:tblCellMar>
          <w:top w:w="0" w:type="dxa"/>
          <w:left w:w="0" w:type="dxa"/>
          <w:bottom w:w="28" w:type="dxa"/>
          <w:right w:w="0" w:type="dxa"/>
        </w:tblCellMar>
      </w:tblPr>
      <w:tblGrid>
        <w:gridCol w:w="4400"/>
        <w:gridCol w:w="60"/>
        <w:gridCol w:w="167"/>
        <w:gridCol w:w="1937"/>
        <w:gridCol w:w="60"/>
        <w:gridCol w:w="60"/>
        <w:gridCol w:w="196"/>
        <w:gridCol w:w="903"/>
        <w:gridCol w:w="200"/>
      </w:tblGrid>
      <w:tr>
        <w:trPr/>
        <w:tc>
          <w:tcPr>
            <w:tcW w:w="440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1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 and</w:t>
              <w:br/>
              <w:t>Nature of</w:t>
              <w:br/>
              <w:t xml:space="preserve">Beneficial Ownership(a)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Percentage</w:t>
              <w:br/>
              <w:t>of Shares</w:t>
              <w:br/>
              <w:t xml:space="preserve">Outstanding </w:t>
            </w:r>
          </w:p>
        </w:tc>
        <w:tc>
          <w:tcPr>
            <w:tcW w:w="200" w:type="dxa"/>
            <w:tcBorders/>
            <w:tcMar>
              <w:bottom w:w="0" w:type="dxa"/>
            </w:tcMar>
            <w:vAlign w:val="center"/>
          </w:tcPr>
          <w:p>
            <w:pPr>
              <w:pStyle w:val="TableContents"/>
              <w:bidi w:val="0"/>
              <w:spacing w:before="0" w:after="283"/>
              <w:jc w:val="left"/>
              <w:rPr/>
            </w:pPr>
            <w:r>
              <w:rPr/>
              <w:t> </w:t>
            </w:r>
          </w:p>
        </w:tc>
      </w:tr>
      <w:tr>
        <w:trPr/>
        <w:tc>
          <w:tcPr>
            <w:tcW w:w="4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Dimensional Fund Advisors LP</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04" w:type="dxa"/>
            <w:gridSpan w:val="2"/>
            <w:tcBorders/>
            <w:shd w:fill="CCEEFF" w:val="clear"/>
            <w:tcMar>
              <w:bottom w:w="0" w:type="dxa"/>
            </w:tcMar>
            <w:vAlign w:val="center"/>
          </w:tcPr>
          <w:p>
            <w:pPr>
              <w:pStyle w:val="TableContents"/>
              <w:bidi w:val="0"/>
              <w:spacing w:before="0" w:after="0"/>
              <w:ind w:left="0" w:right="0" w:firstLine="18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538,127(b)</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ind w:left="0" w:right="0" w:hanging="0"/>
              <w:jc w:val="left"/>
              <w:rPr/>
            </w:pPr>
            <w:r>
              <w:rPr/>
              <w:t> </w:t>
            </w:r>
          </w:p>
        </w:tc>
        <w:tc>
          <w:tcPr>
            <w:tcW w:w="9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6300 Bee Cave Road, Building One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93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903"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40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Austin, Texas 78746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93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903"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 Lisle Partners LLP.</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04" w:type="dxa"/>
            <w:gridSpan w:val="2"/>
            <w:tcBorders/>
            <w:shd w:fill="FFFFFF" w:val="clear"/>
            <w:tcMar>
              <w:bottom w:w="0" w:type="dxa"/>
            </w:tcMar>
            <w:vAlign w:val="center"/>
          </w:tcPr>
          <w:p>
            <w:pPr>
              <w:pStyle w:val="TableContents"/>
              <w:bidi w:val="0"/>
              <w:spacing w:before="0" w:after="0"/>
              <w:ind w:left="0" w:right="0" w:firstLine="18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419,816(c)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ind w:left="0" w:right="0" w:hanging="0"/>
              <w:jc w:val="left"/>
              <w:rPr/>
            </w:pPr>
            <w:r>
              <w:rPr/>
              <w:t> </w:t>
            </w:r>
          </w:p>
        </w:tc>
        <w:tc>
          <w:tcPr>
            <w:tcW w:w="9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 Firs Lane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9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903"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40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Poole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9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903"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BH14 8JG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93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903"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Kingdom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9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903"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Mike Taylor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ind w:left="0" w:right="0" w:hanging="0"/>
              <w:jc w:val="left"/>
              <w:rPr/>
            </w:pPr>
            <w:r>
              <w:rPr/>
              <w:t> </w:t>
            </w:r>
          </w:p>
        </w:tc>
        <w:tc>
          <w:tcPr>
            <w:tcW w:w="19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253,166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ind w:left="0" w:right="0" w:hanging="0"/>
              <w:jc w:val="left"/>
              <w:rPr/>
            </w:pPr>
            <w:r>
              <w:rPr/>
              <w:t> </w:t>
            </w:r>
          </w:p>
        </w:tc>
        <w:tc>
          <w:tcPr>
            <w:tcW w:w="9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Hanson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ind w:left="0" w:right="0" w:hanging="0"/>
              <w:jc w:val="left"/>
              <w:rPr/>
            </w:pPr>
            <w:r>
              <w:rPr/>
              <w:t> </w:t>
            </w:r>
          </w:p>
        </w:tc>
        <w:tc>
          <w:tcPr>
            <w:tcW w:w="19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9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Max Reichenthal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ind w:left="0" w:right="0" w:hanging="0"/>
              <w:jc w:val="left"/>
              <w:rPr/>
            </w:pPr>
            <w:r>
              <w:rPr/>
              <w:t> </w:t>
            </w:r>
          </w:p>
        </w:tc>
        <w:tc>
          <w:tcPr>
            <w:tcW w:w="19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90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Sandy Scott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ind w:left="0" w:right="0" w:hanging="0"/>
              <w:jc w:val="left"/>
              <w:rPr/>
            </w:pPr>
            <w:r>
              <w:rPr/>
              <w:t> </w:t>
            </w:r>
          </w:p>
        </w:tc>
        <w:tc>
          <w:tcPr>
            <w:tcW w:w="19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9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 Stevenson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ind w:left="0" w:right="0" w:hanging="0"/>
              <w:jc w:val="left"/>
              <w:rPr/>
            </w:pPr>
            <w:r>
              <w:rPr/>
              <w:t> </w:t>
            </w:r>
          </w:p>
        </w:tc>
        <w:tc>
          <w:tcPr>
            <w:tcW w:w="19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90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Sharon Taylor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ind w:left="0" w:right="0" w:hanging="0"/>
              <w:jc w:val="left"/>
              <w:rPr/>
            </w:pPr>
            <w:r>
              <w:rPr/>
              <w:t> </w:t>
            </w:r>
          </w:p>
        </w:tc>
        <w:tc>
          <w:tcPr>
            <w:tcW w:w="19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9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Joe L. Williams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ind w:left="0" w:right="0" w:hanging="0"/>
              <w:jc w:val="left"/>
              <w:rPr/>
            </w:pPr>
            <w:r>
              <w:rPr/>
              <w:t> </w:t>
            </w:r>
          </w:p>
        </w:tc>
        <w:tc>
          <w:tcPr>
            <w:tcW w:w="19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90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Alex LaRue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ind w:left="0" w:right="0" w:hanging="0"/>
              <w:jc w:val="left"/>
              <w:rPr/>
            </w:pPr>
            <w:r>
              <w:rPr/>
              <w:t> </w:t>
            </w:r>
          </w:p>
        </w:tc>
        <w:tc>
          <w:tcPr>
            <w:tcW w:w="19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9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Gaurav Chhibbar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ind w:left="0" w:right="0" w:hanging="0"/>
              <w:jc w:val="left"/>
              <w:rPr/>
            </w:pPr>
            <w:r>
              <w:rPr/>
              <w:t> </w:t>
            </w:r>
          </w:p>
        </w:tc>
        <w:tc>
          <w:tcPr>
            <w:tcW w:w="19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90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officers and directors as a group (9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ind w:left="0" w:right="0" w:hanging="0"/>
              <w:jc w:val="left"/>
              <w:rPr/>
            </w:pPr>
            <w:r>
              <w:rPr/>
              <w:t> </w:t>
            </w:r>
          </w:p>
        </w:tc>
        <w:tc>
          <w:tcPr>
            <w:tcW w:w="19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475,830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ind w:left="0" w:right="0" w:hanging="0"/>
              <w:jc w:val="left"/>
              <w:rPr/>
            </w:pPr>
            <w:r>
              <w:rPr/>
              <w:t> </w:t>
            </w:r>
          </w:p>
        </w:tc>
        <w:tc>
          <w:tcPr>
            <w:tcW w:w="9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270" w:type="dxa"/>
        <w:jc w:val="left"/>
        <w:tblInd w:w="0" w:type="dxa"/>
        <w:tblLayout w:type="fixed"/>
        <w:tblCellMar>
          <w:top w:w="0" w:type="dxa"/>
          <w:left w:w="0" w:type="dxa"/>
          <w:bottom w:w="0" w:type="dxa"/>
          <w:right w:w="0" w:type="dxa"/>
        </w:tblCellMar>
      </w:tblPr>
      <w:tblGrid>
        <w:gridCol w:w="125"/>
        <w:gridCol w:w="114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1%.</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upon information obtained from the officers, directors, director nominees and beneficial owners. Includes all shares beneficially owned according to the definition of “beneficial ownership” in the rules promulgated under the Exchange Act. Except as otherwise indicated, the indicated person has sole voting and investment power with respect to the shares.</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upon information contained in a Form 13F filed with the SEC on May 7, 2026 by Dimensional Fund Advisors LP (“Dimensional”). Dimensional is deemed to have beneficial ownership of 538,127 shares of the Common Stock as of March 31, 2026.</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upon information contained in a Form 13F filed with the SEC on May 13, 2026 by De Lisle Partners LLP (“De Lisle”). De Lisle is deemed to have beneficial ownership of 419,816 shares of the Common Stock as of March 31, 2026.</w:t>
            </w:r>
          </w:p>
        </w:tc>
      </w:tr>
    </w:tbl>
    <w:p>
      <w:pPr>
        <w:pStyle w:val="TextBody"/>
        <w:bidi w:val="0"/>
        <w:spacing w:before="0" w:after="0"/>
        <w:ind w:left="500" w:right="0" w:hanging="5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RATIFICATION OF SELECTION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Audit Committee has approved the appointment of Baker Tilly US, LLP (“Baker Tilly”) as independent auditor for the fiscal year ending March 31, 2027. The Audit Committee and the Board of Directors seek to have the shareholders ratify the Audit Committee's appointment of Baker Tilly. In recommending ratification by the shareholders of such engagement, the Board is acting upon the recommendation of the Audit Committee, which has satisfied itself as to Baker Tilly’s independence, professional competence and standing. As a matter of good corporate governance, we are asking shareholders to ratify this appointment. Our Audit Committee continually monitors the services and fees of the independent registered public accounting firm and even if the appointment is ratified by our shareholders, the Audit Committee in its discretion may select a different independent registered public accounting firm at any time during the year if it determines that such a change would be in the best interests of our Company and our shareholders. One or more representatives of Baker Tilly are expected to attend the Annual Meeting and will have the opportunity to make a statement at the Annual Meeting if they wish to do so and be available to respond to appropriate questions from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 in Independent Auditor During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On June 19, 2025, the Company was notified that the Company’s prior independent auditor, Moss Adams LLP ("Moss Adams"), merged with Baker Tilly effective on June 3, 2025 with the combined firms continuing to operate under the Baker Tilly name. In connection with the notification of the merger, Moss Adams resigned as the auditors of the Company and the Audit Committee of the Company’s Board of Directors approved the appointment of Baker Tilly, as the successor to Moss Adams, as the Company’s independent registered public accounting firm. The audit reports of Moss Adams on the Company’s consolidated financial statements for the years ended March 31, 2025 and 2024, and for each of the years then ended, and internal control over financial reporting as of March 31, 2025, did not contain an adverse opinion or a disclaimer of opinion, nor were they qualified or modified as to uncertainty, audit scope or accounting principles. During the years ended March 31, 2025 and 2024, and the subsequent interim period through June 19, 2025, there were no (a) disagreements with Moss Adams on any matter of accounting principles or practices, financial statement disclosure, or auditing scope or procedure, which, if not resolved to Moss Adams’ satisfaction, would have caused it to make reference to the subject matter of the disagreement in connection with its reports on the Company’s financial statements, or (b) reportable events requiring disclosure pursuant to Item 304(a)(1)(v)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During the years ended March 31, 2025 and 2024, and the subsequent interim period through June 19, 2025, neither the Company, nor anyone on its behalf, consulted with Baker Tilly regarding: (i) either the application of accounting principles to a specified transaction, either completed or proposed, or the type of audit opinion that might be rendered on the Company’s financial statements; or (ii) any matter that was either the subject of a “disagreement,” as defined in Item 304(a)(1)(iv) of Regulation S-K and the related instructions to that item, or a “reportable event,” as described in Item 304(a)(1)(v)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Company provided a copy of the foregoing disclosures to Moss Adams and requested that Moss Adams furnish the Company with a letter addressed to the Securities and Exchange Commission stating whether it agrees with the above statements, which were contained in Item 4.01 of the Current Report on Form 8-K filed on June 24, 2025. A copy of Moss Adams’ letter, dated June 24, 2025, is filed as Exhibit 16.1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Audit Fees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fiscal years 2026 and 2025, we retained Baker Tilly (formerly operating as Moss Adams) to provide services and incurred fees therefore as indicated in the following table:</w:t>
      </w:r>
    </w:p>
    <w:p>
      <w:pPr>
        <w:pStyle w:val="TextBody"/>
        <w:bidi w:val="0"/>
        <w:spacing w:before="0" w:after="0"/>
        <w:ind w:left="0" w:right="0" w:hanging="0"/>
        <w:jc w:val="left"/>
        <w:rPr>
          <w:caps w:val="false"/>
          <w:smallCaps w:val="false"/>
        </w:rPr>
      </w:pPr>
      <w:r>
        <w:rPr>
          <w:caps w:val="false"/>
          <w:smallCaps w:val="false"/>
        </w:rPr>
        <w:t> </w:t>
      </w:r>
    </w:p>
    <w:tbl>
      <w:tblPr>
        <w:tblW w:w="3898" w:type="dxa"/>
        <w:jc w:val="left"/>
        <w:tblInd w:w="0" w:type="dxa"/>
        <w:tblLayout w:type="fixed"/>
        <w:tblCellMar>
          <w:top w:w="0" w:type="dxa"/>
          <w:left w:w="0" w:type="dxa"/>
          <w:bottom w:w="0" w:type="dxa"/>
          <w:right w:w="0" w:type="dxa"/>
        </w:tblCellMar>
      </w:tblPr>
      <w:tblGrid>
        <w:gridCol w:w="1580"/>
        <w:gridCol w:w="60"/>
        <w:gridCol w:w="158"/>
        <w:gridCol w:w="881"/>
        <w:gridCol w:w="60"/>
        <w:gridCol w:w="60"/>
        <w:gridCol w:w="158"/>
        <w:gridCol w:w="881"/>
        <w:gridCol w:w="60"/>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br/>
              <w:t xml:space="preserve">Actual Fees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br/>
              <w:t xml:space="preserve">Actual Fees </w:t>
            </w:r>
          </w:p>
        </w:tc>
        <w:tc>
          <w:tcPr>
            <w:tcW w:w="6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Fees (1)</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724,500</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Audit-Related Fees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Fees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Fees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Fees</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724,500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fees and expenses incurred related to the fiscal year audit and interim reviews, notwithstanding when the fees and expenses were billed or when the services were rendered.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Audit Committee has implemented pre-approval policies and procedures for all audit and non-audit services to be provided by our independent public accountants to us. With regard to all permissible non-audit services, the Audit Committee has designated the Chair of the Audit Committee to approve in advance the provision by the independent public accountants of such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There were no services approved by the Audit Committee pursuant to the de minimis exception in paragraph (c)(7)(i)(C) of Rule 2-01 of Regulation S-X (17 CFR Part 210) during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order to be approved, Proposal No. 3 must receive the affirmative vote of a majority of the votes represented at the meeting, by person or proxy and entitled to vote at the meeting. Abstentions with respect to the approval of this proposal will have the effect of a vote against this proposal. Broker non-votes will not be treated as shares that are represented at the meeting for the purposes of this proposal and will have no effect on the outcome of the vote on this proposal. If the selection of Baker Tilly is not ratified, the Audit Committee will consider whether we should select another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The Board of Directors recommends voting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AMENDMENT OF THE COMPANY</w:t>
      </w:r>
      <w:r>
        <w:rPr>
          <w:rFonts w:ascii="Times New Roman" w:hAnsi="Times New Roman"/>
          <w:caps w:val="false"/>
          <w:smallCaps w:val="false"/>
          <w:sz w:val="20"/>
        </w:rPr>
        <w:t>’</w:t>
      </w:r>
      <w:r>
        <w:rPr>
          <w:rFonts w:ascii="Times New Roman" w:hAnsi="Times New Roman"/>
          <w:b/>
          <w:caps w:val="false"/>
          <w:smallCaps w:val="false"/>
          <w:sz w:val="20"/>
        </w:rPr>
        <w:t>S ARTICLES OF INCORPORATION TO ALLOW SHAREHOLDERS TO AMEND THE COMPANY</w:t>
      </w:r>
      <w:r>
        <w:rPr>
          <w:rFonts w:ascii="Times New Roman" w:hAnsi="Times New Roman"/>
          <w:caps w:val="false"/>
          <w:smallCaps w:val="false"/>
          <w:sz w:val="20"/>
        </w:rPr>
        <w:t>’</w:t>
      </w:r>
      <w:r>
        <w:rPr>
          <w:rFonts w:ascii="Times New Roman" w:hAnsi="Times New Roman"/>
          <w:b/>
          <w:caps w:val="false"/>
          <w:smallCaps w:val="false"/>
          <w:sz w:val="20"/>
        </w:rPr>
        <w:t>S BYLAWS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Board of Directors has approved and voted to recommend that the shareholders of the Company approve the amendment of our Articles of Incorporation, as amended (the “Amendment”) to enable the shareholders to amend the Company’s bylaws by adding the following new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ARTICLE TWELVE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furtherance and not in limitation of the powers conferred by statute, the board of directors is expressly empowered to adopt, amend, or repeal bylaws of the corporation. Any adoption, amendment, or repeal of the bylaws of the corporation by the board of directors shall require the approval of a majority of the entire board of directors. The shareholders shall also have the power to adopt, amend, or repeal the bylaws of the corporation; provided, however, that, in addition to any vote of the holders of any class or series of shares of the corporation required by law or by the Articles of Incorporation, the affirmative vote of the holders of at least seventy-five 75% of the voting power of all of the then outstanding shares of the corporation entitled to vote, voting together as a single class shall be required to adopt, amend, or repeal any provision of the bylaws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Amendment will be implemented if shareholders approve Proposal 4. If Proposal 4 is approved, the Company will file a Certificate of Amendment with the Texas Secretary of State setting forth the Amendments that will become effective upon filing with the Texas Secretary of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order to be approved, Proposal No. 4 must receive the affirmative vote of at least two-thirds of the outstanding shares of the Company entitled to vote at the meeting. Abstentions and Broker non-votes will count as votes against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The Board of Directors recommends voting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PROPOSALS OF SHAREHOLDERS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Proposals of shareholders intended to be included in our proxy statement and form of proxy for the 2027 Annual Meeting of Shareholders must be received at our principal executive offices at 1121 Judson Road, Suite 124, Longview, Texas 75601 on or before April 7, 2027. Proposals from shareholders for the 2027 Annual Meeting of Shareholders received at our principal executive offices before May 25, 2027 or after June 24, 2027, will be considered untimely. In addition, if applicable, to comply with the universal proxy rules, stockholders who intend to solicit proxies in support of director nominees other than the Company’s nominees must provide notice that sets forth the information required by Rule 14a-19 under the Exchange Act no later than July 24,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GENERAL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Management knows of no other matter to be presented at the meeting. If any other matter should be presented upon which a vote may properly be taken, it is intended that shares represented by the proxies in the accompanying form will be voted with respect thereto in accordance with the best judgment of the person or persons voting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cost of solicitation of proxies in the accompanying form will be paid by us. In addition to solicitation by use of the mails, certain of our directors, officers and regular employees may solicit the return of proxies by telephone, facsimile or personal interviews.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Some banks, brokers and other nominee record holders may be participating in the practice of “householding” proxy statements. This means that only one copy of this proxy statement may have been sent to multiple shareholders in your household. We will promptly deliver a separate copy of the document to you if you call or write us at the following address or phone number: P.O. Box 2192, Longview, Texas 75606, phone: 903-758-3431, Attention: Investor Relations. If you want to receive separate copies of our proxy statements in the future, or if you are receiving multiple copies and would like to receive only one copy for your household, you should contact your bank, broker or other nominee record holder, or you may contact us at the above address and phone number.</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00"/>
        <w:jc w:val="right"/>
        <w:rPr>
          <w:rFonts w:ascii="Times New Roman" w:hAnsi="Times New Roman"/>
          <w:caps w:val="false"/>
          <w:smallCaps w:val="false"/>
          <w:sz w:val="20"/>
        </w:rPr>
      </w:pPr>
      <w:r>
        <w:rPr>
          <w:rFonts w:ascii="Times New Roman" w:hAnsi="Times New Roman"/>
          <w:b/>
          <w:caps w:val="false"/>
          <w:smallCaps w:val="false"/>
          <w:sz w:val="20"/>
        </w:rPr>
        <w:t>Appendix</w:t>
      </w:r>
      <w:r>
        <w:rPr>
          <w:rFonts w:ascii="Times New Roman" w:hAnsi="Times New Roman"/>
          <w:caps w:val="false"/>
          <w:smallCaps w:val="false"/>
          <w:sz w:val="20"/>
        </w:rPr>
        <w:t> </w:t>
      </w:r>
      <w:r>
        <w:rPr>
          <w:rFonts w:ascii="Times New Roman" w:hAnsi="Times New Roman"/>
          <w:b/>
          <w:caps w:val="false"/>
          <w:smallCaps w:val="false"/>
          <w:sz w:val="20"/>
        </w:rPr>
        <w:t xml:space="preserve">A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FRIEDMAN INDUSTRIES, INCORPORATED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SECOND AMENDED AND RESTATED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AUDIT COMMITTEE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Friedman Industries, Incorporated (the “Company”) has established an Audit Committee (the “Committee”). This Second Amended and Restated Audit Committee Charter (the “Charter”) sets forth certain matters with respect to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Structure and Qualifications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Committee shall consist of not less than three directors elected by the Board of Directors of the Company (the “Board”) and each member shall meet the definition of independent and all other requirements adopted from time to time by the U.S. Securities and Exchange Commission (the “SEC”) or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w:t>
      </w:r>
      <w:r>
        <w:rPr>
          <w:rFonts w:ascii="Times New Roman" w:hAnsi="Times New Roman"/>
          <w:b/>
          <w:caps w:val="false"/>
          <w:smallCaps w:val="false"/>
          <w:sz w:val="20"/>
        </w:rPr>
        <w:t xml:space="preserve">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Fees for serving as a member of the Board or on any committee of the Board are the only compensation a Committee member may receive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w:t>
      </w:r>
      <w:r>
        <w:rPr>
          <w:rFonts w:ascii="Times New Roman" w:hAnsi="Times New Roman"/>
          <w:b/>
          <w:caps w:val="false"/>
          <w:smallCaps w:val="false"/>
          <w:sz w:val="20"/>
        </w:rPr>
        <w:t xml:space="preserve">Meetings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Committee shall meet at least once per fiscal quarter. The Committee shall meet periodically with management and representatives of the independent auditor in separate executive sessions in furtherance of its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IV.</w:t>
      </w:r>
      <w:r>
        <w:rPr>
          <w:rFonts w:ascii="Times New Roman" w:hAnsi="Times New Roman"/>
          <w:caps w:val="false"/>
          <w:smallCaps w:val="false"/>
          <w:sz w:val="20"/>
        </w:rPr>
        <w:t>    </w:t>
      </w:r>
      <w:r>
        <w:rPr>
          <w:rFonts w:ascii="Times New Roman" w:hAnsi="Times New Roman"/>
          <w:b/>
          <w:caps w:val="false"/>
          <w:smallCaps w:val="false"/>
          <w:sz w:val="20"/>
        </w:rPr>
        <w:t xml:space="preserve">Responsibilities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has delegated the following authority to the Committee: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0"/>
        <w:gridCol w:w="10015"/>
      </w:tblGrid>
      <w:tr>
        <w:trPr/>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have the sole authority to select, engage, evaluate, retain, and, when appropriate, terminate the independent auditor of the Company as well as approve all audit engagement fees and terms and all non-audit engagements with independent public accountants. The Committee shall consult with management regarding such engagements but shall not delegate these responsibilities thereto; provided, however, that, in addition to those permissible non-audit services pre-approved by the Committee, pre-approvals of further permissible non-audit services may be delegated to a single member of the Committee, provided such approvals are reviewed with the Committee at its next meeting. The Committee shall be directly responsible for the oversight of the work of the independent auditor for the purpose of preparing or issuing an audit report or related work and the independent auditor shall report directly to the Committee.</w:t>
            </w:r>
          </w:p>
        </w:tc>
      </w:tr>
    </w:tbl>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60"/>
        <w:gridCol w:w="170"/>
        <w:gridCol w:w="9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6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review with the independent auditor the planned scope of its examination and the results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9"/>
        <w:gridCol w:w="10006"/>
      </w:tblGrid>
      <w:tr>
        <w:trPr/>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review with the independent auditor any audit problems or difficulties and management’s response thereto, and, upon the request of the Committee, the independent auditor shall provide to the Committee copies of all written communications to Company management in any way related to such problems or difficulties.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6"/>
        <w:gridCol w:w="9999"/>
      </w:tblGrid>
      <w:tr>
        <w:trPr/>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review any financial reporting issues and practices, including changes in or adoption of accounting principles and disclosure practices having a material impact on the obligations or financial statements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60"/>
        <w:gridCol w:w="170"/>
        <w:gridCol w:w="78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78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review filings made with the SEC when such review is required by the SEC.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review disclosures made by the Company’s principal executive officer or officers and principal financial officer or officers regarding compliance with their certification obligations as required under the Sarbanes-Oxley Act of 2002, as amended, and the rules promulgated thereunder, including: (a) the Company’s disclosure controls and procedures and evaluations thereof; and (b) internal controls for financial reporting and evaluations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8"/>
        <w:gridCol w:w="9987"/>
      </w:tblGrid>
      <w:tr>
        <w:trPr/>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99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Committee shall review and discuss the annual and quarterly financial statements with management and the independent auditor prior to release to the public.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8"/>
        <w:gridCol w:w="9977"/>
      </w:tblGrid>
      <w:tr>
        <w:trPr/>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w:t>
            </w:r>
          </w:p>
        </w:tc>
        <w:tc>
          <w:tcPr>
            <w:tcW w:w="997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recommend whether the audited financial statements should be included in the Company’s annual reports.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w:t>
            </w:r>
          </w:p>
        </w:tc>
        <w:tc>
          <w:tcPr>
            <w:tcW w:w="1000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obtain and review, at least annually, a formal written statement from the Company’s independent auditor delineating: (a) the independent auditor’s internal quality-control procedures; (b) any issues raised by the most recent quality-control review, or peer review, of the firm and the procedures or solutions used to address them; and (c) all relationships between the independent auditor and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0"/>
        <w:gridCol w:w="9895"/>
      </w:tblGrid>
      <w:tr>
        <w:trPr/>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w:t>
            </w:r>
          </w:p>
        </w:tc>
        <w:tc>
          <w:tcPr>
            <w:tcW w:w="98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inquire of management and the independent auditor to assure that the independent auditor has not engaged in any prohibited activities within the provisions of section 10A(g) of the Securities Exchange Act of 1934, as amended.</w:t>
            </w:r>
          </w:p>
        </w:tc>
      </w:tr>
    </w:tbl>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60"/>
        <w:gridCol w:w="275"/>
        <w:gridCol w:w="711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71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review and consider the independence of the independent auditor.</w:t>
            </w:r>
          </w:p>
        </w:tc>
      </w:tr>
    </w:tbl>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60"/>
        <w:gridCol w:w="275"/>
        <w:gridCol w:w="834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w:t>
            </w:r>
          </w:p>
        </w:tc>
        <w:tc>
          <w:tcPr>
            <w:tcW w:w="83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set hiring policies for employees or former employees of the independent auditor.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1"/>
        <w:gridCol w:w="9894"/>
      </w:tblGrid>
      <w:tr>
        <w:trPr/>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w:t>
            </w:r>
          </w:p>
        </w:tc>
        <w:tc>
          <w:tcPr>
            <w:tcW w:w="989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ensure that the lead audit partner of the independent auditor and that firm’s audit partner responsible for reviewing the audit are rotated at least every five years as required by the Sarbanes-Oxley Act of 2002, as amended.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3"/>
        <w:gridCol w:w="9902"/>
      </w:tblGrid>
      <w:tr>
        <w:trPr/>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w:t>
            </w:r>
          </w:p>
        </w:tc>
        <w:tc>
          <w:tcPr>
            <w:tcW w:w="990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establish procedures for: (a) the receipt, retention and treatment of complaints received from any third party by the Company regarding accounting, internal accounting controls, or auditing matters; and (b) the confidential, anonymous submission by employees of the Company of concerns regarding questionable accounting or auditing matters.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3"/>
        <w:gridCol w:w="9892"/>
      </w:tblGrid>
      <w:tr>
        <w:trPr/>
        <w:tc>
          <w:tcPr>
            <w:tcW w:w="6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w:t>
            </w:r>
          </w:p>
        </w:tc>
        <w:tc>
          <w:tcPr>
            <w:tcW w:w="989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may obtain advice and assistance from outside legal, accounting or other advisors, as appropriate. Pursuant to approval of this Charter, no further requirement of Board approval for such engagements is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9"/>
        <w:gridCol w:w="9876"/>
      </w:tblGrid>
      <w:tr>
        <w:trPr/>
        <w:tc>
          <w:tcPr>
            <w:tcW w:w="6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16.</w:t>
            </w:r>
          </w:p>
        </w:tc>
        <w:tc>
          <w:tcPr>
            <w:tcW w:w="98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review and oversee any related party transactions between the Company and any of its directors or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5"/>
        <w:gridCol w:w="9890"/>
      </w:tblGrid>
      <w:tr>
        <w:trPr/>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17.</w:t>
            </w:r>
          </w:p>
        </w:tc>
        <w:tc>
          <w:tcPr>
            <w:tcW w:w="98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may hold such other conferences and conduct such other reviews with the independent auditor or with management as may be desired either by the Committee or the independent auditor.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7"/>
        <w:gridCol w:w="9878"/>
      </w:tblGrid>
      <w:tr>
        <w:trPr/>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w:t>
            </w:r>
          </w:p>
        </w:tc>
        <w:tc>
          <w:tcPr>
            <w:tcW w:w="98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Committee shall report regularly to the Board and submit to the Board any recommendations the Committee may have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8"/>
        <w:gridCol w:w="9907"/>
      </w:tblGrid>
      <w:tr>
        <w:trPr/>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w:t>
            </w:r>
          </w:p>
        </w:tc>
        <w:tc>
          <w:tcPr>
            <w:tcW w:w="990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shall review and reassess this Charter annually and conduct an annual review of the work of the Committee, including review of: (a) major issues regarding accounting principles and financial statement presentations; (b) analyses prepared by management or the independent auditor setting forth significant financial reporting issues and judgments made in connection with the preparation of the financial statements; (c) the effect of regulatory and accounting initiatives, as well as off-balance sheet structures, if any, on the financial statements of the Company; and (d) earnings press releases.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0"/>
        <w:gridCol w:w="9905"/>
      </w:tblGrid>
      <w:tr>
        <w:trPr/>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w:t>
            </w:r>
          </w:p>
        </w:tc>
        <w:tc>
          <w:tcPr>
            <w:tcW w:w="99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Committee, from time to time, may adopt rules and make provisions as deemed appropriate for (a) the conduct of its meetings; (b) considering, acting upon and recording matters within its authority; and (c) making such reports to the Board as it may deem appropriate, giving due consideration to the Committee’s need to treat certain matters confidentially, provided only that such rules and provisions do not conflict with the articles of incorporation or the bylaws of the Company.</w:t>
            </w:r>
          </w:p>
        </w:tc>
      </w:tr>
    </w:tbl>
    <w:p>
      <w:pPr>
        <w:pStyle w:val="TextBody"/>
        <w:bidi w:val="0"/>
        <w:spacing w:before="0" w:after="0"/>
        <w:ind w:left="980" w:right="0" w:hanging="380"/>
        <w:jc w:val="righ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980" w:right="0" w:hanging="380"/>
        <w:jc w:val="right"/>
        <w:rPr>
          <w:rFonts w:ascii="Times New Roman" w:hAnsi="Times New Roman"/>
          <w:caps w:val="false"/>
          <w:smallCaps w:val="false"/>
          <w:sz w:val="20"/>
        </w:rPr>
      </w:pPr>
      <w:r>
        <w:rPr>
          <w:rFonts w:ascii="Times New Roman" w:hAnsi="Times New Roman"/>
          <w:b/>
          <w:caps w:val="false"/>
          <w:smallCaps w:val="false"/>
          <w:sz w:val="20"/>
        </w:rPr>
        <w:t>Appendix</w:t>
      </w:r>
      <w:r>
        <w:rPr>
          <w:rFonts w:ascii="Times New Roman" w:hAnsi="Times New Roman"/>
          <w:caps w:val="false"/>
          <w:smallCaps w:val="false"/>
          <w:sz w:val="20"/>
        </w:rPr>
        <w:t> </w:t>
      </w:r>
      <w:r>
        <w:rPr>
          <w:rFonts w:ascii="Times New Roman" w:hAnsi="Times New Roman"/>
          <w:b/>
          <w:caps w:val="false"/>
          <w:smallCaps w:val="false"/>
          <w:sz w:val="20"/>
        </w:rPr>
        <w:t xml:space="preserve">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FRIEDMAN INDUSTRIES, INCORPORATED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CHARTER OF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Friedman Industries, Incorporated (the “Company”) has established a Compensation Committee (the “Committee”). This Charter sets forth certain matters with respect to the Committee.</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60"/>
        <w:gridCol w:w="140"/>
        <w:gridCol w:w="2420"/>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w:t>
            </w:r>
          </w:p>
        </w:tc>
        <w:tc>
          <w:tcPr>
            <w:tcW w:w="242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Structure and Qualifications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Committee shall consist of at least two directors and each member shall meet the definition of independence and all other requirements adopted from time to time by the U.S. Securities and Exchange Commission (the “SEC”) or the NASDAQ Stock Market (“NASDAQ”).</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0"/>
        <w:gridCol w:w="9985"/>
      </w:tblGrid>
      <w:tr>
        <w:trPr/>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members of the Committee shall be appointed by the Board of Directors of the Company (the “Board”) and may be removed by the Board at any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7"/>
        <w:gridCol w:w="9988"/>
      </w:tblGrid>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member of the Committee must qualify as a “non-employee director” for the purposes of Rule 16b-3 under the Securities and Exchange Act of 1934, as amended.</w:t>
            </w:r>
          </w:p>
        </w:tc>
      </w:tr>
    </w:tbl>
    <w:p>
      <w:pPr>
        <w:pStyle w:val="TextBody"/>
        <w:bidi w:val="0"/>
        <w:spacing w:before="0" w:after="0"/>
        <w:ind w:left="0" w:right="0" w:hanging="0"/>
        <w:jc w:val="left"/>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60"/>
        <w:gridCol w:w="215"/>
        <w:gridCol w:w="785"/>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II.</w:t>
            </w:r>
          </w:p>
        </w:tc>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both"/>
        <w:rPr>
          <w:rFonts w:ascii="Times New Roman" w:hAnsi="Times New Roman"/>
          <w:caps w:val="false"/>
          <w:smallCaps w:val="false"/>
          <w:sz w:val="20"/>
        </w:rPr>
      </w:pPr>
      <w:r>
        <w:rPr>
          <w:rFonts w:ascii="Times New Roman" w:hAnsi="Times New Roman"/>
          <w:caps w:val="false"/>
          <w:smallCaps w:val="false"/>
          <w:sz w:val="20"/>
        </w:rPr>
        <w:t>The Committee shall meet at least one time each year and otherwise as frequently and at such times as necessary to carry out its responsibilities. The Committee may invite members of management or others to attend meetings, provided, however, that in no circumstance shall the Chief Executive Officer (the “CEO”) and any other such executive officers be present at meetings at which their compensation or performance is discussed or determined.</w:t>
      </w:r>
    </w:p>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
        <w:gridCol w:w="290"/>
        <w:gridCol w:w="1340"/>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III.</w:t>
            </w:r>
          </w:p>
        </w:tc>
        <w:tc>
          <w:tcPr>
            <w:tcW w:w="134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Responsibilities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both"/>
        <w:rPr>
          <w:rFonts w:ascii="Times New Roman" w:hAnsi="Times New Roman"/>
          <w:caps w:val="false"/>
          <w:smallCaps w:val="false"/>
          <w:sz w:val="20"/>
        </w:rPr>
      </w:pPr>
      <w:r>
        <w:rPr>
          <w:rFonts w:ascii="Times New Roman" w:hAnsi="Times New Roman"/>
          <w:caps w:val="false"/>
          <w:smallCaps w:val="false"/>
          <w:sz w:val="20"/>
        </w:rPr>
        <w:t>The Board has delegated the following authority to the Committee: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review and approve corporate goals and objectives relevant to the compensation of the CEO and other executive officers of the Company, evaluate the performance of the CEO and other executive officers in light of those goals and objectives and recommend to the Board approval of their annual compensation levels including salaries, bonuses, stock options, other stock incentive awards and long-term cash incentive awards based on this evaluation.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review, approve and report to the Board regarding the Company’s overall compensation policy, including compensation philosophy and strategy, short-term and long-term incentive plans and programs, stock ownership plans, and employee benefit plans.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both"/>
              <w:rPr/>
            </w:pPr>
            <w:r>
              <w:rPr/>
              <w:t> </w:t>
            </w:r>
          </w:p>
        </w:tc>
        <w:tc>
          <w:tcPr>
            <w:tcW w:w="16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99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review and approve levels of pension benefits, if any, and insurance programs for officers and key employees.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4"/>
        <w:gridCol w:w="9991"/>
      </w:tblGrid>
      <w:tr>
        <w:trPr/>
        <w:tc>
          <w:tcPr>
            <w:tcW w:w="60" w:type="dxa"/>
            <w:tcBorders/>
            <w:vAlign w:val="center"/>
          </w:tcPr>
          <w:p>
            <w:pPr>
              <w:pStyle w:val="TableContents"/>
              <w:bidi w:val="0"/>
              <w:spacing w:before="0" w:after="283"/>
              <w:jc w:val="both"/>
              <w:rPr/>
            </w:pPr>
            <w:r>
              <w:rPr/>
              <w:t> </w:t>
            </w:r>
          </w:p>
        </w:tc>
        <w:tc>
          <w:tcPr>
            <w:tcW w:w="1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999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serve as the committee to administer the Company’s incentive compensation plans and equity-based plans, unless the Board specifically provides otherwise.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8"/>
        <w:gridCol w:w="10007"/>
      </w:tblGrid>
      <w:tr>
        <w:trPr/>
        <w:tc>
          <w:tcPr>
            <w:tcW w:w="60" w:type="dxa"/>
            <w:tcBorders/>
            <w:vAlign w:val="center"/>
          </w:tcPr>
          <w:p>
            <w:pPr>
              <w:pStyle w:val="TableContents"/>
              <w:bidi w:val="0"/>
              <w:spacing w:before="0" w:after="283"/>
              <w:jc w:val="both"/>
              <w:rPr/>
            </w:pPr>
            <w:r>
              <w:rPr/>
              <w:t> </w:t>
            </w:r>
          </w:p>
        </w:tc>
        <w:tc>
          <w:tcPr>
            <w:tcW w:w="13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0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review the competitiveness of the Company’s executive compensation programs to foster (a) the attraction and retention of executive officers, (b) the motivation of executive officers to achieve the Company’s business objectives, and (c) the alignment of the interests of key leadership with the long-term interests of the Company’s shareholders.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3"/>
        <w:gridCol w:w="9982"/>
      </w:tblGrid>
      <w:tr>
        <w:trPr/>
        <w:tc>
          <w:tcPr>
            <w:tcW w:w="60" w:type="dxa"/>
            <w:tcBorders/>
            <w:vAlign w:val="center"/>
          </w:tcPr>
          <w:p>
            <w:pPr>
              <w:pStyle w:val="TableContents"/>
              <w:bidi w:val="0"/>
              <w:spacing w:before="0" w:after="283"/>
              <w:jc w:val="both"/>
              <w:rPr/>
            </w:pPr>
            <w:r>
              <w:rPr/>
              <w:t> </w:t>
            </w:r>
          </w:p>
        </w:tc>
        <w:tc>
          <w:tcPr>
            <w:tcW w:w="1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w:t>
            </w:r>
          </w:p>
        </w:tc>
        <w:tc>
          <w:tcPr>
            <w:tcW w:w="998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review and approve compensation packages for new executive officers and termination packages for executive officers.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8"/>
        <w:gridCol w:w="9987"/>
      </w:tblGrid>
      <w:tr>
        <w:trPr/>
        <w:tc>
          <w:tcPr>
            <w:tcW w:w="60" w:type="dxa"/>
            <w:tcBorders/>
            <w:vAlign w:val="center"/>
          </w:tcPr>
          <w:p>
            <w:pPr>
              <w:pStyle w:val="TableContents"/>
              <w:bidi w:val="0"/>
              <w:spacing w:before="0" w:after="283"/>
              <w:jc w:val="both"/>
              <w:rPr/>
            </w:pPr>
            <w:r>
              <w:rPr/>
              <w:t> </w:t>
            </w:r>
          </w:p>
        </w:tc>
        <w:tc>
          <w:tcPr>
            <w:tcW w:w="1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w:t>
            </w:r>
          </w:p>
        </w:tc>
        <w:tc>
          <w:tcPr>
            <w:tcW w:w="998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review and make recommendations to the Board regarding the Company’s long- term incentive compensation plans and equity-based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100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review the compensation paid to non-employee directors and make recommendations to the Board for any adjustments. No member of the Committee will act to fix his or her own compensation except for uniform compensation to directors for their services as a director.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both"/>
              <w:rPr/>
            </w:pPr>
            <w:r>
              <w:rPr/>
              <w:t> </w:t>
            </w:r>
          </w:p>
        </w:tc>
        <w:tc>
          <w:tcPr>
            <w:tcW w:w="1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w:t>
            </w:r>
          </w:p>
        </w:tc>
        <w:tc>
          <w:tcPr>
            <w:tcW w:w="100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produce an annual report of the Committee on executive compensation in compliance with and to the extent required by applicable rules and regulations promulgated by the SEC or NASDAQ to be included in the Company’s annual proxy statement or annual report on Form 10- 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w:t>
            </w:r>
          </w:p>
        </w:tc>
        <w:tc>
          <w:tcPr>
            <w:tcW w:w="99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review the compensation discussion and analysis and other compensation disclosure management prepares in compliance with and to the extent required by applicable rules and regulations promulgated by the SEC or NASDAQ to be included in the Company’s annual proxy statement or annual report on Form 10-K.</w:t>
            </w:r>
          </w:p>
        </w:tc>
      </w:tr>
    </w:tbl>
    <w:p>
      <w:pPr>
        <w:pStyle w:val="TextBody"/>
        <w:bidi w:val="0"/>
        <w:spacing w:before="0" w:after="0"/>
        <w:ind w:left="0" w:right="0" w:hanging="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60"/>
        <w:gridCol w:w="275"/>
        <w:gridCol w:w="7295"/>
      </w:tblGrid>
      <w:tr>
        <w:trPr/>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w:t>
            </w:r>
          </w:p>
        </w:tc>
        <w:tc>
          <w:tcPr>
            <w:tcW w:w="7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review at least one time annually the Committee’s own performance.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7"/>
        <w:gridCol w:w="9878"/>
      </w:tblGrid>
      <w:tr>
        <w:trPr/>
        <w:tc>
          <w:tcPr>
            <w:tcW w:w="60"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w:t>
            </w:r>
          </w:p>
        </w:tc>
        <w:tc>
          <w:tcPr>
            <w:tcW w:w="98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review and reassess the adequacy of this Charter annually and recommend any proposed changes to the Board for approval.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3"/>
        <w:gridCol w:w="9902"/>
      </w:tblGrid>
      <w:tr>
        <w:trPr/>
        <w:tc>
          <w:tcPr>
            <w:tcW w:w="60" w:type="dxa"/>
            <w:tcBorders/>
            <w:vAlign w:val="center"/>
          </w:tcPr>
          <w:p>
            <w:pPr>
              <w:pStyle w:val="TableContents"/>
              <w:bidi w:val="0"/>
              <w:spacing w:before="0" w:after="283"/>
              <w:jc w:val="both"/>
              <w:rPr/>
            </w:pPr>
            <w:r>
              <w:rPr/>
              <w:t> </w:t>
            </w:r>
          </w:p>
        </w:tc>
        <w:tc>
          <w:tcPr>
            <w:tcW w:w="2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13.</w:t>
            </w:r>
          </w:p>
        </w:tc>
        <w:tc>
          <w:tcPr>
            <w:tcW w:w="99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in its sole discretion, retain, terminate and obtain the advice of outside counsel, compensation consultants, or other experts, advisors or consultants, as it deems appropriate but only after taking into consideration factors relevant to the adviser’s independence from management specified in NASDAQ Listing Rule 5605(d)(3) relating to independence of such person.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1"/>
        <w:gridCol w:w="9874"/>
      </w:tblGrid>
      <w:tr>
        <w:trPr/>
        <w:tc>
          <w:tcPr>
            <w:tcW w:w="60" w:type="dxa"/>
            <w:tcBorders/>
            <w:vAlign w:val="center"/>
          </w:tcPr>
          <w:p>
            <w:pPr>
              <w:pStyle w:val="TableContents"/>
              <w:bidi w:val="0"/>
              <w:spacing w:before="0" w:after="283"/>
              <w:jc w:val="both"/>
              <w:rPr/>
            </w:pPr>
            <w:r>
              <w:rPr/>
              <w:t> </w:t>
            </w:r>
          </w:p>
        </w:tc>
        <w:tc>
          <w:tcPr>
            <w:tcW w:w="2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14.</w:t>
            </w:r>
          </w:p>
        </w:tc>
        <w:tc>
          <w:tcPr>
            <w:tcW w:w="987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be directly responsible for the appointment, compensation and oversight of the work of any person so retained.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5"/>
        <w:gridCol w:w="9890"/>
      </w:tblGrid>
      <w:tr>
        <w:trPr/>
        <w:tc>
          <w:tcPr>
            <w:tcW w:w="60" w:type="dxa"/>
            <w:tcBorders/>
            <w:vAlign w:val="center"/>
          </w:tcPr>
          <w:p>
            <w:pPr>
              <w:pStyle w:val="TableContents"/>
              <w:bidi w:val="0"/>
              <w:spacing w:before="0" w:after="283"/>
              <w:jc w:val="both"/>
              <w:rPr/>
            </w:pPr>
            <w:r>
              <w:rPr/>
              <w:t> </w:t>
            </w:r>
          </w:p>
        </w:tc>
        <w:tc>
          <w:tcPr>
            <w:tcW w:w="2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w:t>
            </w:r>
          </w:p>
        </w:tc>
        <w:tc>
          <w:tcPr>
            <w:tcW w:w="98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approve any and all fees and other retention terms related any person so retained, such fees to be paid by the Company, which the Committee shall have the sole authority to authorize.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5"/>
        <w:gridCol w:w="9880"/>
      </w:tblGrid>
      <w:tr>
        <w:trPr/>
        <w:tc>
          <w:tcPr>
            <w:tcW w:w="60" w:type="dxa"/>
            <w:tcBorders/>
            <w:vAlign w:val="center"/>
          </w:tcPr>
          <w:p>
            <w:pPr>
              <w:pStyle w:val="TableContents"/>
              <w:bidi w:val="0"/>
              <w:spacing w:before="0" w:after="283"/>
              <w:jc w:val="both"/>
              <w:rPr/>
            </w:pPr>
            <w:r>
              <w:rPr/>
              <w:t> </w:t>
            </w:r>
          </w:p>
        </w:tc>
        <w:tc>
          <w:tcPr>
            <w:tcW w:w="2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16.</w:t>
            </w:r>
          </w:p>
        </w:tc>
        <w:tc>
          <w:tcPr>
            <w:tcW w:w="9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report to the Board at least one time annually and at the Board meeting that immediately follows each meeting of the Committee.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3"/>
        <w:gridCol w:w="9902"/>
      </w:tblGrid>
      <w:tr>
        <w:trPr/>
        <w:tc>
          <w:tcPr>
            <w:tcW w:w="60" w:type="dxa"/>
            <w:tcBorders/>
            <w:vAlign w:val="center"/>
          </w:tcPr>
          <w:p>
            <w:pPr>
              <w:pStyle w:val="TableContents"/>
              <w:bidi w:val="0"/>
              <w:spacing w:before="0" w:after="283"/>
              <w:jc w:val="both"/>
              <w:rPr/>
            </w:pPr>
            <w:r>
              <w:rPr/>
              <w:t> </w:t>
            </w:r>
          </w:p>
        </w:tc>
        <w:tc>
          <w:tcPr>
            <w:tcW w:w="2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17.</w:t>
            </w:r>
          </w:p>
        </w:tc>
        <w:tc>
          <w:tcPr>
            <w:tcW w:w="99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shall oversee the Company’s compliance with SEC rules and regulations regarding shareholder approval of certain executive compensation matters, including advisory votes on executive compensation and the frequency of such votes, and the requirement under NASDAQ rules that, with limited exceptions, shareholders approve equity compensation plans.</w:t>
            </w:r>
          </w:p>
        </w:tc>
      </w:tr>
    </w:tbl>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60"/>
        <w:gridCol w:w="275"/>
        <w:gridCol w:w="101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IV.</w:t>
            </w:r>
          </w:p>
        </w:tc>
        <w:tc>
          <w:tcPr>
            <w:tcW w:w="101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Delegations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Committee may delegate any of the foregoing duties and responsibilities to a subcommittee of the Committee consisting of not less than two members of the Committee. In addition, the Committee may delegate to one or more individuals the administration of equity incentive or employee benefit plans, unless otherwise prohibited by law or applicable stock exchange rules. Any such delegation may be revoked by the Committee at any time.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Appendix</w:t>
      </w:r>
      <w:r>
        <w:rPr>
          <w:rFonts w:ascii="Times New Roman" w:hAnsi="Times New Roman"/>
          <w:caps w:val="false"/>
          <w:smallCaps w:val="false"/>
          <w:sz w:val="20"/>
        </w:rPr>
        <w:t> </w:t>
      </w:r>
      <w:r>
        <w:rPr>
          <w:rFonts w:ascii="Times New Roman" w:hAnsi="Times New Roman"/>
          <w:b/>
          <w:caps w:val="false"/>
          <w:smallCaps w:val="false"/>
          <w:sz w:val="20"/>
        </w:rPr>
        <w:t>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FRIEDMAN INDUSTRIES, INCORPORATED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CHARTER OF THE NOMINATING COMMITTEE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Friedman Industries, Incorporated (the “Company”) has established a Nominating Committee (the “Committee”). This Charter sets forth certain matters with respect to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w:t>
      </w:r>
      <w:r>
        <w:rPr>
          <w:rFonts w:ascii="Times New Roman" w:hAnsi="Times New Roman"/>
          <w:b/>
          <w:caps w:val="false"/>
          <w:smallCaps w:val="false"/>
          <w:sz w:val="20"/>
          <w:u w:val="single"/>
        </w:rPr>
        <w:t xml:space="preserve">Structure and Qualifications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Committee shall consist of at least three directors appointed by the Board of Directors of the Company (the “Board”) and each member shall meet the definition of independence and all other requirements adopted from time to time by the U.S. Securities and Exchange Commission (the “SEC”) or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w:t>
      </w:r>
      <w:r>
        <w:rPr>
          <w:rFonts w:ascii="Times New Roman" w:hAnsi="Times New Roman"/>
          <w:b/>
          <w:caps w:val="false"/>
          <w:smallCaps w:val="false"/>
          <w:sz w:val="20"/>
          <w:u w:val="single"/>
        </w:rPr>
        <w:t xml:space="preserve">Meetings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Committee shall meet at least one time each year and otherwise as frequently and at such times as necessary to carry out its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w:t>
      </w:r>
      <w:r>
        <w:rPr>
          <w:rFonts w:ascii="Times New Roman" w:hAnsi="Times New Roman"/>
          <w:b/>
          <w:caps w:val="false"/>
          <w:smallCaps w:val="false"/>
          <w:sz w:val="20"/>
          <w:u w:val="single"/>
        </w:rPr>
        <w:t xml:space="preserve">Responsibilities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Board has delegated the following authority to the Committee: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Committee shall work together with the Chairman of the Board and the Chief Executive Officer to identify and consider candidates to be nominated for election as directors. In connection therewith, the Committee shall consider that a majority of the members of the Board must qualify as independent as defined by Nasdaq rules. In addition, the Committee shall consider the following qualifications in assessing director candidates:</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60"/>
        <w:gridCol w:w="230"/>
        <w:gridCol w:w="803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8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understanding of business and financial affairs and the complexities of a business organization;</w:t>
            </w:r>
          </w:p>
        </w:tc>
      </w:tr>
    </w:tbl>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60"/>
        <w:gridCol w:w="245"/>
        <w:gridCol w:w="974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7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record of competence and accomplishments through leadership in industry, education, the professions or government;</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60"/>
        <w:gridCol w:w="230"/>
        <w:gridCol w:w="79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7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genuine interest in representing all of the shareholders and the interest of the Company overall;</w:t>
            </w:r>
          </w:p>
        </w:tc>
      </w:tr>
    </w:tbl>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60"/>
        <w:gridCol w:w="245"/>
        <w:gridCol w:w="68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6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willingness to maintain a committed relationship with the Company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60"/>
        <w:gridCol w:w="230"/>
        <w:gridCol w:w="798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w:t>
            </w:r>
          </w:p>
        </w:tc>
        <w:tc>
          <w:tcPr>
            <w:tcW w:w="7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willingness and ability to spend the necessary time required to function effectively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60"/>
        <w:gridCol w:w="200"/>
        <w:gridCol w:w="350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w:t>
            </w:r>
          </w:p>
        </w:tc>
        <w:tc>
          <w:tcPr>
            <w:tcW w:w="35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reputation for honesty and integrity;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w:t>
            </w:r>
          </w:p>
        </w:tc>
        <w:tc>
          <w:tcPr>
            <w:tcW w:w="9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Such other additional qualifications as the Committee may establish from time to time, taking into account the composition and expertise of the entire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9"/>
        <w:gridCol w:w="9996"/>
      </w:tblGrid>
      <w:tr>
        <w:trPr/>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Committee shall recommend to the Board (i) the nominees for directors to be elected at the Company’s annual meeting and (ii) individuals to be elected to fill any vacancies occurring on the Board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60"/>
        <w:gridCol w:w="170"/>
        <w:gridCol w:w="9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Committee shall review potential conflicts of interest of directors which might interfere with Board service.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5"/>
        <w:gridCol w:w="10000"/>
      </w:tblGrid>
      <w:tr>
        <w:trPr/>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Committee shall make determinations, with the advice of legal counsel, concerning the “independence” of Board members for corporate governance purposes and to make other determinations as required under SEC and Nasdaq rules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1"/>
        <w:gridCol w:w="9994"/>
      </w:tblGrid>
      <w:tr>
        <w:trPr/>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9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Committee shall review the appropriateness of continued Board membership of a director who experiences a change in employment, board membership of another company or other relevant matter.</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60"/>
        <w:gridCol w:w="170"/>
        <w:gridCol w:w="8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82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Committee shall perform such other functions as required by law or SEC or Nasdaq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4"/>
        <w:gridCol w:w="9981"/>
      </w:tblGrid>
      <w:tr>
        <w:trPr/>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9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Committee shall report to the Board at least annually and at the Board meeting immediately following each meeting of the Committee.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drawing>
          <wp:inline distT="0" distB="0" distL="0" distR="0">
            <wp:extent cx="3657600" cy="47320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4732020"/>
                    </a:xfrm>
                    <a:prstGeom prst="rect">
                      <a:avLst/>
                    </a:prstGeom>
                  </pic:spPr>
                </pic:pic>
              </a:graphicData>
            </a:graphic>
          </wp:inline>
        </w:drawing>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drawing>
          <wp:inline distT="0" distB="0" distL="0" distR="0">
            <wp:extent cx="3657600" cy="47320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4732020"/>
                    </a:xfrm>
                    <a:prstGeom prst="rect">
                      <a:avLst/>
                    </a:prstGeom>
                  </pic:spPr>
                </pic:pic>
              </a:graphicData>
            </a:graphic>
          </wp:inline>
        </w:drawing>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11844</Words>
  <Characters>64083</Characters>
  <CharactersWithSpaces>76357</CharactersWithSpaces>
  <Paragraphs>2013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