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March 31, 2022</w:t>
      </w:r>
    </w:p>
    <w:p>
      <w:pPr>
        <w:spacing w:after="0" w:line="225" w:lineRule="exact"/>
        <w:rPr>
          <w:sz w:val="24"/>
          <w:szCs w:val="24"/>
          <w:color w:val="auto"/>
        </w:rPr>
      </w:pPr>
    </w:p>
    <w:p>
      <w:pPr>
        <w:ind w:left="4580" w:right="2200" w:hanging="4572"/>
        <w:spacing w:after="0" w:line="493" w:lineRule="auto"/>
        <w:tabs>
          <w:tab w:leader="none" w:pos="33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to Commission File No. 1-7521</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FRIEDMAN INDUSTRIES, INCORPORATED</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340" w:type="dxa"/>
        <w:tblCellMar>
          <w:top w:w="0" w:type="dxa"/>
          <w:left w:w="0" w:type="dxa"/>
          <w:bottom w:w="0" w:type="dxa"/>
          <w:right w:w="0" w:type="dxa"/>
        </w:tblCellMar>
      </w:tblPr>
      <w:tr>
        <w:trPr>
          <w:trHeight w:val="220"/>
        </w:trPr>
        <w:tc>
          <w:tcPr>
            <w:tcW w:w="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18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54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74-1504405</w:t>
            </w:r>
          </w:p>
        </w:tc>
      </w:tr>
      <w:tr>
        <w:trPr>
          <w:trHeight w:val="216"/>
        </w:trPr>
        <w:tc>
          <w:tcPr>
            <w:tcW w:w="840" w:type="dxa"/>
            <w:vAlign w:val="bottom"/>
          </w:tcPr>
          <w:p>
            <w:pPr>
              <w:spacing w:after="0"/>
              <w:rPr>
                <w:sz w:val="18"/>
                <w:szCs w:val="18"/>
                <w:color w:val="auto"/>
              </w:rPr>
            </w:pPr>
          </w:p>
        </w:tc>
        <w:tc>
          <w:tcPr>
            <w:tcW w:w="35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540" w:type="dxa"/>
            <w:vAlign w:val="bottom"/>
            <w:gridSpan w:val="2"/>
          </w:tcPr>
          <w:p>
            <w:pPr>
              <w:jc w:val="center"/>
              <w:ind w:right="10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840" w:type="dxa"/>
            <w:vAlign w:val="bottom"/>
          </w:tcPr>
          <w:p>
            <w:pPr>
              <w:spacing w:after="0"/>
              <w:rPr>
                <w:sz w:val="20"/>
                <w:szCs w:val="20"/>
                <w:color w:val="auto"/>
              </w:rPr>
            </w:pPr>
          </w:p>
        </w:tc>
        <w:tc>
          <w:tcPr>
            <w:tcW w:w="354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40" w:type="dxa"/>
            <w:vAlign w:val="bottom"/>
            <w:gridSpan w:val="2"/>
          </w:tcPr>
          <w:p>
            <w:pPr>
              <w:jc w:val="center"/>
              <w:ind w:right="10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3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1121 Judson Road Suite 124, Longview, TX</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2"/>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75601</w:t>
            </w:r>
          </w:p>
        </w:tc>
      </w:tr>
      <w:tr>
        <w:trPr>
          <w:trHeight w:val="234"/>
        </w:trPr>
        <w:tc>
          <w:tcPr>
            <w:tcW w:w="840" w:type="dxa"/>
            <w:vAlign w:val="bottom"/>
          </w:tcPr>
          <w:p>
            <w:pPr>
              <w:spacing w:after="0"/>
              <w:rPr>
                <w:sz w:val="20"/>
                <w:szCs w:val="20"/>
                <w:color w:val="auto"/>
              </w:rPr>
            </w:pPr>
          </w:p>
        </w:tc>
        <w:tc>
          <w:tcPr>
            <w:tcW w:w="35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40" w:type="dxa"/>
            <w:vAlign w:val="bottom"/>
            <w:gridSpan w:val="2"/>
          </w:tcPr>
          <w:p>
            <w:pPr>
              <w:jc w:val="center"/>
              <w:ind w:right="10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740" w:type="dxa"/>
            <w:vAlign w:val="bottom"/>
            <w:gridSpan w:val="7"/>
          </w:tcPr>
          <w:p>
            <w:pPr>
              <w:jc w:val="center"/>
              <w:ind w:right="14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(903) 758-3431</w:t>
            </w:r>
          </w:p>
        </w:tc>
      </w:tr>
      <w:tr>
        <w:trPr>
          <w:trHeight w:val="432"/>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0" w:type="dxa"/>
            <w:vAlign w:val="bottom"/>
            <w:gridSpan w:val="5"/>
          </w:tcPr>
          <w:p>
            <w:pPr>
              <w:jc w:val="center"/>
              <w:ind w:left="8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61"/>
        </w:trPr>
        <w:tc>
          <w:tcPr>
            <w:tcW w:w="8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54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198"/>
        </w:trPr>
        <w:tc>
          <w:tcPr>
            <w:tcW w:w="840" w:type="dxa"/>
            <w:vAlign w:val="bottom"/>
          </w:tcPr>
          <w:p>
            <w:pPr>
              <w:spacing w:after="0"/>
              <w:rPr>
                <w:sz w:val="17"/>
                <w:szCs w:val="17"/>
                <w:color w:val="auto"/>
              </w:rPr>
            </w:pPr>
          </w:p>
        </w:tc>
        <w:tc>
          <w:tcPr>
            <w:tcW w:w="136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Borders>
              <w:bottom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8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7"/>
        </w:trPr>
        <w:tc>
          <w:tcPr>
            <w:tcW w:w="4380" w:type="dxa"/>
            <w:vAlign w:val="bottom"/>
            <w:gridSpan w:val="3"/>
          </w:tcPr>
          <w:p>
            <w:pPr>
              <w:jc w:val="center"/>
              <w:ind w:right="1230"/>
              <w:spacing w:after="0"/>
              <w:rPr>
                <w:sz w:val="20"/>
                <w:szCs w:val="20"/>
                <w:color w:val="auto"/>
              </w:rPr>
            </w:pPr>
            <w:r>
              <w:rPr>
                <w:rFonts w:ascii="Times New Roman" w:cs="Times New Roman" w:eastAsia="Times New Roman" w:hAnsi="Times New Roman"/>
                <w:sz w:val="18"/>
                <w:szCs w:val="18"/>
                <w:color w:val="auto"/>
                <w:w w:val="99"/>
              </w:rPr>
              <w:t>Common Stock, $1 Par Value</w:t>
            </w:r>
          </w:p>
        </w:tc>
        <w:tc>
          <w:tcPr>
            <w:tcW w:w="280" w:type="dxa"/>
            <w:vAlign w:val="bottom"/>
          </w:tcPr>
          <w:p>
            <w:pPr>
              <w:spacing w:after="0"/>
              <w:rPr>
                <w:sz w:val="20"/>
                <w:szCs w:val="20"/>
                <w:color w:val="auto"/>
              </w:rPr>
            </w:pPr>
          </w:p>
        </w:tc>
        <w:tc>
          <w:tcPr>
            <w:tcW w:w="8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6"/>
              </w:rPr>
              <w:t>FRD</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r>
        <w:trPr>
          <w:trHeight w:val="414"/>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0" w:type="dxa"/>
            <w:vAlign w:val="bottom"/>
            <w:gridSpan w:val="5"/>
          </w:tcPr>
          <w:p>
            <w:pPr>
              <w:jc w:val="center"/>
              <w:ind w:left="89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None</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85"/>
        </w:trPr>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r>
      <w:tr>
        <w:trPr>
          <w:trHeight w:val="283"/>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gridSpan w:val="2"/>
          </w:tcPr>
          <w:p>
            <w:pPr>
              <w:ind w:left="2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9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5"/>
        </w:trPr>
        <w:tc>
          <w:tcPr>
            <w:tcW w:w="99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r>
      <w:tr>
        <w:trPr>
          <w:trHeight w:val="283"/>
        </w:trPr>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00" w:type="dxa"/>
            <w:vAlign w:val="bottom"/>
            <w:gridSpan w:val="2"/>
          </w:tcPr>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920" w:type="dxa"/>
            <w:vAlign w:val="bottom"/>
            <w:gridSpan w:val="2"/>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7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178"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2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jc w:val="center"/>
        <w:ind w:right="-27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w:t>
      </w:r>
    </w:p>
    <w:p>
      <w:pPr>
        <w:spacing w:after="0" w:line="2" w:lineRule="exact"/>
        <w:rPr>
          <w:sz w:val="24"/>
          <w:szCs w:val="24"/>
          <w:color w:val="auto"/>
        </w:rPr>
      </w:pPr>
    </w:p>
    <w:p>
      <w:pPr>
        <w:jc w:val="center"/>
        <w:ind w:right="-59"/>
        <w:spacing w:after="0" w:line="181" w:lineRule="exact"/>
        <w:rPr>
          <w:sz w:val="20"/>
          <w:szCs w:val="20"/>
          <w:color w:val="auto"/>
        </w:rPr>
      </w:pPr>
      <w:r>
        <w:rPr>
          <w:rFonts w:ascii="MS PGothic" w:cs="MS PGothic" w:eastAsia="MS PGothic" w:hAnsi="MS PGothic"/>
          <w:sz w:val="18"/>
          <w:szCs w:val="18"/>
          <w:color w:val="auto"/>
        </w:rPr>
        <w:t>☐</w:t>
      </w:r>
    </w:p>
    <w:p>
      <w:pPr>
        <w:spacing w:after="0" w:line="239" w:lineRule="exact"/>
        <w:rPr>
          <w:sz w:val="24"/>
          <w:szCs w:val="24"/>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07" w:right="339" w:bottom="0" w:gutter="0" w:footer="0" w:header="0"/>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7">
            <w:col w:w="2360" w:space="720"/>
            <w:col w:w="1200" w:space="100"/>
            <w:col w:w="460" w:space="720"/>
            <w:col w:w="1520" w:space="80"/>
            <w:col w:w="180" w:space="720"/>
            <w:col w:w="1960" w:space="100"/>
            <w:col w:w="1120"/>
          </w:cols>
          <w:pgMar w:left="320" w:top="607" w:right="339" w:bottom="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607" w:right="339" w:bottom="0" w:gutter="0" w:footer="0" w:header="0"/>
          <w:type w:val="continuous"/>
        </w:sectPr>
      </w:pPr>
    </w:p>
    <w:p>
      <w:pPr>
        <w:spacing w:after="0" w:line="198"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 w:lineRule="exact"/>
        <w:rPr>
          <w:sz w:val="24"/>
          <w:szCs w:val="24"/>
          <w:color w:val="auto"/>
        </w:rPr>
      </w:pPr>
    </w:p>
    <w:p>
      <w:pPr>
        <w:ind w:left="4740"/>
        <w:spacing w:after="0" w:line="207" w:lineRule="exact"/>
        <w:tabs>
          <w:tab w:leader="none" w:pos="60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4"/>
          <w:szCs w:val="24"/>
          <w:color w:val="auto"/>
        </w:rPr>
      </w:pPr>
    </w:p>
    <w:p>
      <w:pPr>
        <w:ind w:left="468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2"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as of September 30, 2021 (based upon the closing price on the NYSE American on September 30, 2021) was approximately $76,143,000.</w:t>
      </w:r>
    </w:p>
    <w:p>
      <w:pPr>
        <w:sectPr>
          <w:pgSz w:w="11900" w:h="16838" w:orient="portrait"/>
          <w:cols w:equalWidth="0" w:num="1">
            <w:col w:w="11240"/>
          </w:cols>
          <w:pgMar w:left="320" w:top="607"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The number of shares of the registrant’s Common Stock outstanding at August 2, 2022 was 7,368,613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196215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238760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521970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99"/>
          </w:cols>
          <w:pgMar w:left="660" w:top="12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Portions of the Annual Report to Shareholders of Friedman Industries, Incorporated for the fiscal year ended March 31, 2022 — Part 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Friedman Industries, Incorporated (the “Company”), a Texas corporation incorporated in 1965, is a manufacturer and processor of steel products and operates in two reportable segments: coil products and tubular products. Significant financial information relating to the Company’s business segments for the last two years is contained in Note 13of the Consolidated Financial Statements included in the Company’s Annual Report to Shareholders for the fiscal year ended March 31, 2022, which financial statements are incorporated herein by reference in Item 8 hereof.</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Coil Products</w:t>
      </w:r>
    </w:p>
    <w:p>
      <w:pPr>
        <w:spacing w:after="0" w:line="227"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coil product segment consists of the operation of two hot-rolled coil processing facilities; one in Hickman, Arkansas (“Hickman”) and the other in Decatur, Alabama (“Decatur”). The Hickman facility operates a temper mill and a cut-to-length line and the Decatur facility operates a stretcher leveler cut-to-length line. The equipment at both facilities improves the flatness and surface qualities of the coils and cuts the coils into sheet and plate of prescribed lengths. The Hickman facility is capable of cutting sheet and plate with thicknesses ranging from 14 gauge to ½” thick in widths ranging from 36” wide to 72” wide. The Decatur facility is capable of cutting sheet and plate with thicknesses ranging from 14 gauge to ½” thick in widths ranging from 36" wide to 96" wide. The coil product segment sells its prime grade inventory under the Friedman Industries name but also maintains an inventory of non-standard coil products, consisting primarily of mill secondary and excess prime coils, which are sold through the Company’s XSCP division. The coil product segment also processes customer-owned coils on a fee basis.</w:t>
      </w:r>
    </w:p>
    <w:p>
      <w:pPr>
        <w:spacing w:after="0" w:line="19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Hickman and Decatur facilities are substantially similar with respect to products produced. The Company makes shipments of coil products based on which facility offers the desired product or, if the product is available at both facilities, based on other factors, such as customer location, freight conditions and the ability of the facility to fulfill the order on a timely basis. Coil products are sold on a wholesale, rapid-delivery basis in competition with other processors of hot-rolled steel coils. Shipments are made via unaffiliated truckers or by rail.</w:t>
      </w:r>
    </w:p>
    <w:p>
      <w:pPr>
        <w:spacing w:after="0" w:line="18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On May 25, 2021, the Company announced plans for a new facility in Sinton, Texas that will be part of the coil product segment. The new facility is on the campus of Steel Dynamics, Inc.'s ("SDI") new flat roll steel mill in Sinton, Texas. The Company's new location consists of an approximately 70,000 square foot building located on approximately 26.5 acres leased from SDI under a 99-year agreement. The Company contracted with Red Bud Industries to build one of the world’s largest stretcher leveler cut-to-length lines, capable of handling material up to 1” thick, widths up to 96” and yields exceeding 100,000 psi. The Company expects the equipment commissioning to occur during August 2022 and September 2022 and then expects expanded production levels beginning in October 2022. The total cost of the project is estimated to be $21 million.</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coil segment purchases its inventory from a limited number of suppliers. Loss of any of these suppliers could have a material adverse effect on the Company’s business.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Tubular Products</w:t>
      </w:r>
    </w:p>
    <w:p>
      <w:pPr>
        <w:spacing w:after="0" w:line="227"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 pipe finishing facility capable of applying threads and couplings to oil country tubular goods and performing other services that are customary in the pipe finishing process. The pipe finishing facility is currently idled. TTP’s inventory consists of raw materials and finished goods. Raw material inventory consists of hot-rolled steel coils that TTP will manufacture into pipe. Finished goods inventory consists of pipe TTP has manufactured and mill reject pipe that TTP purchased from U.S. Steel Tubular Products, Inc.</w:t>
      </w:r>
    </w:p>
    <w:p>
      <w:pPr>
        <w:spacing w:after="0" w:line="189" w:lineRule="exact"/>
        <w:rPr>
          <w:sz w:val="20"/>
          <w:szCs w:val="20"/>
          <w:color w:val="auto"/>
        </w:rPr>
      </w:pPr>
    </w:p>
    <w:p>
      <w:pPr>
        <w:ind w:right="860" w:firstLine="441"/>
        <w:spacing w:after="0" w:line="282" w:lineRule="auto"/>
        <w:rPr>
          <w:sz w:val="20"/>
          <w:szCs w:val="20"/>
          <w:color w:val="auto"/>
        </w:rPr>
      </w:pPr>
      <w:r>
        <w:rPr>
          <w:rFonts w:ascii="Times New Roman" w:cs="Times New Roman" w:eastAsia="Times New Roman" w:hAnsi="Times New Roman"/>
          <w:sz w:val="18"/>
          <w:szCs w:val="18"/>
          <w:color w:val="auto"/>
        </w:rPr>
        <w:t>TTP purchases its inventory from a limited number of suppliers. Loss of any of these suppliers could have a material adverse effect on the Company’s business.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ind w:left="220"/>
        <w:spacing w:after="0"/>
        <w:rPr>
          <w:sz w:val="20"/>
          <w:szCs w:val="20"/>
          <w:color w:val="auto"/>
        </w:rPr>
      </w:pPr>
      <w:r>
        <w:rPr>
          <w:rFonts w:ascii="Times New Roman" w:cs="Times New Roman" w:eastAsia="Times New Roman" w:hAnsi="Times New Roman"/>
          <w:sz w:val="18"/>
          <w:szCs w:val="18"/>
          <w:i w:val="1"/>
          <w:iCs w:val="1"/>
          <w:color w:val="auto"/>
        </w:rPr>
        <w:t>Marketing</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approximate percentage of total sales contributed by each group of products and services during each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last two fiscal years:</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Product and Service Groups</w:t>
            </w:r>
          </w:p>
        </w:tc>
        <w:tc>
          <w:tcPr>
            <w:tcW w:w="1760" w:type="dxa"/>
            <w:vAlign w:val="bottom"/>
            <w:gridSpan w:val="2"/>
          </w:tcPr>
          <w:p>
            <w:pPr>
              <w:jc w:val="center"/>
              <w:ind w:right="1400"/>
              <w:spacing w:after="0"/>
              <w:rPr>
                <w:sz w:val="20"/>
                <w:szCs w:val="20"/>
                <w:color w:val="auto"/>
              </w:rPr>
            </w:pPr>
            <w:r>
              <w:rPr>
                <w:rFonts w:ascii="Times New Roman" w:cs="Times New Roman" w:eastAsia="Times New Roman" w:hAnsi="Times New Roman"/>
                <w:sz w:val="18"/>
                <w:szCs w:val="18"/>
                <w:color w:val="auto"/>
                <w:w w:val="99"/>
              </w:rPr>
              <w:t>2022</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0"/>
        </w:trPr>
        <w:tc>
          <w:tcPr>
            <w:tcW w:w="7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Coil Products</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81%</w:t>
            </w:r>
          </w:p>
        </w:tc>
        <w:tc>
          <w:tcPr>
            <w:tcW w:w="14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76%</w:t>
            </w:r>
          </w:p>
        </w:tc>
      </w:t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Tubular Products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140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r>
    </w:tbl>
    <w:p>
      <w:pPr>
        <w:spacing w:after="0" w:line="177"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Coil Products. </w:t>
      </w:r>
      <w:r>
        <w:rPr>
          <w:rFonts w:ascii="Times New Roman" w:cs="Times New Roman" w:eastAsia="Times New Roman" w:hAnsi="Times New Roman"/>
          <w:sz w:val="18"/>
          <w:szCs w:val="18"/>
          <w:color w:val="auto"/>
        </w:rPr>
        <w:t>The Company sells coil products and processing services to approximately 230 customers located primarily in the midwestern,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southwestern and southeastern regions of the United States. The Company’s principal customers for these products and services are steel distributors and customers manufacturing steel products such as steel buildings, railroad cars, barges, tanks and containers, trailers, component parts and other fabricated steel products. For the fiscal year ended March 31, 2022, sales of coil products to O'Neal Steel accounted for approximately 11% of the Company's total sales. No individual coil products customer accounted for 10% or more of the Company's total sales for the fiscal year ended March 31, 2021.</w:t>
      </w:r>
    </w:p>
    <w:p>
      <w:pPr>
        <w:spacing w:after="0" w:line="18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sells substantially all of its coil products through its own sales force. At March 31, 2022, the sales force was comprised of the Vice President of Sales – Coil Divisions and four professional sales personnel. Sales personnel are paid on a salary and commission basis.</w:t>
      </w:r>
    </w:p>
    <w:p>
      <w:pPr>
        <w:spacing w:after="0" w:line="160" w:lineRule="exact"/>
        <w:rPr>
          <w:sz w:val="20"/>
          <w:szCs w:val="20"/>
          <w:color w:val="auto"/>
        </w:rPr>
      </w:pPr>
    </w:p>
    <w:p>
      <w:pPr>
        <w:jc w:val="both"/>
        <w:ind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Tubular Products. </w:t>
      </w:r>
      <w:r>
        <w:rPr>
          <w:rFonts w:ascii="Times New Roman" w:cs="Times New Roman" w:eastAsia="Times New Roman" w:hAnsi="Times New Roman"/>
          <w:sz w:val="18"/>
          <w:szCs w:val="18"/>
          <w:color w:val="auto"/>
        </w:rPr>
        <w:t>The Company sells its tubular products nationally to approximately 110 customers. The Company’s principal customers for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are steel and pipe distributors. In fiscal years 2022 and 2021, no individual tubular customer accounted for 10% or more of the Company’s total sales.</w:t>
      </w:r>
    </w:p>
    <w:p>
      <w:pPr>
        <w:spacing w:after="0" w:line="175"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 sells substantially all of its tubular products through its own sales force. At March 31, 2022, the sales force was comprised of the Vice President of Sales – Tubular Division and two professional sales personnel. Sales personnel are paid on a salary and commission basis.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22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is engaged in a non-seasonal, highly-competitive business. The Company competes with other processors of hot-rolled steel coils, tubular manufacturers, steel distributors and brokers.</w:t>
      </w:r>
    </w:p>
    <w:p>
      <w:pPr>
        <w:spacing w:after="0" w:line="17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generally, its ability to compete is dependent upon its ability to offer products at prices competitive with or below those of other steel suppliers, as well as its ability to provide products meeting customer specifications on a rapid-delivery basis.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Human Capital Resources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March 31, 2022, the Company had 98 full-time employees and 1 part-time employee.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Executive Officers of the Company</w:t>
      </w:r>
    </w:p>
    <w:p>
      <w:pPr>
        <w:spacing w:after="0" w:line="22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March 31, 2022, for each executive officer of the Company, the name, age, officer positions and arrangements with other persons regarding his selection as an officer, if any, and the period during which such officer has served in such capacity: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Position, Offices with the Company</w:t>
            </w:r>
          </w:p>
        </w:tc>
        <w:tc>
          <w:tcPr>
            <w:tcW w:w="80" w:type="dxa"/>
            <w:vAlign w:val="bottom"/>
          </w:tcPr>
          <w:p>
            <w:pPr>
              <w:spacing w:after="0"/>
              <w:rPr>
                <w:sz w:val="18"/>
                <w:szCs w:val="18"/>
                <w:color w:val="auto"/>
              </w:rPr>
            </w:pPr>
          </w:p>
        </w:tc>
      </w:tr>
      <w:tr>
        <w:trPr>
          <w:trHeight w:val="238"/>
        </w:trPr>
        <w:tc>
          <w:tcPr>
            <w:tcW w:w="500" w:type="dxa"/>
            <w:vAlign w:val="bottom"/>
          </w:tcPr>
          <w:p>
            <w:pPr>
              <w:spacing w:after="0"/>
              <w:rPr>
                <w:sz w:val="20"/>
                <w:szCs w:val="20"/>
                <w:color w:val="auto"/>
              </w:rPr>
            </w:pPr>
          </w:p>
        </w:tc>
        <w:tc>
          <w:tcPr>
            <w:tcW w:w="21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778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b w:val="1"/>
                <w:bCs w:val="1"/>
                <w:color w:val="auto"/>
              </w:rPr>
              <w:t>and Other Arrangements, if any</w:t>
            </w:r>
          </w:p>
        </w:tc>
        <w:tc>
          <w:tcPr>
            <w:tcW w:w="80" w:type="dxa"/>
            <w:vAlign w:val="bottom"/>
          </w:tcPr>
          <w:p>
            <w:pPr>
              <w:spacing w:after="0"/>
              <w:rPr>
                <w:sz w:val="20"/>
                <w:szCs w:val="20"/>
                <w:color w:val="auto"/>
              </w:rPr>
            </w:pPr>
          </w:p>
        </w:tc>
      </w:tr>
      <w:tr>
        <w:trPr>
          <w:trHeight w:val="191"/>
        </w:trPr>
        <w:tc>
          <w:tcPr>
            <w:tcW w:w="500" w:type="dxa"/>
            <w:vAlign w:val="bottom"/>
          </w:tcPr>
          <w:p>
            <w:pPr>
              <w:spacing w:after="0"/>
              <w:rPr>
                <w:sz w:val="16"/>
                <w:szCs w:val="16"/>
                <w:color w:val="auto"/>
              </w:rPr>
            </w:pPr>
          </w:p>
        </w:tc>
        <w:tc>
          <w:tcPr>
            <w:tcW w:w="21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Michael J. Taylor</w:t>
            </w:r>
          </w:p>
        </w:tc>
        <w:tc>
          <w:tcPr>
            <w:tcW w:w="640" w:type="dxa"/>
            <w:vAlign w:val="bottom"/>
            <w:gridSpan w:val="2"/>
            <w:shd w:val="clear" w:color="auto" w:fill="CCEEFF"/>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shd w:val="clear" w:color="auto" w:fill="CCEEFF"/>
          </w:tcPr>
          <w:p>
            <w:pPr>
              <w:spacing w:after="0"/>
              <w:rPr>
                <w:sz w:val="16"/>
                <w:szCs w:val="16"/>
                <w:color w:val="auto"/>
              </w:rPr>
            </w:pPr>
          </w:p>
        </w:tc>
        <w:tc>
          <w:tcPr>
            <w:tcW w:w="77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 since September 2019; formerly Interim President and Interim Chief</w:t>
            </w:r>
          </w:p>
        </w:tc>
        <w:tc>
          <w:tcPr>
            <w:tcW w:w="8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Executive Officer since February 2019; Chairman of the Board of Directors since June 2017; member of</w:t>
            </w:r>
          </w:p>
        </w:tc>
        <w:tc>
          <w:tcPr>
            <w:tcW w:w="8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Board of Directors since December 2016</w:t>
            </w:r>
          </w:p>
        </w:tc>
        <w:tc>
          <w:tcPr>
            <w:tcW w:w="80" w:type="dxa"/>
            <w:vAlign w:val="bottom"/>
          </w:tcPr>
          <w:p>
            <w:pPr>
              <w:spacing w:after="0"/>
              <w:rPr>
                <w:sz w:val="20"/>
                <w:szCs w:val="20"/>
                <w:color w:val="auto"/>
              </w:rPr>
            </w:pPr>
          </w:p>
        </w:tc>
      </w:tr>
      <w:tr>
        <w:trPr>
          <w:trHeight w:val="198"/>
        </w:trPr>
        <w:tc>
          <w:tcPr>
            <w:tcW w:w="500" w:type="dxa"/>
            <w:vAlign w:val="bottom"/>
          </w:tcPr>
          <w:p>
            <w:pPr>
              <w:spacing w:after="0"/>
              <w:rPr>
                <w:sz w:val="17"/>
                <w:szCs w:val="17"/>
                <w:color w:val="auto"/>
              </w:rPr>
            </w:pP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Alex LaRue</w:t>
            </w:r>
          </w:p>
        </w:tc>
        <w:tc>
          <w:tcPr>
            <w:tcW w:w="64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tcPr>
          <w:p>
            <w:pPr>
              <w:spacing w:after="0"/>
              <w:rPr>
                <w:sz w:val="17"/>
                <w:szCs w:val="17"/>
                <w:color w:val="auto"/>
              </w:rPr>
            </w:pPr>
          </w:p>
        </w:tc>
        <w:tc>
          <w:tcPr>
            <w:tcW w:w="7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 – Secretary and Treasurer since March 2018; formerly Vice President — Secretary</w:t>
            </w:r>
          </w:p>
        </w:tc>
        <w:tc>
          <w:tcPr>
            <w:tcW w:w="80" w:type="dxa"/>
            <w:vAlign w:val="bottom"/>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Treasurer since 2014; formerly Assistant Vice President — Secretary and Treasurer since 2013;</w:t>
            </w:r>
          </w:p>
        </w:tc>
        <w:tc>
          <w:tcPr>
            <w:tcW w:w="8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formerly Controller — Texas Tubular Products since 2011</w:t>
            </w:r>
          </w:p>
        </w:tc>
        <w:tc>
          <w:tcPr>
            <w:tcW w:w="80" w:type="dxa"/>
            <w:vAlign w:val="bottom"/>
          </w:tcPr>
          <w:p>
            <w:pPr>
              <w:spacing w:after="0"/>
              <w:rPr>
                <w:sz w:val="20"/>
                <w:szCs w:val="20"/>
                <w:color w:val="auto"/>
              </w:rPr>
            </w:pPr>
          </w:p>
        </w:tc>
      </w:tr>
      <w:tr>
        <w:trPr>
          <w:trHeight w:val="471"/>
        </w:trPr>
        <w:tc>
          <w:tcPr>
            <w:tcW w:w="5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80" w:type="dxa"/>
            <w:vAlign w:val="bottom"/>
            <w:gridSpan w:val="2"/>
          </w:tcPr>
          <w:p>
            <w:pPr>
              <w:jc w:val="right"/>
              <w:ind w:right="5390"/>
              <w:spacing w:after="0"/>
              <w:rPr>
                <w:sz w:val="20"/>
                <w:szCs w:val="20"/>
                <w:color w:val="auto"/>
              </w:rPr>
            </w:pPr>
            <w:r>
              <w:rPr>
                <w:rFonts w:ascii="Times New Roman" w:cs="Times New Roman" w:eastAsia="Times New Roman" w:hAnsi="Times New Roman"/>
                <w:sz w:val="22"/>
                <w:szCs w:val="22"/>
                <w:color w:val="auto"/>
              </w:rPr>
              <w:t>3</w:t>
            </w:r>
          </w:p>
        </w:tc>
        <w:tc>
          <w:tcPr>
            <w:tcW w:w="80" w:type="dxa"/>
            <w:vAlign w:val="bottom"/>
          </w:tcPr>
          <w:p>
            <w:pPr>
              <w:spacing w:after="0"/>
              <w:rPr>
                <w:sz w:val="24"/>
                <w:szCs w:val="24"/>
                <w:color w:val="auto"/>
              </w:rPr>
            </w:pPr>
          </w:p>
        </w:tc>
      </w:tr>
      <w:tr>
        <w:trPr>
          <w:trHeight w:val="103"/>
        </w:trPr>
        <w:tc>
          <w:tcPr>
            <w:tcW w:w="50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7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3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Not required.</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3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None.</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 Properties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3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principal real properties of the Company are described in the following table:</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Approximate</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8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4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Size</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0"/>
        </w:trPr>
        <w:tc>
          <w:tcPr>
            <w:tcW w:w="8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34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Lone Star, Texas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Plant — Texas Tubular Products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Owned(1)</w:t>
            </w:r>
          </w:p>
        </w:tc>
      </w:tr>
      <w:tr>
        <w:trPr>
          <w:trHeight w:val="216"/>
        </w:trPr>
        <w:tc>
          <w:tcPr>
            <w:tcW w:w="8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Offices — Texas Tubular Products</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Owned(1)</w:t>
            </w:r>
          </w:p>
        </w:tc>
      </w:tr>
      <w:tr>
        <w:trPr>
          <w:trHeight w:val="216"/>
        </w:trPr>
        <w:tc>
          <w:tcPr>
            <w:tcW w:w="8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Land — Texas Tubular Products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122.4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Owned(1)</w:t>
            </w: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Longview, Texas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Offices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Leased(2)</w:t>
            </w: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Hickman, Arkansas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Plant and Warehouse — Coil Products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Owned(1)</w:t>
            </w:r>
          </w:p>
        </w:tc>
      </w:tr>
      <w:tr>
        <w:trPr>
          <w:trHeight w:val="216"/>
        </w:trPr>
        <w:tc>
          <w:tcPr>
            <w:tcW w:w="8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Offices — Coil Products</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Owned(1)</w:t>
            </w:r>
          </w:p>
        </w:tc>
      </w:tr>
      <w:tr>
        <w:trPr>
          <w:trHeight w:val="216"/>
        </w:trPr>
        <w:tc>
          <w:tcPr>
            <w:tcW w:w="8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Land — Coil Products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Owned(1)</w:t>
            </w: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Decatur, Alabama</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Plant and Warehouse — Coil Products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Owned(1)</w:t>
            </w:r>
          </w:p>
        </w:tc>
      </w:tr>
      <w:tr>
        <w:trPr>
          <w:trHeight w:val="216"/>
        </w:trPr>
        <w:tc>
          <w:tcPr>
            <w:tcW w:w="8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Offices — Coil Products</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Owned(1)</w:t>
            </w:r>
          </w:p>
        </w:tc>
      </w:tr>
      <w:tr>
        <w:trPr>
          <w:trHeight w:val="216"/>
        </w:trPr>
        <w:tc>
          <w:tcPr>
            <w:tcW w:w="8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Land — Coil Products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Owned(1)</w:t>
            </w:r>
          </w:p>
        </w:tc>
      </w:tr>
      <w:tr>
        <w:trPr>
          <w:trHeight w:val="216"/>
        </w:trPr>
        <w:tc>
          <w:tcPr>
            <w:tcW w:w="8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Sinton, Texas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34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Plant and Warehouse</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Leasehold</w:t>
            </w:r>
          </w:p>
        </w:tc>
      </w:tr>
      <w:tr>
        <w:trPr>
          <w:trHeight w:val="234"/>
        </w:trPr>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Improvement (3)</w:t>
            </w:r>
          </w:p>
        </w:tc>
      </w:tr>
      <w:tr>
        <w:trPr>
          <w:trHeight w:val="198"/>
        </w:trPr>
        <w:tc>
          <w:tcPr>
            <w:tcW w:w="834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Offices — Coil Products</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Leasehold</w:t>
            </w:r>
          </w:p>
        </w:tc>
      </w:tr>
      <w:tr>
        <w:trPr>
          <w:trHeight w:val="234"/>
        </w:trPr>
        <w:tc>
          <w:tcPr>
            <w:tcW w:w="8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8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Improvement (3)</w:t>
            </w:r>
          </w:p>
        </w:tc>
      </w:tr>
      <w:tr>
        <w:trPr>
          <w:trHeight w:val="234"/>
        </w:trPr>
        <w:tc>
          <w:tcPr>
            <w:tcW w:w="8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Land — Coil Products</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Leased(3)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owned real properties, plants and offices are held in fee and are not subject to any mortgage or deed of trust.</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lease is with a non-affiliated party, expires on April 30, 2024, and requires a monthly rental payment by the Company of $4,878.</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associated lease is a 99 year lease with Steel Dynamics Inc. that calls for an annual rental payment of $1 and has an expiration date of February</w:t>
      </w:r>
    </w:p>
    <w:p>
      <w:pPr>
        <w:spacing w:after="0" w:line="9" w:lineRule="exact"/>
        <w:rPr>
          <w:rFonts w:ascii="Times New Roman" w:cs="Times New Roman" w:eastAsia="Times New Roman" w:hAnsi="Times New Roman"/>
          <w:sz w:val="18"/>
          <w:szCs w:val="18"/>
          <w:color w:val="auto"/>
        </w:rPr>
      </w:pPr>
    </w:p>
    <w:p>
      <w:pPr>
        <w:ind w:left="340" w:hanging="332"/>
        <w:spacing w:after="0" w:line="190" w:lineRule="auto"/>
        <w:tabs>
          <w:tab w:leader="none" w:pos="34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19, 2120</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The Company is not, and during fiscal year 2022 was not, a party to, nor is its property the subject of, any material pending legal proceedings.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Common Stock is traded principally on the NYSE – American (Symbol: FRD).</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Reference is hereby made to the sections of the Company’s Annual Report to Shareholders for the fiscal year ended March 31, 2022, entitled “Description of Business — Range of High and Low Sales Prices of Common Stock” and “Description of Business — Cash Dividends Declared Per Share of Common Stock”, which sections are hereby incorporated herein by reference.</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approximate number of shareholders of record of Common Stock of the Company as of April 29, 2022 was 175. Because many of the Company’s common shares are held by brokers and other institutions on behalf of shareholders, the Company is unable to estimate the total number of individual shareholders represented by these record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Information with respect to Item 7 is hereby incorporated herein by reference from the section of the Company’s Annual Report to Shareholders for the fiscal year ended March 31, 2022, entitled “Management’s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notes thereto of the Company included in the Company’s Annual Report to Shareholders for the fiscal year ended March 31, 2022, are hereby incorporated herein by reference: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Balance Sheets — March 31, 2022 and 2021</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Statements of Operations — Years ended March 31, 2022 and 2021</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Statements of Comprehensive Income — Years ended March 31, 2022 and 2021</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Statements of Stockholders’ Equity — Years ended March 31, 2022 and 2021</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Statements of Cash Flows — Years ended March 31, 2022 and 2021</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22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supplementary schedule for the Company for the years ended March 31, 2022 and 2021, is incorporated herein by reference above in this Item 8 from the Company's Annual Report to Shareholders for the fiscal year ended March 31, 2022.</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225"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accounting regulation of the U.S. Securities and Exchange Commission (the “SEC”) are not required under the related instructions or are inapplicable and, therefore, have been omitted.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Information with respect to Item 9A is hereby incorporated herein by reference from the sections of the Company’s Annual Report to Shareholders for the fiscal year ended March 31, 2022, entitled “</w:t>
      </w: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Report on Internal Control 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90" w:right="4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227" w:lineRule="exact"/>
        <w:rPr>
          <w:sz w:val="20"/>
          <w:szCs w:val="20"/>
          <w:color w:val="auto"/>
        </w:rPr>
      </w:pPr>
    </w:p>
    <w:p>
      <w:pPr>
        <w:jc w:val="both"/>
        <w:ind w:left="160" w:firstLine="28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of the nominees for election to the Board of Directors, the principal occupation or employment of each of the nominees, the period during which each nominee has served as a director of the Company and the age of each nominee:</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820" w:type="dxa"/>
            <w:vAlign w:val="bottom"/>
          </w:tcPr>
          <w:p>
            <w:pPr>
              <w:spacing w:after="0"/>
              <w:rPr>
                <w:sz w:val="18"/>
                <w:szCs w:val="18"/>
                <w:color w:val="auto"/>
              </w:rPr>
            </w:pPr>
          </w:p>
        </w:tc>
      </w:tr>
      <w:tr>
        <w:trPr>
          <w:trHeight w:val="238"/>
        </w:trPr>
        <w:tc>
          <w:tcPr>
            <w:tcW w:w="16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Principal Occupation and Business Experience for more than the Last Five Years</w:t>
            </w: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8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Age</w:t>
            </w:r>
          </w:p>
        </w:tc>
      </w:tr>
      <w:tr>
        <w:trPr>
          <w:trHeight w:val="198"/>
        </w:trPr>
        <w:tc>
          <w:tcPr>
            <w:tcW w:w="160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Mike Taylor</w:t>
            </w:r>
          </w:p>
        </w:tc>
        <w:tc>
          <w:tcPr>
            <w:tcW w:w="7700" w:type="dxa"/>
            <w:vAlign w:val="bottom"/>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President and Chief Executive Officer of the Company since September 2019; formerly Interim</w:t>
            </w:r>
          </w:p>
        </w:tc>
        <w:tc>
          <w:tcPr>
            <w:tcW w:w="1120" w:type="dxa"/>
            <w:vAlign w:val="bottom"/>
            <w:shd w:val="clear" w:color="auto" w:fill="CCEEFF"/>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2016</w:t>
            </w:r>
          </w:p>
        </w:tc>
        <w:tc>
          <w:tcPr>
            <w:tcW w:w="8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63</w:t>
            </w:r>
          </w:p>
        </w:tc>
      </w:tr>
      <w:tr>
        <w:trPr>
          <w:trHeight w:val="216"/>
        </w:trPr>
        <w:tc>
          <w:tcPr>
            <w:tcW w:w="1600" w:type="dxa"/>
            <w:vAlign w:val="bottom"/>
            <w:shd w:val="clear" w:color="auto" w:fill="CCEEFF"/>
          </w:tcPr>
          <w:p>
            <w:pPr>
              <w:spacing w:after="0"/>
              <w:rPr>
                <w:sz w:val="18"/>
                <w:szCs w:val="18"/>
                <w:color w:val="auto"/>
              </w:rPr>
            </w:pPr>
          </w:p>
        </w:tc>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President and Interim Chief Executive Officer since February 2019; formerly retired; formerly</w:t>
            </w:r>
          </w:p>
        </w:tc>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4"/>
        </w:trPr>
        <w:tc>
          <w:tcPr>
            <w:tcW w:w="1600" w:type="dxa"/>
            <w:vAlign w:val="bottom"/>
            <w:shd w:val="clear" w:color="auto" w:fill="CCEEFF"/>
          </w:tcPr>
          <w:p>
            <w:pPr>
              <w:spacing w:after="0"/>
              <w:rPr>
                <w:sz w:val="20"/>
                <w:szCs w:val="20"/>
                <w:color w:val="auto"/>
              </w:rPr>
            </w:pPr>
          </w:p>
        </w:tc>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President, Cargill Metals Supply Chain (steel processing and distribution), The Woodlands, Texas</w:t>
            </w:r>
          </w:p>
        </w:tc>
        <w:tc>
          <w:tcPr>
            <w:tcW w:w="1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6"/>
        </w:trPr>
        <w:tc>
          <w:tcPr>
            <w:tcW w:w="9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Durga D. Agrawal President, Piping Technology &amp; Products, Inc. (pipe fabrication), Houston, Texas</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2006</w:t>
            </w:r>
          </w:p>
        </w:tc>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160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Max</w:t>
            </w:r>
          </w:p>
        </w:tc>
        <w:tc>
          <w:tcPr>
            <w:tcW w:w="77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2008</w:t>
            </w:r>
          </w:p>
        </w:tc>
        <w:tc>
          <w:tcPr>
            <w:tcW w:w="8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64</w:t>
            </w:r>
          </w:p>
        </w:tc>
      </w:tr>
      <w:tr>
        <w:trPr>
          <w:trHeight w:val="234"/>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Reichenthal</w:t>
            </w:r>
          </w:p>
        </w:tc>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President, Texas Iron and Metal (steel product sales), Houston, Texas</w:t>
            </w:r>
          </w:p>
        </w:tc>
        <w:tc>
          <w:tcPr>
            <w:tcW w:w="1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198"/>
        </w:trPr>
        <w:tc>
          <w:tcPr>
            <w:tcW w:w="160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Sandy Scott</w:t>
            </w:r>
          </w:p>
        </w:tc>
        <w:tc>
          <w:tcPr>
            <w:tcW w:w="770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Retired; Current director on the boards of Terra Nova Solutions, Rowland Inc., CEDA International,</w:t>
            </w:r>
          </w:p>
        </w:tc>
        <w:tc>
          <w:tcPr>
            <w:tcW w:w="112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8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58</w:t>
            </w:r>
          </w:p>
        </w:tc>
      </w:tr>
      <w:tr>
        <w:trPr>
          <w:trHeight w:val="216"/>
        </w:trPr>
        <w:tc>
          <w:tcPr>
            <w:tcW w:w="1600" w:type="dxa"/>
            <w:vAlign w:val="bottom"/>
          </w:tcPr>
          <w:p>
            <w:pPr>
              <w:spacing w:after="0"/>
              <w:rPr>
                <w:sz w:val="18"/>
                <w:szCs w:val="18"/>
                <w:color w:val="auto"/>
              </w:rPr>
            </w:pPr>
          </w:p>
        </w:tc>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DWD International LLC and Goodwill of Houston; formerly Chief Executive Officer, Sprint</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Industrial Holdings (rental equipment and transportation company), Houston, Texas</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98"/>
        </w:trPr>
        <w:tc>
          <w:tcPr>
            <w:tcW w:w="160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Joel Spira</w:t>
            </w:r>
          </w:p>
        </w:tc>
        <w:tc>
          <w:tcPr>
            <w:tcW w:w="7700" w:type="dxa"/>
            <w:vAlign w:val="bottom"/>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Private investor, Houston, Texas; formerly Partner, Weinstein Spira &amp; Company (accounting firm),</w:t>
            </w:r>
          </w:p>
        </w:tc>
        <w:tc>
          <w:tcPr>
            <w:tcW w:w="1120" w:type="dxa"/>
            <w:vAlign w:val="bottom"/>
            <w:shd w:val="clear" w:color="auto" w:fill="CCEEFF"/>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2007</w:t>
            </w:r>
          </w:p>
        </w:tc>
        <w:tc>
          <w:tcPr>
            <w:tcW w:w="8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84</w:t>
            </w:r>
          </w:p>
        </w:tc>
      </w:tr>
      <w:tr>
        <w:trPr>
          <w:trHeight w:val="234"/>
        </w:trPr>
        <w:tc>
          <w:tcPr>
            <w:tcW w:w="1600" w:type="dxa"/>
            <w:vAlign w:val="bottom"/>
            <w:shd w:val="clear" w:color="auto" w:fill="CCEEFF"/>
          </w:tcPr>
          <w:p>
            <w:pPr>
              <w:spacing w:after="0"/>
              <w:rPr>
                <w:sz w:val="20"/>
                <w:szCs w:val="20"/>
                <w:color w:val="auto"/>
              </w:rPr>
            </w:pPr>
          </w:p>
        </w:tc>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Houston, Texas</w:t>
            </w:r>
          </w:p>
        </w:tc>
        <w:tc>
          <w:tcPr>
            <w:tcW w:w="1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198"/>
        </w:trPr>
        <w:tc>
          <w:tcPr>
            <w:tcW w:w="160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Tim</w:t>
            </w:r>
          </w:p>
        </w:tc>
        <w:tc>
          <w:tcPr>
            <w:tcW w:w="770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Chief Executive Officer and Founder, Metal Edge Partners (metals price risk management and</w:t>
            </w:r>
          </w:p>
        </w:tc>
        <w:tc>
          <w:tcPr>
            <w:tcW w:w="112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2019</w:t>
            </w:r>
          </w:p>
        </w:tc>
        <w:tc>
          <w:tcPr>
            <w:tcW w:w="8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55</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Stevenson</w:t>
            </w:r>
          </w:p>
        </w:tc>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strategic advisory services), Plymouth, Minnesota; formerly Managing Director, Cargill Risk</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Management (price risk management services), Hopkins, Minnesota; formerly North American Lead</w:t>
            </w: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Derivatives and Analysis, Cargill, Inc. (steel processor), Hopkins, Minnesota</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98"/>
        </w:trPr>
        <w:tc>
          <w:tcPr>
            <w:tcW w:w="160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Sharon Taylor</w:t>
            </w:r>
          </w:p>
        </w:tc>
        <w:tc>
          <w:tcPr>
            <w:tcW w:w="7700" w:type="dxa"/>
            <w:vAlign w:val="bottom"/>
            <w:shd w:val="clear" w:color="auto" w:fill="CCEEFF"/>
          </w:tcPr>
          <w:p>
            <w:pPr>
              <w:ind w:left="280"/>
              <w:spacing w:after="0" w:line="198" w:lineRule="exact"/>
              <w:rPr>
                <w:sz w:val="20"/>
                <w:szCs w:val="20"/>
                <w:color w:val="auto"/>
              </w:rPr>
            </w:pPr>
            <w:r>
              <w:rPr>
                <w:rFonts w:ascii="Times New Roman" w:cs="Times New Roman" w:eastAsia="Times New Roman" w:hAnsi="Times New Roman"/>
                <w:sz w:val="18"/>
                <w:szCs w:val="18"/>
                <w:color w:val="auto"/>
              </w:rPr>
              <w:t>Vice President and Chief Financial Officer, Martin Midstream Partners LP and Martin Resource</w:t>
            </w:r>
          </w:p>
        </w:tc>
        <w:tc>
          <w:tcPr>
            <w:tcW w:w="1120" w:type="dxa"/>
            <w:vAlign w:val="bottom"/>
            <w:shd w:val="clear" w:color="auto" w:fill="CCEEFF"/>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8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57</w:t>
            </w:r>
          </w:p>
        </w:tc>
      </w:tr>
      <w:tr>
        <w:trPr>
          <w:trHeight w:val="216"/>
        </w:trPr>
        <w:tc>
          <w:tcPr>
            <w:tcW w:w="1600" w:type="dxa"/>
            <w:vAlign w:val="bottom"/>
            <w:shd w:val="clear" w:color="auto" w:fill="CCEEFF"/>
          </w:tcPr>
          <w:p>
            <w:pPr>
              <w:spacing w:after="0"/>
              <w:rPr>
                <w:sz w:val="18"/>
                <w:szCs w:val="18"/>
                <w:color w:val="auto"/>
              </w:rPr>
            </w:pPr>
          </w:p>
        </w:tc>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Management Corporation (terminalling, processing, transportation, storage and packaging services</w:t>
            </w:r>
          </w:p>
        </w:tc>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spacing w:after="0"/>
              <w:rPr>
                <w:sz w:val="18"/>
                <w:szCs w:val="18"/>
                <w:color w:val="auto"/>
              </w:rPr>
            </w:pPr>
          </w:p>
        </w:tc>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 petroleum products and by-products); formerly Director of Finance and Investor Relations,</w:t>
            </w:r>
          </w:p>
        </w:tc>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1600" w:type="dxa"/>
            <w:vAlign w:val="bottom"/>
            <w:shd w:val="clear" w:color="auto" w:fill="CCEEFF"/>
          </w:tcPr>
          <w:p>
            <w:pPr>
              <w:spacing w:after="0"/>
              <w:rPr>
                <w:sz w:val="18"/>
                <w:szCs w:val="18"/>
                <w:color w:val="auto"/>
              </w:rPr>
            </w:pPr>
          </w:p>
        </w:tc>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Martin Midstream Partners LP; formerly Business Analyst – Finance, Martin Midstream Partners LP,</w:t>
            </w:r>
          </w:p>
        </w:tc>
        <w:tc>
          <w:tcPr>
            <w:tcW w:w="1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4"/>
        </w:trPr>
        <w:tc>
          <w:tcPr>
            <w:tcW w:w="1600" w:type="dxa"/>
            <w:vAlign w:val="bottom"/>
            <w:shd w:val="clear" w:color="auto" w:fill="CCEEFF"/>
          </w:tcPr>
          <w:p>
            <w:pPr>
              <w:spacing w:after="0"/>
              <w:rPr>
                <w:sz w:val="20"/>
                <w:szCs w:val="20"/>
                <w:color w:val="auto"/>
              </w:rPr>
            </w:pPr>
          </w:p>
        </w:tc>
        <w:tc>
          <w:tcPr>
            <w:tcW w:w="7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Kilgore, Texas</w:t>
            </w:r>
          </w:p>
        </w:tc>
        <w:tc>
          <w:tcPr>
            <w:tcW w:w="1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198"/>
        </w:trPr>
        <w:tc>
          <w:tcPr>
            <w:tcW w:w="160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Joe</w:t>
            </w:r>
          </w:p>
        </w:tc>
        <w:tc>
          <w:tcPr>
            <w:tcW w:w="77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L.Partner, Pozmantier, Williams &amp; Stone Insurance Consultants, LLC (insurance and risk management</w:t>
            </w:r>
          </w:p>
        </w:tc>
        <w:tc>
          <w:tcPr>
            <w:tcW w:w="112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2000</w:t>
            </w:r>
          </w:p>
        </w:tc>
        <w:tc>
          <w:tcPr>
            <w:tcW w:w="8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76</w:t>
            </w: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Williams</w:t>
            </w:r>
          </w:p>
        </w:tc>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consultants), Houston, Texas</w:t>
            </w: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Officers of the Company</w:t>
      </w:r>
    </w:p>
    <w:p>
      <w:pPr>
        <w:spacing w:after="0" w:line="22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Information with respect to Item 10 regarding executive officers is hereby incorporated by reference from the information set forth under the caption “Executive Officers of the Company” in Item 1 of this Annual Report on Form 10-K.</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Delinquent Section 16(a) Reports</w:t>
      </w:r>
    </w:p>
    <w:p>
      <w:pPr>
        <w:spacing w:after="0" w:line="227" w:lineRule="exact"/>
        <w:rPr>
          <w:sz w:val="20"/>
          <w:szCs w:val="20"/>
          <w:color w:val="auto"/>
        </w:rPr>
      </w:pPr>
    </w:p>
    <w:p>
      <w:pPr>
        <w:jc w:val="both"/>
        <w:ind w:left="160" w:firstLine="288"/>
        <w:spacing w:after="0" w:line="255" w:lineRule="auto"/>
        <w:rPr>
          <w:sz w:val="20"/>
          <w:szCs w:val="20"/>
          <w:color w:val="auto"/>
        </w:rPr>
      </w:pPr>
      <w:r>
        <w:rPr>
          <w:rFonts w:ascii="Times New Roman" w:cs="Times New Roman" w:eastAsia="Times New Roman" w:hAnsi="Times New Roman"/>
          <w:sz w:val="18"/>
          <w:szCs w:val="18"/>
          <w:color w:val="auto"/>
        </w:rPr>
        <w:t>Under the Exchange Act, our directors, executive officers and 10% shareholders must report to the SEC certain transactions involving Common Stock. Based solely on a review of the copies of the reports required pursuant to Section 16(a) of the Exchange Act that have been furnished to us and written representations that no other reports were required, we believe that these filing requirements have been satisfied for the fiscal year ended March 31, 2022 except for: one Form-4 filed by Durga D. Agrawal on December 30, 2021 (filed 87 days late); one Form-4 filed by Max Reichenthal on December 30, 2021 (filed 87 days late); one Form-4 filed by Joel Spira on December 30, 2021 (filed 87 days late); one Form-4 filed by Tim Stevenson on December 30, 2021 (filed 87 days late); one Form-4 filed by Joe L. Williams on December 30, 2021 (filed 87 days late); and one Form-4 filed by Alex LaRue on August 1, 2022 (filed 209 days late).</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left="160" w:firstLine="324"/>
        <w:spacing w:after="0" w:line="256" w:lineRule="auto"/>
        <w:rPr>
          <w:sz w:val="20"/>
          <w:szCs w:val="20"/>
          <w:color w:val="auto"/>
        </w:rPr>
      </w:pPr>
      <w:r>
        <w:rPr>
          <w:rFonts w:ascii="Times New Roman" w:cs="Times New Roman" w:eastAsia="Times New Roman" w:hAnsi="Times New Roman"/>
          <w:sz w:val="18"/>
          <w:szCs w:val="18"/>
          <w:color w:val="auto"/>
        </w:rPr>
        <w:t>The Board of Directors has established an Audit Committee which currently consists of Messrs. Agrawal, Reichenthal and Spira (Chairman). The Audit Committee discusses with the independent accountants and management our financial statements and the scope of the audit examinations, reviews with the independent accountants the audit budget, receives and reviews the audit report submitted by the independent accountants, reviews with the independent accountants internal accounting and control procedures and engages our independent auditor. The Audit Committee’s responsibilities to the Board of Directors are further detailed in the Second Amended and Restated Charter of the Audit Committee, as amended, which is not available on our website but is attached as Appendix A to this proxy statement. The Audit Committee met four times in fiscal year 2022.</w:t>
      </w:r>
    </w:p>
    <w:p>
      <w:pPr>
        <w:spacing w:after="0" w:line="187" w:lineRule="exact"/>
        <w:rPr>
          <w:sz w:val="20"/>
          <w:szCs w:val="20"/>
          <w:color w:val="auto"/>
        </w:rPr>
      </w:pPr>
    </w:p>
    <w:p>
      <w:pPr>
        <w:jc w:val="both"/>
        <w:ind w:left="160"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has affirmatively determined that all members of the Audit Committee are independent in accordance with the applicable rules of the NYSE – American and Rule 10A-3(b)(1) of the Exchange Act. The Board also has determined that each of the members of the Audit Committee is able to read and understand fundamental financial statements. In addition, the Board has determined that Mr. Spira meets the financial sophistication requirements set forth in the applicable rules of the NYSE – American and qualifies as an “audit committee financial expert,” as that term is defined in the rules promulgated by the SEC pursuant to the Sarbanes-Oxley Act of 2002, as amended.</w:t>
      </w:r>
    </w:p>
    <w:p>
      <w:pPr>
        <w:spacing w:after="0" w:line="183" w:lineRule="exact"/>
        <w:rPr>
          <w:sz w:val="20"/>
          <w:szCs w:val="20"/>
          <w:color w:val="auto"/>
        </w:rPr>
      </w:pPr>
    </w:p>
    <w:p>
      <w:pPr>
        <w:ind w:left="160"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has adopted the Friedman Industries, Incorporated Code of Conduct and Ethics (the “Code”), which applies to the Company’s employees, directors and officers, including its principal executive officer, principal financial officer, principal accounting officer or controller or persons performing similar functions. A copy of the Code is filed as an exhibit hereto.</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316"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Summary Compensation Table</w:t>
      </w:r>
    </w:p>
    <w:p>
      <w:pPr>
        <w:spacing w:after="0" w:line="227" w:lineRule="exact"/>
        <w:rPr>
          <w:sz w:val="20"/>
          <w:szCs w:val="20"/>
          <w:color w:val="auto"/>
        </w:rPr>
      </w:pPr>
    </w:p>
    <w:p>
      <w:pPr>
        <w:ind w:left="160" w:right="260" w:firstLine="28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compensation paid for services rendered during the fiscal years ended March 31, 2022 and March 31, 2021, to each of our executive officers, including our principal executive officer and our principal financial officer (collectively, the “Named Executive Officers”):</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20" w:type="dxa"/>
            <w:vAlign w:val="bottom"/>
          </w:tcPr>
          <w:p>
            <w:pPr>
              <w:spacing w:after="0"/>
              <w:rPr>
                <w:sz w:val="18"/>
                <w:szCs w:val="18"/>
                <w:color w:val="auto"/>
              </w:rPr>
            </w:pPr>
          </w:p>
        </w:tc>
      </w:tr>
      <w:tr>
        <w:trPr>
          <w:trHeight w:val="216"/>
        </w:trPr>
        <w:tc>
          <w:tcPr>
            <w:tcW w:w="442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5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44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1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w:t>
            </w:r>
          </w:p>
        </w:tc>
        <w:tc>
          <w:tcPr>
            <w:tcW w:w="15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($)(3)</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w:t>
            </w: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Taylor</w:t>
            </w:r>
          </w:p>
        </w:tc>
        <w:tc>
          <w:tcPr>
            <w:tcW w:w="1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279,996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1,198,786</w:t>
            </w:r>
          </w:p>
        </w:tc>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5,233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1,484,015</w:t>
            </w:r>
          </w:p>
        </w:tc>
      </w:tr>
      <w:tr>
        <w:trPr>
          <w:trHeight w:val="216"/>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1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279,996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94,083</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6,078</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380,157</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LaRue</w:t>
            </w:r>
          </w:p>
        </w:tc>
        <w:tc>
          <w:tcPr>
            <w:tcW w:w="1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2022</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180,000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799,191</w:t>
            </w:r>
          </w:p>
        </w:tc>
        <w:tc>
          <w:tcPr>
            <w:tcW w:w="1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11,587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990,778</w:t>
            </w:r>
          </w:p>
        </w:tc>
      </w:tr>
      <w:tr>
        <w:trPr>
          <w:trHeight w:val="234"/>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 — Secretary &amp; Treasurer</w:t>
            </w:r>
          </w:p>
        </w:tc>
        <w:tc>
          <w:tcPr>
            <w:tcW w:w="1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165,000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87,722</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9,189</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261,911</w:t>
            </w:r>
          </w:p>
        </w:tc>
      </w:tr>
    </w:tbl>
    <w:p>
      <w:pPr>
        <w:spacing w:after="0" w:line="179" w:lineRule="exact"/>
        <w:rPr>
          <w:sz w:val="20"/>
          <w:szCs w:val="20"/>
          <w:color w:val="auto"/>
        </w:rPr>
      </w:pPr>
    </w:p>
    <w:p>
      <w:pPr>
        <w:ind w:left="480" w:hanging="346"/>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base salary.</w:t>
      </w:r>
    </w:p>
    <w:p>
      <w:pPr>
        <w:spacing w:after="0" w:line="27" w:lineRule="exact"/>
        <w:rPr>
          <w:rFonts w:ascii="Times New Roman" w:cs="Times New Roman" w:eastAsia="Times New Roman" w:hAnsi="Times New Roman"/>
          <w:sz w:val="18"/>
          <w:szCs w:val="18"/>
          <w:color w:val="auto"/>
        </w:rPr>
      </w:pPr>
    </w:p>
    <w:p>
      <w:pPr>
        <w:ind w:left="580" w:right="220" w:hanging="446"/>
        <w:spacing w:after="0" w:line="250" w:lineRule="auto"/>
        <w:tabs>
          <w:tab w:leader="none" w:pos="4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quarterly bonuses based on a percentage of our quarterly net income and Christmas bonuses, each of which is paid at the discretion of the Board of Directors.</w:t>
      </w:r>
    </w:p>
    <w:p>
      <w:pPr>
        <w:ind w:left="480" w:hanging="346"/>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for stock awards computed in accordance with FASB ASC Topic 718.</w:t>
      </w:r>
    </w:p>
    <w:p>
      <w:pPr>
        <w:spacing w:after="0" w:line="9" w:lineRule="exact"/>
        <w:rPr>
          <w:rFonts w:ascii="Times New Roman" w:cs="Times New Roman" w:eastAsia="Times New Roman" w:hAnsi="Times New Roman"/>
          <w:sz w:val="18"/>
          <w:szCs w:val="18"/>
          <w:color w:val="auto"/>
        </w:rPr>
      </w:pPr>
    </w:p>
    <w:p>
      <w:pPr>
        <w:ind w:left="580" w:right="600" w:hanging="446"/>
        <w:spacing w:after="0" w:line="260" w:lineRule="auto"/>
        <w:tabs>
          <w:tab w:leader="none" w:pos="4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contributions by the Company to the Friedman Industries, Inc. Employees’ Retirement and 401(k) Plan for the benefit of the Named Executive Officers and cash dividends received related to restricted shares awarded under the Company’s restricted stock plan.</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Outstanding Equity Awards at Fiscal Year-End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Option Awards</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Awards</w:t>
            </w:r>
          </w:p>
        </w:tc>
        <w:tc>
          <w:tcPr>
            <w:tcW w:w="1420" w:type="dxa"/>
            <w:vAlign w:val="bottom"/>
          </w:tcPr>
          <w:p>
            <w:pPr>
              <w:spacing w:after="0"/>
              <w:rPr>
                <w:sz w:val="20"/>
                <w:szCs w:val="20"/>
                <w:color w:val="auto"/>
              </w:rPr>
            </w:pPr>
          </w:p>
        </w:tc>
      </w:tr>
      <w:tr>
        <w:trPr>
          <w:trHeight w:val="198"/>
        </w:trPr>
        <w:tc>
          <w:tcPr>
            <w:tcW w:w="134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94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Number of Securities</w:t>
            </w:r>
          </w:p>
        </w:tc>
        <w:tc>
          <w:tcPr>
            <w:tcW w:w="10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Number of</w:t>
            </w:r>
          </w:p>
        </w:tc>
        <w:tc>
          <w:tcPr>
            <w:tcW w:w="13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Equity Incentive</w:t>
            </w:r>
          </w:p>
        </w:tc>
        <w:tc>
          <w:tcPr>
            <w:tcW w:w="5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Option</w:t>
            </w:r>
          </w:p>
        </w:tc>
        <w:tc>
          <w:tcPr>
            <w:tcW w:w="74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Option</w:t>
            </w:r>
          </w:p>
        </w:tc>
        <w:tc>
          <w:tcPr>
            <w:tcW w:w="7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Number</w:t>
            </w:r>
          </w:p>
        </w:tc>
        <w:tc>
          <w:tcPr>
            <w:tcW w:w="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Market</w:t>
            </w:r>
          </w:p>
        </w:tc>
        <w:tc>
          <w:tcPr>
            <w:tcW w:w="1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Equity Incentive</w:t>
            </w:r>
          </w:p>
        </w:tc>
        <w:tc>
          <w:tcPr>
            <w:tcW w:w="14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Equity Incentive</w:t>
            </w:r>
          </w:p>
        </w:tc>
      </w:tr>
      <w:tr>
        <w:trPr>
          <w:trHeight w:val="216"/>
        </w:trPr>
        <w:tc>
          <w:tcPr>
            <w:tcW w:w="1340" w:type="dxa"/>
            <w:vAlign w:val="bottom"/>
            <w:shd w:val="clear" w:color="auto" w:fill="CCEEFF"/>
          </w:tcPr>
          <w:p>
            <w:pPr>
              <w:spacing w:after="0"/>
              <w:rPr>
                <w:sz w:val="18"/>
                <w:szCs w:val="18"/>
                <w:color w:val="auto"/>
              </w:rPr>
            </w:pPr>
          </w:p>
        </w:tc>
        <w:tc>
          <w:tcPr>
            <w:tcW w:w="19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Underlying Unexercised</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Securities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ExerciseExpirationof Shares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Value of</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Plan Awards:</w:t>
            </w:r>
          </w:p>
        </w:tc>
      </w:tr>
      <w:tr>
        <w:trPr>
          <w:trHeight w:val="216"/>
        </w:trPr>
        <w:tc>
          <w:tcPr>
            <w:tcW w:w="1340" w:type="dxa"/>
            <w:vAlign w:val="bottom"/>
            <w:shd w:val="clear" w:color="auto" w:fill="CCEEFF"/>
          </w:tcPr>
          <w:p>
            <w:pPr>
              <w:spacing w:after="0"/>
              <w:rPr>
                <w:sz w:val="18"/>
                <w:szCs w:val="18"/>
                <w:color w:val="auto"/>
              </w:rPr>
            </w:pPr>
          </w:p>
        </w:tc>
        <w:tc>
          <w:tcPr>
            <w:tcW w:w="19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Options (#) Exercisable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Awards: Number</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Price</w:t>
            </w:r>
          </w:p>
        </w:tc>
        <w:tc>
          <w:tcPr>
            <w:tcW w:w="7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Date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 Units</w:t>
            </w:r>
          </w:p>
        </w:tc>
        <w:tc>
          <w:tcPr>
            <w:tcW w:w="34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Shares or Awards: Number Market or Payout</w:t>
            </w:r>
          </w:p>
        </w:tc>
      </w:tr>
      <w:tr>
        <w:trPr>
          <w:trHeight w:val="216"/>
        </w:trPr>
        <w:tc>
          <w:tcPr>
            <w:tcW w:w="13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 Securities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of Stock</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Units of</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 Unearned</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Value Of Unearned</w:t>
            </w:r>
          </w:p>
        </w:tc>
      </w:tr>
      <w:tr>
        <w:trPr>
          <w:trHeight w:val="216"/>
        </w:trPr>
        <w:tc>
          <w:tcPr>
            <w:tcW w:w="13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Options (#)</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Underlying</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That</w:t>
            </w: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That Shares, Units or</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Shares, Units or</w:t>
            </w:r>
          </w:p>
        </w:tc>
      </w:tr>
      <w:tr>
        <w:trPr>
          <w:trHeight w:val="216"/>
        </w:trPr>
        <w:tc>
          <w:tcPr>
            <w:tcW w:w="13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Unexercisable</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Unexercised</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Have Not Have Not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Rights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Rights That</w:t>
            </w:r>
          </w:p>
        </w:tc>
      </w:tr>
      <w:tr>
        <w:trPr>
          <w:trHeight w:val="216"/>
        </w:trPr>
        <w:tc>
          <w:tcPr>
            <w:tcW w:w="13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Unearned Options</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Vested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Vested ($)</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That Have Not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Have Not Vested</w:t>
            </w:r>
          </w:p>
        </w:tc>
      </w:tr>
      <w:tr>
        <w:trPr>
          <w:trHeight w:val="234"/>
        </w:trPr>
        <w:tc>
          <w:tcPr>
            <w:tcW w:w="13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Vested (#)</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w:t>
            </w:r>
          </w:p>
        </w:tc>
      </w:tr>
      <w:tr>
        <w:trPr>
          <w:trHeight w:val="216"/>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w:t>
            </w:r>
          </w:p>
        </w:tc>
        <w:tc>
          <w:tcPr>
            <w:tcW w:w="1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w:t>
            </w:r>
          </w:p>
        </w:tc>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w:t>
            </w: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w:t>
            </w: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(g)</w:t>
            </w: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w:t>
            </w: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w:t>
            </w:r>
          </w:p>
        </w:tc>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w:t>
            </w:r>
          </w:p>
        </w:tc>
      </w:tr>
      <w:tr>
        <w:trPr>
          <w:trHeight w:val="263"/>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Taylor</w:t>
            </w:r>
          </w:p>
        </w:tc>
        <w:tc>
          <w:tcPr>
            <w:tcW w:w="19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____</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____</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____</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____</w:t>
            </w:r>
          </w:p>
        </w:tc>
        <w:tc>
          <w:tcPr>
            <w:tcW w:w="7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____</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40,000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$352,400</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____</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____</w:t>
            </w:r>
          </w:p>
        </w:tc>
      </w:tr>
      <w:tr>
        <w:trPr>
          <w:trHeight w:val="162"/>
        </w:trPr>
        <w:tc>
          <w:tcPr>
            <w:tcW w:w="1340" w:type="dxa"/>
            <w:vAlign w:val="bottom"/>
            <w:tcBorders>
              <w:bottom w:val="single" w:sz="8" w:color="auto"/>
            </w:tcBorders>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w w:val="95"/>
              </w:rPr>
              <w:t>(1)</w:t>
            </w:r>
          </w:p>
        </w:tc>
        <w:tc>
          <w:tcPr>
            <w:tcW w:w="8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spacing w:after="0"/>
              <w:rPr>
                <w:sz w:val="14"/>
                <w:szCs w:val="14"/>
                <w:color w:val="auto"/>
              </w:rPr>
            </w:pPr>
          </w:p>
        </w:tc>
      </w:tr>
      <w:tr>
        <w:trPr>
          <w:trHeight w:val="210"/>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Alex LaRue</w:t>
            </w:r>
          </w:p>
        </w:tc>
        <w:tc>
          <w:tcPr>
            <w:tcW w:w="19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____</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w:t>
            </w:r>
          </w:p>
        </w:tc>
        <w:tc>
          <w:tcPr>
            <w:tcW w:w="7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____</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4,000 (2)</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$35,240</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____</w:t>
            </w:r>
          </w:p>
        </w:tc>
      </w:tr>
    </w:tbl>
    <w:p>
      <w:pPr>
        <w:spacing w:after="0" w:line="198" w:lineRule="exact"/>
        <w:rPr>
          <w:sz w:val="20"/>
          <w:szCs w:val="20"/>
          <w:color w:val="auto"/>
        </w:rPr>
      </w:pPr>
    </w:p>
    <w:p>
      <w:pPr>
        <w:ind w:left="500" w:hanging="348"/>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stock awards for Mr. Taylor will vest in 10,000 share increments on April 1, 2022, April 1 2023, April 1, 2024 and April 1 2025.</w:t>
      </w:r>
    </w:p>
    <w:p>
      <w:pPr>
        <w:spacing w:after="0" w:line="27" w:lineRule="exact"/>
        <w:rPr>
          <w:rFonts w:ascii="Times New Roman" w:cs="Times New Roman" w:eastAsia="Times New Roman" w:hAnsi="Times New Roman"/>
          <w:sz w:val="18"/>
          <w:szCs w:val="18"/>
          <w:color w:val="auto"/>
        </w:rPr>
      </w:pPr>
    </w:p>
    <w:p>
      <w:pPr>
        <w:ind w:left="500" w:hanging="348"/>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stock awards for Mr. LaRue will vest in 1,000 share increments on April 1, 2022, April 1 2023, April 1, 2024 and April 1 2025.</w:t>
      </w:r>
    </w:p>
    <w:p>
      <w:pPr>
        <w:spacing w:after="0" w:line="9" w:lineRule="exact"/>
        <w:rPr>
          <w:rFonts w:ascii="Times New Roman" w:cs="Times New Roman" w:eastAsia="Times New Roman" w:hAnsi="Times New Roman"/>
          <w:sz w:val="18"/>
          <w:szCs w:val="18"/>
          <w:color w:val="auto"/>
        </w:rPr>
      </w:pPr>
    </w:p>
    <w:p>
      <w:pPr>
        <w:ind w:left="500" w:hanging="348"/>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our common stock on March 31, 2022 of $8.81.</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Change-in-Control</w:t>
      </w:r>
    </w:p>
    <w:p>
      <w:pPr>
        <w:spacing w:after="0" w:line="227" w:lineRule="exact"/>
        <w:rPr>
          <w:sz w:val="20"/>
          <w:szCs w:val="20"/>
          <w:color w:val="auto"/>
        </w:rPr>
      </w:pPr>
    </w:p>
    <w:p>
      <w:pPr>
        <w:ind w:left="160" w:right="140" w:firstLine="324"/>
        <w:spacing w:after="0" w:line="256" w:lineRule="auto"/>
        <w:rPr>
          <w:sz w:val="20"/>
          <w:szCs w:val="20"/>
          <w:color w:val="auto"/>
        </w:rPr>
      </w:pPr>
      <w:r>
        <w:rPr>
          <w:rFonts w:ascii="Times New Roman" w:cs="Times New Roman" w:eastAsia="Times New Roman" w:hAnsi="Times New Roman"/>
          <w:sz w:val="18"/>
          <w:szCs w:val="18"/>
          <w:color w:val="auto"/>
        </w:rPr>
        <w:t>The Named Executive Officers will receive the same benefits as our other employees upon termination of their employment. We maintain the Friedman Industries, Inc. Employees’ Retirement and 401(k) Plan (the “Plan”), a defined contribution and 401(k) plan. The Plan covers substantially all employees, including officers, and employees fully vest in the Plan upon six years of service. The Company maintains a life insurance policy on Mr. LaRue but does not currently have a policy in place on Mr. Taylor. From time to time and in its discretion, the Board has approved the transfer of the applicable policy to an officer upon their retirement. At March 31, 2022, the cash surrender value of the life insurance policy held by the Company on Mr. LaRue was approximately $6,500. None of the Named Executive Officers has a change-in-control agreement with 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ind w:left="160"/>
        <w:spacing w:after="0"/>
        <w:rPr>
          <w:sz w:val="20"/>
          <w:szCs w:val="20"/>
          <w:color w:val="auto"/>
        </w:rPr>
      </w:pPr>
      <w:r>
        <w:rPr>
          <w:rFonts w:ascii="Times New Roman" w:cs="Times New Roman" w:eastAsia="Times New Roman" w:hAnsi="Times New Roman"/>
          <w:sz w:val="18"/>
          <w:szCs w:val="18"/>
          <w:i w:val="1"/>
          <w:iCs w:val="1"/>
          <w:color w:val="auto"/>
        </w:rPr>
        <w:t>Director Compensation</w:t>
      </w:r>
    </w:p>
    <w:p>
      <w:pPr>
        <w:spacing w:after="0" w:line="227" w:lineRule="exact"/>
        <w:rPr>
          <w:sz w:val="20"/>
          <w:szCs w:val="20"/>
          <w:color w:val="auto"/>
        </w:rPr>
      </w:pPr>
    </w:p>
    <w:p>
      <w:pPr>
        <w:ind w:left="160" w:right="260" w:firstLine="324"/>
        <w:spacing w:after="0" w:line="282" w:lineRule="auto"/>
        <w:rPr>
          <w:sz w:val="20"/>
          <w:szCs w:val="20"/>
          <w:color w:val="auto"/>
        </w:rPr>
      </w:pPr>
      <w:r>
        <w:rPr>
          <w:rFonts w:ascii="Times New Roman" w:cs="Times New Roman" w:eastAsia="Times New Roman" w:hAnsi="Times New Roman"/>
          <w:sz w:val="18"/>
          <w:szCs w:val="18"/>
          <w:color w:val="auto"/>
        </w:rPr>
        <w:t>For the fiscal year ended March 31, 2022, directors were paid $9,000 per quarter. In addition, the Chairman and members of the Audit Committee received $3,000 and $2,250, respectively, per quarter. Mr. Taylor did not receive any compensation for serving as a director.</w:t>
      </w:r>
    </w:p>
    <w:p>
      <w:pPr>
        <w:spacing w:after="0" w:line="162" w:lineRule="exact"/>
        <w:rPr>
          <w:sz w:val="20"/>
          <w:szCs w:val="20"/>
          <w:color w:val="auto"/>
        </w:rPr>
      </w:pPr>
    </w:p>
    <w:p>
      <w:pPr>
        <w:ind w:left="160" w:right="220" w:firstLine="324"/>
        <w:spacing w:after="0" w:line="266" w:lineRule="auto"/>
        <w:rPr>
          <w:sz w:val="20"/>
          <w:szCs w:val="20"/>
          <w:color w:val="auto"/>
        </w:rPr>
      </w:pPr>
      <w:r>
        <w:rPr>
          <w:rFonts w:ascii="Times New Roman" w:cs="Times New Roman" w:eastAsia="Times New Roman" w:hAnsi="Times New Roman"/>
          <w:sz w:val="18"/>
          <w:szCs w:val="18"/>
          <w:color w:val="auto"/>
        </w:rPr>
        <w:t>Except for Mr. Taylor, who is a Named Executive Officer (as defined in “Executive Compensation” below), the following table summarizes compensation paid to each director during the fiscal year ended March 31, 2022. Sandy Scott and Sharon Taylor are not listed in the table below due to them being added to the Board of Directors subsequent to March 31, 2022.</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Director Compensation Table for Fiscal Year 2022</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Fees Earned or Paid in Cash ($)</w:t>
            </w:r>
          </w:p>
        </w:tc>
        <w:tc>
          <w:tcPr>
            <w:tcW w:w="35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All Other Compensation ($) (1)</w:t>
            </w:r>
          </w:p>
        </w:tc>
        <w:tc>
          <w:tcPr>
            <w:tcW w:w="25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Durga Agrawal</w:t>
            </w:r>
          </w:p>
        </w:tc>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45,000</w:t>
            </w:r>
          </w:p>
        </w:tc>
        <w:tc>
          <w:tcPr>
            <w:tcW w:w="3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10,000</w:t>
            </w:r>
          </w:p>
        </w:tc>
        <w:tc>
          <w:tcPr>
            <w:tcW w:w="2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Max Reichenthal</w:t>
            </w:r>
          </w:p>
        </w:tc>
        <w:tc>
          <w:tcPr>
            <w:tcW w:w="3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45,000</w:t>
            </w:r>
          </w:p>
        </w:tc>
        <w:tc>
          <w:tcPr>
            <w:tcW w:w="3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10,000</w:t>
            </w:r>
          </w:p>
        </w:tc>
        <w:tc>
          <w:tcPr>
            <w:tcW w:w="2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Spira</w:t>
            </w:r>
          </w:p>
        </w:tc>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48,000</w:t>
            </w:r>
          </w:p>
        </w:tc>
        <w:tc>
          <w:tcPr>
            <w:tcW w:w="3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10,000</w:t>
            </w:r>
          </w:p>
        </w:tc>
        <w:tc>
          <w:tcPr>
            <w:tcW w:w="2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58,000</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Tim Stevenson</w:t>
            </w:r>
          </w:p>
        </w:tc>
        <w:tc>
          <w:tcPr>
            <w:tcW w:w="3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36,000</w:t>
            </w:r>
          </w:p>
        </w:tc>
        <w:tc>
          <w:tcPr>
            <w:tcW w:w="35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10,000</w:t>
            </w:r>
          </w:p>
        </w:tc>
        <w:tc>
          <w:tcPr>
            <w:tcW w:w="2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46,000</w:t>
            </w: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 L. Williams</w:t>
            </w:r>
          </w:p>
        </w:tc>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36,000</w:t>
            </w:r>
          </w:p>
        </w:tc>
        <w:tc>
          <w:tcPr>
            <w:tcW w:w="3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10,000</w:t>
            </w:r>
          </w:p>
        </w:tc>
        <w:tc>
          <w:tcPr>
            <w:tcW w:w="2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46,000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All other compensation consists of restricted stock awards issued to directors during the fiscal year ended March 31, 2022.</w:t>
      </w: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Procedures and Processes for Determining Executive and Director Compensation</w:t>
      </w:r>
    </w:p>
    <w:p>
      <w:pPr>
        <w:spacing w:after="0" w:line="227" w:lineRule="exact"/>
        <w:rPr>
          <w:sz w:val="20"/>
          <w:szCs w:val="20"/>
          <w:color w:val="auto"/>
        </w:rPr>
      </w:pPr>
    </w:p>
    <w:p>
      <w:pPr>
        <w:ind w:left="160" w:right="20" w:firstLine="324"/>
        <w:spacing w:after="0" w:line="271" w:lineRule="auto"/>
        <w:rPr>
          <w:sz w:val="20"/>
          <w:szCs w:val="20"/>
          <w:color w:val="auto"/>
        </w:rPr>
      </w:pPr>
      <w:r>
        <w:rPr>
          <w:rFonts w:ascii="Times New Roman" w:cs="Times New Roman" w:eastAsia="Times New Roman" w:hAnsi="Times New Roman"/>
          <w:sz w:val="17"/>
          <w:szCs w:val="17"/>
          <w:color w:val="auto"/>
        </w:rPr>
        <w:t>The Compensation Committee of the Board of Directors is responsible for reviewing and recommending to the full Board of Directors the compensation of our Chief Executive Officer and our other Named Executive Officers. The Committee also reviews and discusses with the Chief Executive Officer, and recommends to the full Board of Directors, the compensation for all other officers of the Company. The Committee may retain compensation consultants or other advisers it deems appropriate. Based on the Committee’s analysis of relevant data, the Committee determines its recommendation regarding the compensation of our Chief Executive Officer during an executive session of the Committee at which the Chief Executive Officer is not present. Our Chief Executive Officer makes recommendations regarding the compensation of our other executive officers and other officers to the Committee. The Committee considers the recommendations, discusses the recommendations with our Chief Executive Officer, may discuss the matter in executive session and then makes recommendations to the full Board of Directors. The final determination as to the compensation of the Chief Executive Officer and all other officers of the Company is made by the full Board of Directors based on the recommendations of the Committee.</w:t>
      </w:r>
    </w:p>
    <w:p>
      <w:pPr>
        <w:spacing w:after="0" w:line="173" w:lineRule="exact"/>
        <w:rPr>
          <w:sz w:val="20"/>
          <w:szCs w:val="20"/>
          <w:color w:val="auto"/>
        </w:rPr>
      </w:pPr>
    </w:p>
    <w:p>
      <w:pPr>
        <w:ind w:left="160" w:right="160" w:firstLine="324"/>
        <w:spacing w:after="0" w:line="261" w:lineRule="auto"/>
        <w:rPr>
          <w:sz w:val="20"/>
          <w:szCs w:val="20"/>
          <w:color w:val="auto"/>
        </w:rPr>
      </w:pPr>
      <w:r>
        <w:rPr>
          <w:rFonts w:ascii="Times New Roman" w:cs="Times New Roman" w:eastAsia="Times New Roman" w:hAnsi="Times New Roman"/>
          <w:sz w:val="18"/>
          <w:szCs w:val="18"/>
          <w:color w:val="auto"/>
        </w:rPr>
        <w:t>The Board of Directors, or an authorized committee thereof, may from time to time review and determine the form and amount of director compensation, including cash, equity-based awards and other director compensation to maintain a transparent and readily understandable compensation program which ensures that the directors continue to receive fair and appropriate compensation for the time commitment required to discharge their duties as directors for a company of our size.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Equity Compensation Plan Information</w:t>
      </w:r>
    </w:p>
    <w:p>
      <w:pPr>
        <w:spacing w:after="0" w:line="227" w:lineRule="exact"/>
        <w:rPr>
          <w:sz w:val="20"/>
          <w:szCs w:val="20"/>
          <w:color w:val="auto"/>
        </w:rPr>
      </w:pPr>
    </w:p>
    <w:p>
      <w:pPr>
        <w:ind w:left="160" w:right="20" w:firstLine="288"/>
        <w:spacing w:after="0" w:line="282" w:lineRule="auto"/>
        <w:rPr>
          <w:sz w:val="20"/>
          <w:szCs w:val="20"/>
          <w:color w:val="auto"/>
        </w:rPr>
      </w:pPr>
      <w:r>
        <w:rPr>
          <w:rFonts w:ascii="Times New Roman" w:cs="Times New Roman" w:eastAsia="Times New Roman" w:hAnsi="Times New Roman"/>
          <w:sz w:val="18"/>
          <w:szCs w:val="18"/>
          <w:color w:val="auto"/>
        </w:rPr>
        <w:t>The table below sets forth the following information as of March 31, 2022 for all equity compensation plans, including those previously approved by our shareholders.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5460" w:type="dxa"/>
            <w:vAlign w:val="bottom"/>
            <w:gridSpan w:val="2"/>
          </w:tcPr>
          <w:p>
            <w:pPr>
              <w:ind w:left="26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Table</w:t>
            </w:r>
          </w:p>
        </w:tc>
        <w:tc>
          <w:tcPr>
            <w:tcW w:w="2220" w:type="dxa"/>
            <w:vAlign w:val="bottom"/>
          </w:tcPr>
          <w:p>
            <w:pPr>
              <w:spacing w:after="0"/>
              <w:rPr>
                <w:sz w:val="20"/>
                <w:szCs w:val="20"/>
                <w:color w:val="auto"/>
              </w:rPr>
            </w:pPr>
          </w:p>
        </w:tc>
      </w:tr>
      <w:tr>
        <w:trPr>
          <w:trHeight w:val="194"/>
        </w:trPr>
        <w:tc>
          <w:tcPr>
            <w:tcW w:w="356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2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356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to be issued</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 exercise price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356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upon exercise of outstanding</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outstanding options, warrants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r>
      <w:tr>
        <w:trPr>
          <w:trHeight w:val="238"/>
        </w:trPr>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 Category</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warrants and rights</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r>
      <w:tr>
        <w:trPr>
          <w:trHeight w:val="198"/>
        </w:trPr>
        <w:tc>
          <w:tcPr>
            <w:tcW w:w="35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 Compensation Plans Approved By</w:t>
            </w:r>
          </w:p>
        </w:tc>
        <w:tc>
          <w:tcPr>
            <w:tcW w:w="27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3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Security Holders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130,185</w:t>
            </w:r>
          </w:p>
        </w:tc>
      </w:tr>
      <w:tr>
        <w:trPr>
          <w:trHeight w:val="198"/>
        </w:trPr>
        <w:tc>
          <w:tcPr>
            <w:tcW w:w="35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7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r>
        <w:trPr>
          <w:trHeight w:val="234"/>
        </w:trPr>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Security Holders</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130,185</w:t>
            </w: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Additional information with respect to Item 12 regarding equity compensation plan information relating to the Company is hereby incorporated herein by reference from Note 2 — Equity Compensation Plans and Capital Stock included in the Notes to Consolidated Financial Statements of the Company included in the Company’s Annual Report to Shareholders for the fiscal year ended March 31, 2022.</w:t>
      </w:r>
    </w:p>
    <w:p>
      <w:pPr>
        <w:spacing w:after="0" w:line="17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Security Ownership Information</w:t>
      </w:r>
    </w:p>
    <w:p>
      <w:pPr>
        <w:spacing w:after="0" w:line="2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7" w:lineRule="exact"/>
        <w:rPr>
          <w:sz w:val="20"/>
          <w:szCs w:val="20"/>
          <w:color w:val="auto"/>
        </w:rPr>
      </w:pPr>
    </w:p>
    <w:p>
      <w:pPr>
        <w:jc w:val="both"/>
        <w:ind w:left="160" w:right="440" w:firstLine="45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beneficial ownership of Common Stock by directors, nominees for director, Named Executive Officers, executive officers and directors as a group and persons who owned of record more than 5% of the outstanding Common Stock as of July 28, 2022:</w:t>
      </w:r>
    </w:p>
    <w:p>
      <w:pPr>
        <w:spacing w:after="0" w:line="388"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and Nature of</w:t>
            </w:r>
          </w:p>
        </w:tc>
        <w:tc>
          <w:tcPr>
            <w:tcW w:w="17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Shares</w:t>
            </w: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 Ownership(a)</w:t>
            </w:r>
          </w:p>
        </w:tc>
        <w:tc>
          <w:tcPr>
            <w:tcW w:w="17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Dimensional Fund Advisors LP........................................................</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544,919 (b)</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7.4 %</w:t>
            </w: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6300 Bee Cave Road, Building One</w:t>
            </w: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Austin, Texas 78746</w:t>
            </w:r>
          </w:p>
        </w:tc>
        <w:tc>
          <w:tcPr>
            <w:tcW w:w="2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Renaissance Technologies Holdings Corporation............................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488,018 (c)</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6.6 %</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800 Third Avenue</w:t>
            </w:r>
          </w:p>
        </w:tc>
        <w:tc>
          <w:tcPr>
            <w:tcW w:w="2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York, New York 10022</w:t>
            </w: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Plateplus, Inc.......................................................................................</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516,041 (d)</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7.0 %</w:t>
            </w: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 Waterway Ave. Suite 525</w:t>
            </w: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Woodlands, TX 77380</w:t>
            </w:r>
          </w:p>
        </w:tc>
        <w:tc>
          <w:tcPr>
            <w:tcW w:w="24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Mike Taylor........................................................................................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122,144</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Durga D. Agrawal..............................................................................</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11,763</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Max Reichenthal.................................................................................</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11,763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Spira.............................................................................................</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10,763</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Tim Stevenson....................................................................................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24,763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Sharon Taylor.....................................................................................</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Joe L. Williams...................................................................................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20,333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LaRue.........................................................................................</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42,150</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Officers and directors as a group (8 persons)...................................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243,779</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3.3 %</w:t>
            </w:r>
          </w:p>
        </w:tc>
      </w:tr>
    </w:tbl>
    <w:p>
      <w:pPr>
        <w:spacing w:after="0" w:line="179" w:lineRule="exact"/>
        <w:rPr>
          <w:sz w:val="20"/>
          <w:szCs w:val="20"/>
          <w:color w:val="auto"/>
        </w:rPr>
      </w:pPr>
    </w:p>
    <w:p>
      <w:pPr>
        <w:ind w:left="500" w:hanging="366"/>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80" w:right="20" w:hanging="446"/>
        <w:spacing w:after="0" w:line="250"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obtained from the officers, directors, director nominees and beneficial owners. Includes all shares beneficially owned according to the definition of “beneficial ownership” in the rules promulgated under the Exchange Act. Except as otherwise indicated, the indicated person has sole voting and investment power with respect to the shares.</w:t>
      </w:r>
    </w:p>
    <w:p>
      <w:pPr>
        <w:spacing w:after="0" w:line="1" w:lineRule="exact"/>
        <w:rPr>
          <w:rFonts w:ascii="Times New Roman" w:cs="Times New Roman" w:eastAsia="Times New Roman" w:hAnsi="Times New Roman"/>
          <w:sz w:val="18"/>
          <w:szCs w:val="18"/>
          <w:color w:val="auto"/>
        </w:rPr>
      </w:pPr>
    </w:p>
    <w:p>
      <w:pPr>
        <w:ind w:left="580" w:right="720" w:hanging="446"/>
        <w:spacing w:after="0" w:line="265" w:lineRule="auto"/>
        <w:tabs>
          <w:tab w:leader="none" w:pos="56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information contained in a Schedule 13G/A filed with the SEC on February 8, 2022 by Dimensional Fund Advisors LP (“Dimensional”). Dimensional is deemed to have beneficial ownership of 544,919 shares of the Common Stock as of December 31, 2021.</w:t>
      </w:r>
    </w:p>
    <w:p>
      <w:pPr>
        <w:ind w:left="580" w:right="320" w:hanging="446"/>
        <w:spacing w:after="0" w:line="250"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contained in a Schedule 13G/A filed with the SEC on February 11, 2022 by Renaissance Technologies Holdings Corporation (“Renaissance”). Renaissance is deemed to have beneficial ownership of 488,018 shares of the Common Stock as of December 31, 2021.</w:t>
      </w:r>
    </w:p>
    <w:p>
      <w:pPr>
        <w:spacing w:after="0" w:line="1" w:lineRule="exact"/>
        <w:rPr>
          <w:rFonts w:ascii="Times New Roman" w:cs="Times New Roman" w:eastAsia="Times New Roman" w:hAnsi="Times New Roman"/>
          <w:sz w:val="18"/>
          <w:szCs w:val="18"/>
          <w:color w:val="auto"/>
        </w:rPr>
      </w:pPr>
    </w:p>
    <w:p>
      <w:pPr>
        <w:ind w:left="540" w:right="280" w:hanging="406"/>
        <w:spacing w:after="0" w:line="260" w:lineRule="auto"/>
        <w:tabs>
          <w:tab w:leader="none" w:pos="5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contained in a Schedule 13G filed with the SEC on May 9, 2022 by Plateplus, Inc. (“Plateplus”). Plateplus is deemed to have beneficial ownership of 516,041 shares of the Common Stock as of April 29,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Related Transactions and Director Independence</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Related Party Transactions</w:t>
      </w:r>
    </w:p>
    <w:p>
      <w:pPr>
        <w:spacing w:after="0" w:line="227" w:lineRule="exact"/>
        <w:rPr>
          <w:sz w:val="20"/>
          <w:szCs w:val="20"/>
          <w:color w:val="auto"/>
        </w:rPr>
      </w:pPr>
    </w:p>
    <w:p>
      <w:pPr>
        <w:ind w:left="160" w:right="100" w:firstLine="162"/>
        <w:spacing w:after="0" w:line="282" w:lineRule="auto"/>
        <w:rPr>
          <w:sz w:val="20"/>
          <w:szCs w:val="20"/>
          <w:color w:val="auto"/>
        </w:rPr>
      </w:pPr>
      <w:r>
        <w:rPr>
          <w:rFonts w:ascii="Times New Roman" w:cs="Times New Roman" w:eastAsia="Times New Roman" w:hAnsi="Times New Roman"/>
          <w:sz w:val="18"/>
          <w:szCs w:val="18"/>
          <w:color w:val="auto"/>
        </w:rPr>
        <w:t>There were no transactions in fiscal year 2022 with related persons which required disclosure pursuant to Item 404(a) of Regulation S-K (17 CFR Part 229).</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Policies and Procedures with Respect to Approval of Related Party Transactions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of Directors has adopted a written policy with respect to related party transactions to document procedures pursuant to which such transactions are reviewed, approved or ratified. The policy applies to any transaction between us and any related party other than transactions</w:t>
      </w:r>
    </w:p>
    <w:p>
      <w:pPr>
        <w:ind w:right="20" w:firstLine="8"/>
        <w:spacing w:after="0" w:line="250"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to all employees generally or (ii) involving less than $5,000 when aggregated with all similar transactions. The Audit Committee is responsible for reviewing, approving and ratifying any related party transaction. In general, the policy prohibits all related party transactions although the Audit Committee may approve related party transactions (A) in exceptional circumstances where the situation is urgent and no reasonable alternatives exist,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when the benefit is unique and significant or (C) the economic value to us is highly compelling over an extended period.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ind w:left="160" w:firstLine="648"/>
        <w:spacing w:after="0" w:line="282" w:lineRule="auto"/>
        <w:rPr>
          <w:sz w:val="20"/>
          <w:szCs w:val="20"/>
          <w:color w:val="auto"/>
        </w:rPr>
      </w:pPr>
      <w:r>
        <w:rPr>
          <w:rFonts w:ascii="Times New Roman" w:cs="Times New Roman" w:eastAsia="Times New Roman" w:hAnsi="Times New Roman"/>
          <w:sz w:val="18"/>
          <w:szCs w:val="18"/>
          <w:color w:val="auto"/>
        </w:rPr>
        <w:t>In fiscal years 2022 and 2021, we retained Moss Adams LLP (Houston, Texas PCAOB ID: 659) to provide services and incurred fees therefor as indicated in the following table:</w:t>
      </w:r>
    </w:p>
    <w:p>
      <w:pPr>
        <w:spacing w:after="0" w:line="158" w:lineRule="exact"/>
        <w:rPr>
          <w:sz w:val="20"/>
          <w:szCs w:val="20"/>
          <w:color w:val="auto"/>
        </w:rPr>
      </w:pPr>
    </w:p>
    <w:tbl>
      <w:tblPr>
        <w:tblLayout w:type="fixed"/>
        <w:tblInd w:w="24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 Actual Fees</w:t>
            </w:r>
          </w:p>
        </w:tc>
        <w:tc>
          <w:tcPr>
            <w:tcW w:w="620" w:type="dxa"/>
            <w:vAlign w:val="bottom"/>
          </w:tcPr>
          <w:p>
            <w:pPr>
              <w:spacing w:after="0"/>
              <w:rPr>
                <w:sz w:val="20"/>
                <w:szCs w:val="20"/>
                <w:color w:val="auto"/>
              </w:rPr>
            </w:pPr>
          </w:p>
        </w:tc>
        <w:tc>
          <w:tcPr>
            <w:tcW w:w="1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 Actual Fees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7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493,300</w:t>
            </w:r>
          </w:p>
        </w:tc>
        <w:tc>
          <w:tcPr>
            <w:tcW w:w="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214,700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Audit-Related</w:t>
            </w: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w:t>
            </w:r>
          </w:p>
        </w:tc>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spacing w:after="0"/>
              <w:rPr>
                <w:sz w:val="18"/>
                <w:szCs w:val="18"/>
                <w:color w:val="auto"/>
              </w:rPr>
            </w:pPr>
          </w:p>
        </w:tc>
        <w:tc>
          <w:tcPr>
            <w:tcW w:w="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18"/>
                <w:szCs w:val="18"/>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493,300</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214,700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0" w:right="200" w:hanging="8"/>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and expenses incurred related to the fiscal year audit and interim reviews, notwithstanding when the fees and expenses were billed or when the services were rendered.</w:t>
      </w:r>
    </w:p>
    <w:p>
      <w:pPr>
        <w:spacing w:after="0" w:line="162"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has implemented pre-approval policies and procedures for all audit and non-audit services to be provided by our independent public accountants to us. With regard to all permissible non-audit services, the Audit Committee has designated the Chairman of the Audit Committee to approve in advance the provision by the independent public accountants of such services.</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were no services approved by the Audit Committee pursuant to the de minimis exception in paragraph (c)(7)(i)(C) of Rule 2-01 of Regulation S-X (17 CFR Part 210) during fiscal year 2022.</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2" w:name="page13"/>
    <w:bookmarkEnd w:id="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440" w:right="8100" w:firstLine="9"/>
        <w:spacing w:after="0" w:line="500" w:lineRule="auto"/>
        <w:tabs>
          <w:tab w:leader="none" w:pos="6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included in this report 1. Financial Statements</w:t>
      </w:r>
    </w:p>
    <w:p>
      <w:pPr>
        <w:spacing w:after="0" w:line="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and notes thereto of the Company are included in the Company’s Annual Report to Shareholders for the fiscal year ended March 31, 2022, which is incorporated herein by reference: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Balance Sheets — March 31, 2022 and 2021</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Statements of Operations — Years ended March 31, 2022 and 2021</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Statements of Comprehensive Income — Years ended March 31, 2022 and 2021</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Statements of Stockholders’ Equity — Years ended March 31, 2022 and 2021</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Consolidated Statements of Cash Flows — Years ended March 31, 2022 and 2021</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 schedule is included in the Company's Annual Report to Shareholders for the fiscal year ended March 31, 2022, which is incorporated herein by reference: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accounting regulations of the SEC are not required under the related instructions or are inapplicable and, therefore, have been omitted.</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 Exhibits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w:t>
            </w:r>
          </w:p>
        </w:tc>
        <w:tc>
          <w:tcPr>
            <w:tcW w:w="6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gridSpan w:val="19"/>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240" w:type="dxa"/>
            <w:vAlign w:val="bottom"/>
            <w:gridSpan w:val="33"/>
            <w:shd w:val="clear" w:color="auto" w:fill="CCEEFF"/>
          </w:tcPr>
          <w:p>
            <w:pPr>
              <w:ind w:left="2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color w:val="0000EE"/>
                </w:rPr>
                <w:t>Articles of Incorporation of the Company, as amended (incorporated by reference from Exhibit 3.1 to the Company’s Form S-8 filed</w:t>
              </w:r>
            </w:hyperlink>
          </w:p>
        </w:tc>
        <w:tc>
          <w:tcPr>
            <w:tcW w:w="0" w:type="dxa"/>
            <w:vAlign w:val="bottom"/>
          </w:tcPr>
          <w:p>
            <w:pPr>
              <w:spacing w:after="0"/>
              <w:rPr>
                <w:sz w:val="1"/>
                <w:szCs w:val="1"/>
                <w:color w:val="auto"/>
              </w:rPr>
            </w:pPr>
          </w:p>
        </w:tc>
      </w:tr>
      <w:tr>
        <w:trPr>
          <w:trHeight w:val="217"/>
        </w:trPr>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620" w:type="dxa"/>
            <w:vAlign w:val="bottom"/>
            <w:tcBorders>
              <w:top w:val="single" w:sz="8" w:color="0000EE"/>
            </w:tcBorders>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on December 21, 2016).</w:t>
              </w:r>
            </w:hyperlink>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240" w:type="dxa"/>
            <w:vAlign w:val="bottom"/>
            <w:gridSpan w:val="33"/>
            <w:shd w:val="clear" w:color="auto" w:fill="CCEEFF"/>
          </w:tcPr>
          <w:p>
            <w:pPr>
              <w:ind w:left="2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color w:val="0000EE"/>
                </w:rPr>
                <w:t>Articles of Amendment to the Articles of Incorporation of the Company, as filed with the Texas Secretary of State on September 22,</w:t>
              </w:r>
            </w:hyperlink>
          </w:p>
        </w:tc>
        <w:tc>
          <w:tcPr>
            <w:tcW w:w="0" w:type="dxa"/>
            <w:vAlign w:val="bottom"/>
          </w:tcPr>
          <w:p>
            <w:pPr>
              <w:spacing w:after="0"/>
              <w:rPr>
                <w:sz w:val="1"/>
                <w:szCs w:val="1"/>
                <w:color w:val="auto"/>
              </w:rPr>
            </w:pPr>
          </w:p>
        </w:tc>
      </w:tr>
      <w:tr>
        <w:trPr>
          <w:trHeight w:val="217"/>
        </w:trPr>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620" w:type="dxa"/>
            <w:vAlign w:val="bottom"/>
            <w:tcBorders>
              <w:top w:val="single" w:sz="8" w:color="0000EE"/>
            </w:tcBorders>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1987 (incorporated by reference from Exhibit 3.1 to the Company’s Form S-8 filed on December 21, 2016).</w:t>
              </w:r>
            </w:hyperlink>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240" w:type="dxa"/>
            <w:vAlign w:val="bottom"/>
            <w:gridSpan w:val="33"/>
            <w:shd w:val="clear" w:color="auto" w:fill="CCEEFF"/>
          </w:tcPr>
          <w:p>
            <w:pPr>
              <w:ind w:left="2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color w:val="0000EE"/>
                </w:rPr>
                <w:t>Amended and Restated Bylaws of the Company, as amended on November 8, 2021 (incorporated by reference from Exhibit 3.3 to</w:t>
              </w:r>
            </w:hyperlink>
          </w:p>
        </w:tc>
        <w:tc>
          <w:tcPr>
            <w:tcW w:w="0" w:type="dxa"/>
            <w:vAlign w:val="bottom"/>
          </w:tcPr>
          <w:p>
            <w:pPr>
              <w:spacing w:after="0"/>
              <w:rPr>
                <w:sz w:val="1"/>
                <w:szCs w:val="1"/>
                <w:color w:val="auto"/>
              </w:rPr>
            </w:pPr>
          </w:p>
        </w:tc>
      </w:tr>
      <w:tr>
        <w:trPr>
          <w:trHeight w:val="217"/>
        </w:trPr>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620" w:type="dxa"/>
            <w:vAlign w:val="bottom"/>
            <w:tcBorders>
              <w:top w:val="single" w:sz="8" w:color="0000EE"/>
            </w:tcBorders>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the Company’s Form 10-Q filed on November 19, 2021).</w:t>
              </w:r>
            </w:hyperlink>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33"/>
            <w:shd w:val="clear" w:color="auto" w:fill="CCEEFF"/>
          </w:tcPr>
          <w:p>
            <w:pPr>
              <w:ind w:left="2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color w:val="0000EE"/>
                </w:rPr>
                <w:t>Friedman Industries, Incorporated 2016 Restricted Stock Plan (incorporated by reference from Exhibit 4.2 to the Company’s Form S-</w:t>
              </w:r>
            </w:hyperlink>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600" w:type="dxa"/>
            <w:vAlign w:val="bottom"/>
            <w:tcBorders>
              <w:top w:val="single" w:sz="8" w:color="0000EE"/>
            </w:tcBorders>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8 filed on December 21, 2016).</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240" w:type="dxa"/>
            <w:vAlign w:val="bottom"/>
            <w:gridSpan w:val="33"/>
            <w:shd w:val="clear" w:color="auto" w:fill="CCEEFF"/>
          </w:tcPr>
          <w:p>
            <w:pPr>
              <w:ind w:left="2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color w:val="0000EE"/>
                </w:rPr>
                <w:t>Form of Friedman Industries, Incorporated Restricted Stock Award Agreement (incorporated by reference from Exhibit 4.3 to the</w:t>
              </w:r>
            </w:hyperlink>
          </w:p>
        </w:tc>
        <w:tc>
          <w:tcPr>
            <w:tcW w:w="0" w:type="dxa"/>
            <w:vAlign w:val="bottom"/>
          </w:tcPr>
          <w:p>
            <w:pPr>
              <w:spacing w:after="0"/>
              <w:rPr>
                <w:sz w:val="1"/>
                <w:szCs w:val="1"/>
                <w:color w:val="auto"/>
              </w:rPr>
            </w:pPr>
          </w:p>
        </w:tc>
      </w:tr>
      <w:tr>
        <w:trPr>
          <w:trHeight w:val="217"/>
        </w:trPr>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320" w:type="dxa"/>
            <w:vAlign w:val="bottom"/>
            <w:tcBorders>
              <w:top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Company’s Form S-8 filed on December 21, 2016).</w:t>
              </w:r>
            </w:hyperlink>
          </w:p>
        </w:tc>
        <w:tc>
          <w:tcPr>
            <w:tcW w:w="300" w:type="dxa"/>
            <w:vAlign w:val="bottom"/>
            <w:tcBorders>
              <w:top w:val="single" w:sz="8" w:color="CCEEFF"/>
            </w:tcBorders>
            <w:gridSpan w:val="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240" w:type="dxa"/>
            <w:vAlign w:val="bottom"/>
            <w:gridSpan w:val="33"/>
            <w:shd w:val="clear" w:color="auto" w:fill="CCEEFF"/>
          </w:tcPr>
          <w:p>
            <w:pPr>
              <w:ind w:left="2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color w:val="0000EE"/>
                </w:rPr>
                <w:t>First Amendment to the Friedman Industries, Incorporated 2016 Restricted Stock Plan (incorporated by reference from Appendix C</w:t>
              </w:r>
            </w:hyperlink>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480" w:type="dxa"/>
            <w:vAlign w:val="bottom"/>
            <w:tcBorders>
              <w:top w:val="single" w:sz="8" w:color="0000EE"/>
            </w:tcBorders>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to the Company’s Form DEF 14A filed on July 26, 2019).</w:t>
              </w:r>
            </w:hyperlink>
          </w:p>
        </w:tc>
        <w:tc>
          <w:tcPr>
            <w:tcW w:w="140" w:type="dxa"/>
            <w:vAlign w:val="bottom"/>
            <w:tcBorders>
              <w:top w:val="single" w:sz="8" w:color="CCEEFF"/>
            </w:tcBorders>
            <w:gridSpan w:val="5"/>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240" w:type="dxa"/>
            <w:vAlign w:val="bottom"/>
            <w:gridSpan w:val="33"/>
            <w:shd w:val="clear" w:color="auto" w:fill="CCEEFF"/>
          </w:tcPr>
          <w:p>
            <w:pPr>
              <w:ind w:left="2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9">
              <w:r>
                <w:rPr>
                  <w:rFonts w:ascii="Times New Roman" w:cs="Times New Roman" w:eastAsia="Times New Roman" w:hAnsi="Times New Roman"/>
                  <w:sz w:val="18"/>
                  <w:szCs w:val="18"/>
                  <w:color w:val="0000EE"/>
                </w:rPr>
                <w:t>Amended and Restated Credit Agreement dated May 19, 2021 (incorporated by reference from Exhibit 10.9 to the Company’s Form</w:t>
              </w:r>
            </w:hyperlink>
          </w:p>
        </w:tc>
        <w:tc>
          <w:tcPr>
            <w:tcW w:w="0" w:type="dxa"/>
            <w:vAlign w:val="bottom"/>
          </w:tcPr>
          <w:p>
            <w:pPr>
              <w:spacing w:after="0"/>
              <w:rPr>
                <w:sz w:val="1"/>
                <w:szCs w:val="1"/>
                <w:color w:val="auto"/>
              </w:rPr>
            </w:pPr>
          </w:p>
        </w:tc>
      </w:tr>
      <w:tr>
        <w:trPr>
          <w:trHeight w:val="217"/>
        </w:trPr>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520" w:type="dxa"/>
            <w:vAlign w:val="bottom"/>
            <w:tcBorders>
              <w:top w:val="single" w:sz="8" w:color="0000EE"/>
            </w:tcBorders>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10-K for the fiscal year ended March 31, 2021 filed on July 7, 2021).</w:t>
              </w:r>
            </w:hyperlink>
          </w:p>
        </w:tc>
        <w:tc>
          <w:tcPr>
            <w:tcW w:w="100" w:type="dxa"/>
            <w:vAlign w:val="bottom"/>
            <w:tcBorders>
              <w:top w:val="single" w:sz="8" w:color="CCEEFF"/>
            </w:tcBorders>
            <w:gridSpan w:val="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240" w:type="dxa"/>
            <w:vAlign w:val="bottom"/>
            <w:gridSpan w:val="33"/>
            <w:shd w:val="clear" w:color="auto" w:fill="CCEEFF"/>
          </w:tcPr>
          <w:p>
            <w:pPr>
              <w:ind w:left="2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color w:val="0000EE"/>
                </w:rPr>
                <w:t>Pledge and Security Agreement dated May 19, 2021 (incorporated by reference from Exhibit 10.10 to the Company’s Form 10-K for</w:t>
              </w:r>
            </w:hyperlink>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560" w:type="dxa"/>
            <w:vAlign w:val="bottom"/>
            <w:tcBorders>
              <w:top w:val="single" w:sz="8" w:color="0000EE"/>
            </w:tcBorders>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the fiscal year ended March 31, 2021 filed on July 7, 2021).</w:t>
              </w:r>
            </w:hyperlink>
          </w:p>
        </w:tc>
        <w:tc>
          <w:tcPr>
            <w:tcW w:w="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First Amendment to Amended and Restated Credit Agreement (referenced in the Company's Current Report of Form 8-K filed on</w:t>
            </w:r>
          </w:p>
        </w:tc>
        <w:tc>
          <w:tcPr>
            <w:tcW w:w="0" w:type="dxa"/>
            <w:vAlign w:val="bottom"/>
          </w:tcPr>
          <w:p>
            <w:pPr>
              <w:spacing w:after="0"/>
              <w:rPr>
                <w:sz w:val="1"/>
                <w:szCs w:val="1"/>
                <w:color w:val="auto"/>
              </w:rPr>
            </w:pPr>
          </w:p>
        </w:tc>
      </w:tr>
      <w:tr>
        <w:trPr>
          <w:trHeight w:val="217"/>
        </w:trPr>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340" w:type="dxa"/>
            <w:vAlign w:val="bottom"/>
            <w:tcBorders>
              <w:top w:val="single" w:sz="8" w:color="0000EE"/>
            </w:tcBorders>
            <w:gridSpan w:val="2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March 15, 2022).</w:t>
            </w:r>
          </w:p>
        </w:tc>
        <w:tc>
          <w:tcPr>
            <w:tcW w:w="280" w:type="dxa"/>
            <w:vAlign w:val="bottom"/>
            <w:tcBorders>
              <w:top w:val="single" w:sz="8" w:color="CCEEFF"/>
            </w:tcBorders>
            <w:gridSpan w:val="7"/>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Second Amendment to Amended and Restated Credit Agreement (referenced in the Company's Current Report of Form 8-K filed on</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540" w:type="dxa"/>
            <w:vAlign w:val="bottom"/>
            <w:tcBorders>
              <w:top w:val="single" w:sz="8" w:color="0000EE"/>
            </w:tcBorders>
            <w:gridSpan w:val="2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May 2, 2022).</w:t>
            </w:r>
          </w:p>
        </w:tc>
        <w:tc>
          <w:tcPr>
            <w:tcW w:w="80" w:type="dxa"/>
            <w:vAlign w:val="bottom"/>
            <w:tcBorders>
              <w:top w:val="single" w:sz="8" w:color="CCEEFF"/>
            </w:tcBorders>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Asset Purchase Agreement by and among Friedman Industries, Inc., Plateplus Inc. and the Stockholder of Plateplus Inc. (referenced</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480" w:type="dxa"/>
            <w:vAlign w:val="bottom"/>
            <w:tcBorders>
              <w:top w:val="single" w:sz="8" w:color="0000EE"/>
            </w:tcBorders>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 the Company's Current Report on Form 8-K filed on May 2, 2022).</w:t>
            </w:r>
          </w:p>
        </w:tc>
        <w:tc>
          <w:tcPr>
            <w:tcW w:w="140" w:type="dxa"/>
            <w:vAlign w:val="bottom"/>
            <w:tcBorders>
              <w:top w:val="single" w:sz="8" w:color="CCEEFF"/>
            </w:tcBorders>
            <w:gridSpan w:val="5"/>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Lease Assignment and Assumption Agreement for Parcel 1-A and Parcel 4 of Granite City, Illinois Property.</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Lease Assignment and Assumption Agreement for Parcel 1-B of Granite City, Illinois Property.</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Lease Assignment and Assumption Agreement for Parcel 5 of Granite City, Illinois Property.</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62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20" w:type="dxa"/>
            <w:vAlign w:val="bottom"/>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Third Amendment to Amended and Restated Credit Agreement (referenced in the Company's Current Report on Form 8-K filed on</w:t>
            </w:r>
          </w:p>
        </w:tc>
        <w:tc>
          <w:tcPr>
            <w:tcW w:w="0" w:type="dxa"/>
            <w:vAlign w:val="bottom"/>
          </w:tcPr>
          <w:p>
            <w:pPr>
              <w:spacing w:after="0"/>
              <w:rPr>
                <w:sz w:val="1"/>
                <w:szCs w:val="1"/>
                <w:color w:val="auto"/>
              </w:rPr>
            </w:pPr>
          </w:p>
        </w:tc>
      </w:tr>
      <w:tr>
        <w:trPr>
          <w:trHeight w:val="129"/>
        </w:trPr>
        <w:tc>
          <w:tcPr>
            <w:tcW w:w="10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vMerge w:val="continue"/>
            <w:shd w:val="clear" w:color="auto" w:fill="CCEEFF"/>
          </w:tcPr>
          <w:p>
            <w:pPr>
              <w:spacing w:after="0"/>
              <w:rPr>
                <w:sz w:val="11"/>
                <w:szCs w:val="11"/>
                <w:color w:val="auto"/>
              </w:rPr>
            </w:pPr>
          </w:p>
        </w:tc>
        <w:tc>
          <w:tcPr>
            <w:tcW w:w="9440" w:type="dxa"/>
            <w:vAlign w:val="bottom"/>
            <w:tcBorders>
              <w:top w:val="single" w:sz="8" w:color="0000EE"/>
            </w:tcBorders>
            <w:gridSpan w:val="26"/>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July 13, 2022).</w:t>
            </w:r>
          </w:p>
        </w:tc>
        <w:tc>
          <w:tcPr>
            <w:tcW w:w="180" w:type="dxa"/>
            <w:vAlign w:val="bottom"/>
            <w:tcBorders>
              <w:top w:val="single" w:sz="8" w:color="CCEEFF"/>
            </w:tcBorders>
            <w:gridSpan w:val="6"/>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0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9440" w:type="dxa"/>
            <w:vAlign w:val="bottom"/>
            <w:gridSpan w:val="26"/>
            <w:vMerge w:val="continue"/>
            <w:shd w:val="clear" w:color="auto" w:fill="CCEEFF"/>
          </w:tcPr>
          <w:p>
            <w:pPr>
              <w:spacing w:after="0"/>
              <w:rPr>
                <w:sz w:val="7"/>
                <w:szCs w:val="7"/>
                <w:color w:val="auto"/>
              </w:rPr>
            </w:pPr>
          </w:p>
        </w:tc>
        <w:tc>
          <w:tcPr>
            <w:tcW w:w="180" w:type="dxa"/>
            <w:vAlign w:val="bottom"/>
            <w:gridSpan w:val="6"/>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**13.1</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The Company’s Annual Report to Shareholders for the fiscal year ended March 31, 2022.</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Friedman Industries, Incorporated Code of Conduct and Ethics.</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List of Subsidiaries.</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Consent of Moss Adams LLP.</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Section 302 of the Sarbanes-Oxley Act of 2002, signed by Michael J. Taylor.</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Section 302 of the Sarbanes-Oxley Act of 2002, signed by Alex LaRue.</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Section 1350, as Adopted Pursuant to Section 906 of the Sarbanes-Oxley Act of 2002, signed by</w:t>
            </w:r>
          </w:p>
        </w:tc>
        <w:tc>
          <w:tcPr>
            <w:tcW w:w="0" w:type="dxa"/>
            <w:vAlign w:val="bottom"/>
          </w:tcPr>
          <w:p>
            <w:pPr>
              <w:spacing w:after="0"/>
              <w:rPr>
                <w:sz w:val="1"/>
                <w:szCs w:val="1"/>
                <w:color w:val="auto"/>
              </w:rPr>
            </w:pPr>
          </w:p>
        </w:tc>
      </w:tr>
      <w:tr>
        <w:trPr>
          <w:trHeight w:val="217"/>
        </w:trPr>
        <w:tc>
          <w:tcPr>
            <w:tcW w:w="10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9600" w:type="dxa"/>
            <w:vAlign w:val="bottom"/>
            <w:tcBorders>
              <w:top w:val="single" w:sz="8" w:color="0000EE"/>
            </w:tcBorders>
            <w:gridSpan w:val="3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Michael J. Taylor.</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240" w:type="dxa"/>
            <w:vAlign w:val="bottom"/>
            <w:gridSpan w:val="33"/>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Pursuant to 18 U.S.C. Section 1350, as Adopted Pursuant to Section 906 of the Sarbanes-Oxley Act of 2002, signed by</w:t>
            </w:r>
          </w:p>
        </w:tc>
        <w:tc>
          <w:tcPr>
            <w:tcW w:w="0" w:type="dxa"/>
            <w:vAlign w:val="bottom"/>
          </w:tcPr>
          <w:p>
            <w:pPr>
              <w:spacing w:after="0"/>
              <w:rPr>
                <w:sz w:val="1"/>
                <w:szCs w:val="1"/>
                <w:color w:val="auto"/>
              </w:rPr>
            </w:pPr>
          </w:p>
        </w:tc>
      </w:tr>
      <w:tr>
        <w:trPr>
          <w:trHeight w:val="216"/>
        </w:trPr>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Alex LaRue.</w:t>
            </w:r>
          </w:p>
        </w:tc>
        <w:tc>
          <w:tcPr>
            <w:tcW w:w="8680" w:type="dxa"/>
            <w:vAlign w:val="bottom"/>
            <w:tcBorders>
              <w:top w:val="single" w:sz="8" w:color="0000EE"/>
              <w:bottom w:val="single" w:sz="8" w:color="CCEEFF"/>
            </w:tcBorders>
            <w:gridSpan w:val="30"/>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98"/>
        </w:trPr>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20" w:type="dxa"/>
            <w:vAlign w:val="bottom"/>
            <w:gridSpan w:val="11"/>
          </w:tcPr>
          <w:p>
            <w:pPr>
              <w:ind w:left="3900"/>
              <w:spacing w:after="0"/>
              <w:rPr>
                <w:sz w:val="20"/>
                <w:szCs w:val="20"/>
                <w:color w:val="auto"/>
              </w:rPr>
            </w:pPr>
            <w:r>
              <w:rPr>
                <w:rFonts w:ascii="Times New Roman" w:cs="Times New Roman" w:eastAsia="Times New Roman" w:hAnsi="Times New Roman"/>
                <w:sz w:val="22"/>
                <w:szCs w:val="22"/>
                <w:color w:val="auto"/>
                <w:w w:val="90"/>
              </w:rPr>
              <w:t>13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0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Inline XBRL Instance Document.</w:t>
            </w:r>
          </w:p>
        </w:tc>
      </w:tr>
      <w:tr>
        <w:trPr>
          <w:trHeight w:val="216"/>
        </w:trPr>
        <w:tc>
          <w:tcPr>
            <w:tcW w:w="10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Inline XBRL Taxonomy Schema Document.</w:t>
            </w:r>
          </w:p>
        </w:tc>
      </w:tr>
      <w:tr>
        <w:trPr>
          <w:trHeight w:val="216"/>
        </w:trPr>
        <w:tc>
          <w:tcPr>
            <w:tcW w:w="10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Inline XBRL Calculation Linkbase Document.</w:t>
            </w:r>
          </w:p>
        </w:tc>
      </w:tr>
      <w:tr>
        <w:trPr>
          <w:trHeight w:val="216"/>
        </w:trPr>
        <w:tc>
          <w:tcPr>
            <w:tcW w:w="10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Inline XBRL Definition Linkbase Document.</w:t>
            </w:r>
          </w:p>
        </w:tc>
      </w:tr>
      <w:tr>
        <w:trPr>
          <w:trHeight w:val="216"/>
        </w:trPr>
        <w:tc>
          <w:tcPr>
            <w:tcW w:w="10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Inline XBRL Label Linkbase Document.</w:t>
            </w:r>
          </w:p>
        </w:tc>
      </w:tr>
      <w:tr>
        <w:trPr>
          <w:trHeight w:val="216"/>
        </w:trPr>
        <w:tc>
          <w:tcPr>
            <w:tcW w:w="10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Inline XBRL Presentation Linkbase Document.</w:t>
            </w:r>
          </w:p>
        </w:tc>
      </w:tr>
      <w:tr>
        <w:trPr>
          <w:trHeight w:val="216"/>
        </w:trPr>
        <w:tc>
          <w:tcPr>
            <w:tcW w:w="10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Cover Page Interactive Data File (embedded within the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Friedman Industries, Incorporated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  MICHAEL J. TAYLOR</w:t>
            </w:r>
          </w:p>
        </w:tc>
      </w:tr>
      <w:tr>
        <w:trPr>
          <w:trHeight w:val="189"/>
        </w:trPr>
        <w:tc>
          <w:tcPr>
            <w:tcW w:w="340" w:type="dxa"/>
            <w:vAlign w:val="bottom"/>
          </w:tcPr>
          <w:p>
            <w:pPr>
              <w:spacing w:after="0"/>
              <w:rPr>
                <w:sz w:val="16"/>
                <w:szCs w:val="16"/>
                <w:color w:val="auto"/>
              </w:rPr>
            </w:pPr>
          </w:p>
        </w:tc>
        <w:tc>
          <w:tcPr>
            <w:tcW w:w="3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Michael J. Taylor</w:t>
            </w:r>
          </w:p>
        </w:tc>
      </w:tr>
      <w:tr>
        <w:trPr>
          <w:trHeight w:val="236"/>
        </w:trPr>
        <w:tc>
          <w:tcPr>
            <w:tcW w:w="3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August 2, 2022</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Friedman Industries, Incorporated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20" w:type="dxa"/>
            <w:vAlign w:val="bottom"/>
          </w:tcPr>
          <w:p>
            <w:pPr>
              <w:spacing w:after="0"/>
              <w:rPr>
                <w:sz w:val="20"/>
                <w:szCs w:val="20"/>
                <w:color w:val="auto"/>
              </w:rPr>
            </w:pPr>
          </w:p>
        </w:tc>
        <w:tc>
          <w:tcPr>
            <w:tcW w:w="27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07"/>
        </w:trPr>
        <w:tc>
          <w:tcPr>
            <w:tcW w:w="24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/S/</w:t>
            </w:r>
          </w:p>
        </w:tc>
        <w:tc>
          <w:tcPr>
            <w:tcW w:w="4220" w:type="dxa"/>
            <w:vAlign w:val="bottom"/>
            <w:gridSpan w:val="2"/>
          </w:tcPr>
          <w:p>
            <w:pPr>
              <w:jc w:val="center"/>
              <w:ind w:right="2370"/>
              <w:spacing w:after="0"/>
              <w:rPr>
                <w:sz w:val="20"/>
                <w:szCs w:val="20"/>
                <w:color w:val="auto"/>
              </w:rPr>
            </w:pPr>
            <w:r>
              <w:rPr>
                <w:rFonts w:ascii="Times New Roman" w:cs="Times New Roman" w:eastAsia="Times New Roman" w:hAnsi="Times New Roman"/>
                <w:sz w:val="18"/>
                <w:szCs w:val="18"/>
                <w:color w:val="auto"/>
                <w:w w:val="97"/>
              </w:rPr>
              <w:t>MICHAEL J. TAYLOR</w:t>
            </w:r>
          </w:p>
        </w:tc>
        <w:tc>
          <w:tcPr>
            <w:tcW w:w="22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2022</w:t>
            </w:r>
          </w:p>
        </w:tc>
      </w:tr>
      <w:tr>
        <w:trPr>
          <w:trHeight w:val="221"/>
        </w:trPr>
        <w:tc>
          <w:tcPr>
            <w:tcW w:w="2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91"/>
        </w:trPr>
        <w:tc>
          <w:tcPr>
            <w:tcW w:w="2480" w:type="dxa"/>
            <w:vAlign w:val="bottom"/>
          </w:tcPr>
          <w:p>
            <w:pPr>
              <w:spacing w:after="0"/>
              <w:rPr>
                <w:sz w:val="16"/>
                <w:szCs w:val="16"/>
                <w:color w:val="auto"/>
              </w:rPr>
            </w:pPr>
          </w:p>
        </w:tc>
        <w:tc>
          <w:tcPr>
            <w:tcW w:w="4220" w:type="dxa"/>
            <w:vAlign w:val="bottom"/>
            <w:gridSpan w:val="2"/>
          </w:tcPr>
          <w:p>
            <w:pPr>
              <w:jc w:val="center"/>
              <w:ind w:right="2390"/>
              <w:spacing w:after="0" w:line="191" w:lineRule="exact"/>
              <w:rPr>
                <w:sz w:val="20"/>
                <w:szCs w:val="20"/>
                <w:color w:val="auto"/>
              </w:rPr>
            </w:pPr>
            <w:r>
              <w:rPr>
                <w:rFonts w:ascii="Times New Roman" w:cs="Times New Roman" w:eastAsia="Times New Roman" w:hAnsi="Times New Roman"/>
                <w:sz w:val="18"/>
                <w:szCs w:val="18"/>
                <w:color w:val="auto"/>
                <w:w w:val="98"/>
              </w:rPr>
              <w:t>Michael J. Taylor</w:t>
            </w:r>
          </w:p>
        </w:tc>
        <w:tc>
          <w:tcPr>
            <w:tcW w:w="220" w:type="dxa"/>
            <w:vAlign w:val="bottom"/>
          </w:tcPr>
          <w:p>
            <w:pPr>
              <w:spacing w:after="0"/>
              <w:rPr>
                <w:sz w:val="16"/>
                <w:szCs w:val="16"/>
                <w:color w:val="auto"/>
              </w:rPr>
            </w:pPr>
          </w:p>
        </w:tc>
        <w:tc>
          <w:tcPr>
            <w:tcW w:w="27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Director (Principal Executive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4"/>
        </w:trPr>
        <w:tc>
          <w:tcPr>
            <w:tcW w:w="2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4"/>
        </w:trPr>
        <w:tc>
          <w:tcPr>
            <w:tcW w:w="276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w:t>
            </w:r>
          </w:p>
        </w:tc>
        <w:tc>
          <w:tcPr>
            <w:tcW w:w="3940" w:type="dxa"/>
            <w:vAlign w:val="bottom"/>
          </w:tcPr>
          <w:p>
            <w:pPr>
              <w:jc w:val="center"/>
              <w:ind w:right="2650"/>
              <w:spacing w:after="0"/>
              <w:rPr>
                <w:sz w:val="20"/>
                <w:szCs w:val="20"/>
                <w:color w:val="auto"/>
              </w:rPr>
            </w:pPr>
            <w:r>
              <w:rPr>
                <w:rFonts w:ascii="Times New Roman" w:cs="Times New Roman" w:eastAsia="Times New Roman" w:hAnsi="Times New Roman"/>
                <w:sz w:val="18"/>
                <w:szCs w:val="18"/>
                <w:color w:val="auto"/>
                <w:w w:val="99"/>
              </w:rPr>
              <w:t>ALEX LARUE</w:t>
            </w:r>
          </w:p>
        </w:tc>
        <w:tc>
          <w:tcPr>
            <w:tcW w:w="22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 Secretary</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2022</w:t>
            </w:r>
          </w:p>
        </w:tc>
      </w:tr>
      <w:tr>
        <w:trPr>
          <w:trHeight w:val="221"/>
        </w:trPr>
        <w:tc>
          <w:tcPr>
            <w:tcW w:w="2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91"/>
        </w:trPr>
        <w:tc>
          <w:tcPr>
            <w:tcW w:w="2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40" w:type="dxa"/>
            <w:vAlign w:val="bottom"/>
          </w:tcPr>
          <w:p>
            <w:pPr>
              <w:jc w:val="center"/>
              <w:ind w:right="2650"/>
              <w:spacing w:after="0" w:line="191" w:lineRule="exact"/>
              <w:rPr>
                <w:sz w:val="20"/>
                <w:szCs w:val="20"/>
                <w:color w:val="auto"/>
              </w:rPr>
            </w:pPr>
            <w:r>
              <w:rPr>
                <w:rFonts w:ascii="Times New Roman" w:cs="Times New Roman" w:eastAsia="Times New Roman" w:hAnsi="Times New Roman"/>
                <w:sz w:val="18"/>
                <w:szCs w:val="18"/>
                <w:color w:val="auto"/>
              </w:rPr>
              <w:t>Alex LaRue</w:t>
            </w:r>
          </w:p>
        </w:tc>
        <w:tc>
          <w:tcPr>
            <w:tcW w:w="220" w:type="dxa"/>
            <w:vAlign w:val="bottom"/>
          </w:tcPr>
          <w:p>
            <w:pPr>
              <w:spacing w:after="0"/>
              <w:rPr>
                <w:sz w:val="16"/>
                <w:szCs w:val="16"/>
                <w:color w:val="auto"/>
              </w:rPr>
            </w:pPr>
          </w:p>
        </w:tc>
        <w:tc>
          <w:tcPr>
            <w:tcW w:w="27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Treasurer (Principal Financial</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2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2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Principal Accounting Officer)</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24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/S/</w:t>
            </w:r>
          </w:p>
        </w:tc>
        <w:tc>
          <w:tcPr>
            <w:tcW w:w="4220" w:type="dxa"/>
            <w:vAlign w:val="bottom"/>
            <w:tcBorders>
              <w:bottom w:val="single" w:sz="8" w:color="auto"/>
            </w:tcBorders>
            <w:gridSpan w:val="2"/>
          </w:tcPr>
          <w:p>
            <w:pPr>
              <w:jc w:val="center"/>
              <w:ind w:right="2350"/>
              <w:spacing w:after="0"/>
              <w:rPr>
                <w:sz w:val="20"/>
                <w:szCs w:val="20"/>
                <w:color w:val="auto"/>
              </w:rPr>
            </w:pPr>
            <w:r>
              <w:rPr>
                <w:rFonts w:ascii="Times New Roman" w:cs="Times New Roman" w:eastAsia="Times New Roman" w:hAnsi="Times New Roman"/>
                <w:sz w:val="18"/>
                <w:szCs w:val="18"/>
                <w:color w:val="auto"/>
                <w:w w:val="97"/>
              </w:rPr>
              <w:t>DURGA D. AGRAWAL</w:t>
            </w:r>
          </w:p>
        </w:tc>
        <w:tc>
          <w:tcPr>
            <w:tcW w:w="22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2022</w:t>
            </w:r>
          </w:p>
        </w:tc>
      </w:tr>
      <w:tr>
        <w:trPr>
          <w:trHeight w:val="228"/>
        </w:trPr>
        <w:tc>
          <w:tcPr>
            <w:tcW w:w="2480" w:type="dxa"/>
            <w:vAlign w:val="bottom"/>
          </w:tcPr>
          <w:p>
            <w:pPr>
              <w:spacing w:after="0"/>
              <w:rPr>
                <w:sz w:val="19"/>
                <w:szCs w:val="19"/>
                <w:color w:val="auto"/>
              </w:rPr>
            </w:pPr>
          </w:p>
        </w:tc>
        <w:tc>
          <w:tcPr>
            <w:tcW w:w="4220" w:type="dxa"/>
            <w:vAlign w:val="bottom"/>
            <w:gridSpan w:val="2"/>
          </w:tcPr>
          <w:p>
            <w:pPr>
              <w:jc w:val="center"/>
              <w:ind w:right="2370"/>
              <w:spacing w:after="0"/>
              <w:rPr>
                <w:sz w:val="20"/>
                <w:szCs w:val="20"/>
                <w:color w:val="auto"/>
              </w:rPr>
            </w:pPr>
            <w:r>
              <w:rPr>
                <w:rFonts w:ascii="Times New Roman" w:cs="Times New Roman" w:eastAsia="Times New Roman" w:hAnsi="Times New Roman"/>
                <w:sz w:val="18"/>
                <w:szCs w:val="18"/>
                <w:color w:val="auto"/>
                <w:w w:val="98"/>
              </w:rPr>
              <w:t>Durga D. Agrawal</w:t>
            </w:r>
          </w:p>
        </w:tc>
        <w:tc>
          <w:tcPr>
            <w:tcW w:w="2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14"/>
        </w:trPr>
        <w:tc>
          <w:tcPr>
            <w:tcW w:w="24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/S/</w:t>
            </w:r>
          </w:p>
        </w:tc>
        <w:tc>
          <w:tcPr>
            <w:tcW w:w="4220" w:type="dxa"/>
            <w:vAlign w:val="bottom"/>
            <w:tcBorders>
              <w:bottom w:val="single" w:sz="8" w:color="auto"/>
            </w:tcBorders>
            <w:gridSpan w:val="2"/>
          </w:tcPr>
          <w:p>
            <w:pPr>
              <w:jc w:val="center"/>
              <w:ind w:right="2410"/>
              <w:spacing w:after="0"/>
              <w:rPr>
                <w:sz w:val="20"/>
                <w:szCs w:val="20"/>
                <w:color w:val="auto"/>
              </w:rPr>
            </w:pPr>
            <w:r>
              <w:rPr>
                <w:rFonts w:ascii="Times New Roman" w:cs="Times New Roman" w:eastAsia="Times New Roman" w:hAnsi="Times New Roman"/>
                <w:sz w:val="18"/>
                <w:szCs w:val="18"/>
                <w:color w:val="auto"/>
                <w:w w:val="99"/>
              </w:rPr>
              <w:t>MAX REICHENTHAL</w:t>
            </w:r>
          </w:p>
        </w:tc>
        <w:tc>
          <w:tcPr>
            <w:tcW w:w="22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2022</w:t>
            </w:r>
          </w:p>
        </w:tc>
      </w:tr>
      <w:tr>
        <w:trPr>
          <w:trHeight w:val="228"/>
        </w:trPr>
        <w:tc>
          <w:tcPr>
            <w:tcW w:w="2480" w:type="dxa"/>
            <w:vAlign w:val="bottom"/>
          </w:tcPr>
          <w:p>
            <w:pPr>
              <w:spacing w:after="0"/>
              <w:rPr>
                <w:sz w:val="19"/>
                <w:szCs w:val="19"/>
                <w:color w:val="auto"/>
              </w:rPr>
            </w:pPr>
          </w:p>
        </w:tc>
        <w:tc>
          <w:tcPr>
            <w:tcW w:w="4220" w:type="dxa"/>
            <w:vAlign w:val="bottom"/>
            <w:gridSpan w:val="2"/>
          </w:tcPr>
          <w:p>
            <w:pPr>
              <w:jc w:val="center"/>
              <w:ind w:right="2370"/>
              <w:spacing w:after="0"/>
              <w:rPr>
                <w:sz w:val="20"/>
                <w:szCs w:val="20"/>
                <w:color w:val="auto"/>
              </w:rPr>
            </w:pPr>
            <w:r>
              <w:rPr>
                <w:rFonts w:ascii="Times New Roman" w:cs="Times New Roman" w:eastAsia="Times New Roman" w:hAnsi="Times New Roman"/>
                <w:sz w:val="18"/>
                <w:szCs w:val="18"/>
                <w:color w:val="auto"/>
              </w:rPr>
              <w:t>Max Reichenthal</w:t>
            </w:r>
          </w:p>
        </w:tc>
        <w:tc>
          <w:tcPr>
            <w:tcW w:w="2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14"/>
        </w:trPr>
        <w:tc>
          <w:tcPr>
            <w:tcW w:w="2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/S/</w:t>
            </w:r>
          </w:p>
        </w:tc>
        <w:tc>
          <w:tcPr>
            <w:tcW w:w="3940" w:type="dxa"/>
            <w:vAlign w:val="bottom"/>
            <w:tcBorders>
              <w:bottom w:val="single" w:sz="8" w:color="auto"/>
            </w:tcBorders>
          </w:tcPr>
          <w:p>
            <w:pPr>
              <w:jc w:val="center"/>
              <w:ind w:right="2290"/>
              <w:spacing w:after="0"/>
              <w:rPr>
                <w:sz w:val="20"/>
                <w:szCs w:val="20"/>
                <w:color w:val="auto"/>
              </w:rPr>
            </w:pPr>
            <w:r>
              <w:rPr>
                <w:rFonts w:ascii="Times New Roman" w:cs="Times New Roman" w:eastAsia="Times New Roman" w:hAnsi="Times New Roman"/>
                <w:sz w:val="18"/>
                <w:szCs w:val="18"/>
                <w:color w:val="auto"/>
              </w:rPr>
              <w:t>SANDY SCOTT</w:t>
            </w:r>
          </w:p>
        </w:tc>
        <w:tc>
          <w:tcPr>
            <w:tcW w:w="22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2022</w:t>
            </w:r>
          </w:p>
        </w:tc>
      </w:tr>
      <w:tr>
        <w:trPr>
          <w:trHeight w:val="228"/>
        </w:trPr>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tcPr>
          <w:p>
            <w:pPr>
              <w:jc w:val="center"/>
              <w:ind w:right="2670"/>
              <w:spacing w:after="0"/>
              <w:rPr>
                <w:sz w:val="20"/>
                <w:szCs w:val="20"/>
                <w:color w:val="auto"/>
              </w:rPr>
            </w:pPr>
            <w:r>
              <w:rPr>
                <w:rFonts w:ascii="Times New Roman" w:cs="Times New Roman" w:eastAsia="Times New Roman" w:hAnsi="Times New Roman"/>
                <w:sz w:val="18"/>
                <w:szCs w:val="18"/>
                <w:color w:val="auto"/>
                <w:w w:val="99"/>
              </w:rPr>
              <w:t>Sandy Scott</w:t>
            </w:r>
          </w:p>
        </w:tc>
        <w:tc>
          <w:tcPr>
            <w:tcW w:w="2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14"/>
        </w:trPr>
        <w:tc>
          <w:tcPr>
            <w:tcW w:w="2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940" w:type="dxa"/>
            <w:vAlign w:val="bottom"/>
            <w:tcBorders>
              <w:bottom w:val="single" w:sz="8" w:color="auto"/>
            </w:tcBorders>
          </w:tcPr>
          <w:p>
            <w:pPr>
              <w:jc w:val="center"/>
              <w:ind w:right="2630"/>
              <w:spacing w:after="0"/>
              <w:rPr>
                <w:sz w:val="20"/>
                <w:szCs w:val="20"/>
                <w:color w:val="auto"/>
              </w:rPr>
            </w:pPr>
            <w:r>
              <w:rPr>
                <w:rFonts w:ascii="Times New Roman" w:cs="Times New Roman" w:eastAsia="Times New Roman" w:hAnsi="Times New Roman"/>
                <w:sz w:val="18"/>
                <w:szCs w:val="18"/>
                <w:color w:val="auto"/>
              </w:rPr>
              <w:t>JOEL SPIRA</w:t>
            </w:r>
          </w:p>
        </w:tc>
        <w:tc>
          <w:tcPr>
            <w:tcW w:w="22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2022</w:t>
            </w:r>
          </w:p>
        </w:tc>
      </w:tr>
      <w:tr>
        <w:trPr>
          <w:trHeight w:val="228"/>
        </w:trPr>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tcPr>
          <w:p>
            <w:pPr>
              <w:jc w:val="center"/>
              <w:ind w:right="2650"/>
              <w:spacing w:after="0"/>
              <w:rPr>
                <w:sz w:val="20"/>
                <w:szCs w:val="20"/>
                <w:color w:val="auto"/>
              </w:rPr>
            </w:pPr>
            <w:r>
              <w:rPr>
                <w:rFonts w:ascii="Times New Roman" w:cs="Times New Roman" w:eastAsia="Times New Roman" w:hAnsi="Times New Roman"/>
                <w:sz w:val="18"/>
                <w:szCs w:val="18"/>
                <w:color w:val="auto"/>
              </w:rPr>
              <w:t>Joel Spira</w:t>
            </w:r>
          </w:p>
        </w:tc>
        <w:tc>
          <w:tcPr>
            <w:tcW w:w="2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14"/>
        </w:trPr>
        <w:tc>
          <w:tcPr>
            <w:tcW w:w="248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w w:val="89"/>
              </w:rPr>
              <w:t>/S/</w:t>
            </w:r>
          </w:p>
        </w:tc>
        <w:tc>
          <w:tcPr>
            <w:tcW w:w="4220" w:type="dxa"/>
            <w:vAlign w:val="bottom"/>
            <w:tcBorders>
              <w:bottom w:val="single" w:sz="8" w:color="auto"/>
            </w:tcBorders>
            <w:gridSpan w:val="2"/>
          </w:tcPr>
          <w:p>
            <w:pPr>
              <w:jc w:val="center"/>
              <w:ind w:right="2350"/>
              <w:spacing w:after="0"/>
              <w:rPr>
                <w:sz w:val="20"/>
                <w:szCs w:val="20"/>
                <w:color w:val="auto"/>
              </w:rPr>
            </w:pPr>
            <w:r>
              <w:rPr>
                <w:rFonts w:ascii="Times New Roman" w:cs="Times New Roman" w:eastAsia="Times New Roman" w:hAnsi="Times New Roman"/>
                <w:sz w:val="18"/>
                <w:szCs w:val="18"/>
                <w:color w:val="auto"/>
                <w:w w:val="99"/>
              </w:rPr>
              <w:t>TIM STEVENSON</w:t>
            </w:r>
          </w:p>
        </w:tc>
        <w:tc>
          <w:tcPr>
            <w:tcW w:w="22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2022</w:t>
            </w:r>
          </w:p>
        </w:tc>
      </w:tr>
      <w:tr>
        <w:trPr>
          <w:trHeight w:val="228"/>
        </w:trPr>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tcPr>
          <w:p>
            <w:pPr>
              <w:jc w:val="center"/>
              <w:ind w:right="2650"/>
              <w:spacing w:after="0"/>
              <w:rPr>
                <w:sz w:val="20"/>
                <w:szCs w:val="20"/>
                <w:color w:val="auto"/>
              </w:rPr>
            </w:pPr>
            <w:r>
              <w:rPr>
                <w:rFonts w:ascii="Times New Roman" w:cs="Times New Roman" w:eastAsia="Times New Roman" w:hAnsi="Times New Roman"/>
                <w:sz w:val="18"/>
                <w:szCs w:val="18"/>
                <w:color w:val="auto"/>
                <w:w w:val="99"/>
              </w:rPr>
              <w:t>Tim Stevenson</w:t>
            </w:r>
          </w:p>
        </w:tc>
        <w:tc>
          <w:tcPr>
            <w:tcW w:w="2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14"/>
        </w:trPr>
        <w:tc>
          <w:tcPr>
            <w:tcW w:w="2760" w:type="dxa"/>
            <w:vAlign w:val="bottom"/>
            <w:tcBorders>
              <w:bottom w:val="single" w:sz="8" w:color="auto"/>
            </w:tcBorders>
            <w:gridSpan w:val="2"/>
          </w:tcPr>
          <w:p>
            <w:pPr>
              <w:ind w:left="2420"/>
              <w:spacing w:after="0"/>
              <w:rPr>
                <w:sz w:val="20"/>
                <w:szCs w:val="20"/>
                <w:color w:val="auto"/>
              </w:rPr>
            </w:pPr>
            <w:r>
              <w:rPr>
                <w:rFonts w:ascii="Times New Roman" w:cs="Times New Roman" w:eastAsia="Times New Roman" w:hAnsi="Times New Roman"/>
                <w:sz w:val="18"/>
                <w:szCs w:val="18"/>
                <w:color w:val="auto"/>
              </w:rPr>
              <w:t>/S/</w:t>
            </w:r>
          </w:p>
        </w:tc>
        <w:tc>
          <w:tcPr>
            <w:tcW w:w="3940" w:type="dxa"/>
            <w:vAlign w:val="bottom"/>
            <w:tcBorders>
              <w:bottom w:val="single" w:sz="8" w:color="auto"/>
            </w:tcBorders>
          </w:tcPr>
          <w:p>
            <w:pPr>
              <w:jc w:val="center"/>
              <w:ind w:right="2290"/>
              <w:spacing w:after="0"/>
              <w:rPr>
                <w:sz w:val="20"/>
                <w:szCs w:val="20"/>
                <w:color w:val="auto"/>
              </w:rPr>
            </w:pPr>
            <w:r>
              <w:rPr>
                <w:rFonts w:ascii="Times New Roman" w:cs="Times New Roman" w:eastAsia="Times New Roman" w:hAnsi="Times New Roman"/>
                <w:sz w:val="18"/>
                <w:szCs w:val="18"/>
                <w:color w:val="auto"/>
                <w:w w:val="97"/>
              </w:rPr>
              <w:t>SHARON TAYLOR</w:t>
            </w:r>
          </w:p>
        </w:tc>
        <w:tc>
          <w:tcPr>
            <w:tcW w:w="22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2022</w:t>
            </w:r>
          </w:p>
        </w:tc>
      </w:tr>
      <w:tr>
        <w:trPr>
          <w:trHeight w:val="228"/>
        </w:trPr>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tcPr>
          <w:p>
            <w:pPr>
              <w:jc w:val="center"/>
              <w:ind w:right="2670"/>
              <w:spacing w:after="0"/>
              <w:rPr>
                <w:sz w:val="20"/>
                <w:szCs w:val="20"/>
                <w:color w:val="auto"/>
              </w:rPr>
            </w:pPr>
            <w:r>
              <w:rPr>
                <w:rFonts w:ascii="Times New Roman" w:cs="Times New Roman" w:eastAsia="Times New Roman" w:hAnsi="Times New Roman"/>
                <w:sz w:val="18"/>
                <w:szCs w:val="18"/>
                <w:color w:val="auto"/>
                <w:w w:val="98"/>
              </w:rPr>
              <w:t>Sharon Taylor</w:t>
            </w:r>
          </w:p>
        </w:tc>
        <w:tc>
          <w:tcPr>
            <w:tcW w:w="2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14"/>
        </w:trPr>
        <w:tc>
          <w:tcPr>
            <w:tcW w:w="248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w w:val="99"/>
              </w:rPr>
              <w:t>/S/</w:t>
            </w:r>
          </w:p>
        </w:tc>
        <w:tc>
          <w:tcPr>
            <w:tcW w:w="4220" w:type="dxa"/>
            <w:vAlign w:val="bottom"/>
            <w:tcBorders>
              <w:bottom w:val="single" w:sz="8" w:color="auto"/>
            </w:tcBorders>
            <w:gridSpan w:val="2"/>
          </w:tcPr>
          <w:p>
            <w:pPr>
              <w:jc w:val="center"/>
              <w:ind w:right="2350"/>
              <w:spacing w:after="0"/>
              <w:rPr>
                <w:sz w:val="20"/>
                <w:szCs w:val="20"/>
                <w:color w:val="auto"/>
              </w:rPr>
            </w:pPr>
            <w:r>
              <w:rPr>
                <w:rFonts w:ascii="Times New Roman" w:cs="Times New Roman" w:eastAsia="Times New Roman" w:hAnsi="Times New Roman"/>
                <w:sz w:val="18"/>
                <w:szCs w:val="18"/>
                <w:color w:val="auto"/>
              </w:rPr>
              <w:t>JOE L. WILLIAMS</w:t>
            </w:r>
          </w:p>
        </w:tc>
        <w:tc>
          <w:tcPr>
            <w:tcW w:w="22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2022</w:t>
            </w:r>
          </w:p>
        </w:tc>
      </w:tr>
      <w:tr>
        <w:trPr>
          <w:trHeight w:val="228"/>
        </w:trPr>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40" w:type="dxa"/>
            <w:vAlign w:val="bottom"/>
          </w:tcPr>
          <w:p>
            <w:pPr>
              <w:jc w:val="center"/>
              <w:ind w:right="2670"/>
              <w:spacing w:after="0"/>
              <w:rPr>
                <w:sz w:val="20"/>
                <w:szCs w:val="20"/>
                <w:color w:val="auto"/>
              </w:rPr>
            </w:pPr>
            <w:r>
              <w:rPr>
                <w:rFonts w:ascii="Times New Roman" w:cs="Times New Roman" w:eastAsia="Times New Roman" w:hAnsi="Times New Roman"/>
                <w:sz w:val="18"/>
                <w:szCs w:val="18"/>
                <w:color w:val="auto"/>
                <w:w w:val="99"/>
              </w:rPr>
              <w:t>Joe L. Williams</w:t>
            </w:r>
          </w:p>
        </w:tc>
        <w:tc>
          <w:tcPr>
            <w:tcW w:w="2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576"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AMENDED AND RESTATED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FIRST AMENDMENT TO AMENDED AND RESTATED CREDIT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dated as of March 11, 2022, is by and among </w:t>
      </w:r>
      <w:r>
        <w:rPr>
          <w:rFonts w:ascii="Times New Roman" w:cs="Times New Roman" w:eastAsia="Times New Roman" w:hAnsi="Times New Roman"/>
          <w:sz w:val="18"/>
          <w:szCs w:val="18"/>
          <w:b w:val="1"/>
          <w:bCs w:val="1"/>
          <w:color w:val="auto"/>
        </w:rPr>
        <w:t>FRIEDMAN INDUSTRIES, INCORPORATED</w:t>
      </w:r>
      <w:r>
        <w:rPr>
          <w:rFonts w:ascii="Times New Roman" w:cs="Times New Roman" w:eastAsia="Times New Roman" w:hAnsi="Times New Roman"/>
          <w:sz w:val="18"/>
          <w:szCs w:val="18"/>
          <w:color w:val="auto"/>
        </w:rPr>
        <w:t>, a Texas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 national banking association, as a Lender, Issuing Bank and Swingline Lender (as each is defined in the below-referenced Credit Agreement) (in such capacities,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Capitalized terms used in this Amendment, to the extent not otherwise defined herein, shall have the same meaning as in the Credit Agreement, as amended hereby.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 the other Loan Parties, the Lender and the Administrative Agent are parties to that certain Amended and Restated Credit Agreement, dated as of May 19, 2021 (as the same may be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 and the other Loan Parties have requested that the Lender and Administrative Agent amend certain provisions of the Credit Agreement in the manner and on the terms and conditions provided for 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agreements, promises and covenants set forth below, and for other good and valuable consideration, the receipt and sufficiency of which are hereby acknowledged, the parties hereto agree as follows: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Amendments to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Effective Date, the Credit Agreement is hereby amended (a) to delete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stricken text (indicated textually in the same manner as the following examples: </w:t>
      </w:r>
      <w:r>
        <w:rPr>
          <w:rFonts w:ascii="Times New Roman" w:cs="Times New Roman" w:eastAsia="Times New Roman" w:hAnsi="Times New Roman"/>
          <w:sz w:val="18"/>
          <w:szCs w:val="18"/>
          <w:color w:val="auto"/>
          <w:strike w:val="1"/>
        </w:rPr>
        <w:t>stricken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auto"/>
          <w:strike w:val="1"/>
        </w:rPr>
        <w:t>stricken text</w:t>
      </w:r>
      <w:r>
        <w:rPr>
          <w:rFonts w:ascii="Times New Roman" w:cs="Times New Roman" w:eastAsia="Times New Roman" w:hAnsi="Times New Roman"/>
          <w:sz w:val="18"/>
          <w:szCs w:val="18"/>
          <w:color w:val="auto"/>
        </w:rPr>
        <w:t xml:space="preserve">) and (b) to add the double-underlined text (indicated textually in the same manner as the following examples: </w:t>
      </w:r>
      <w:r>
        <w:rPr>
          <w:rFonts w:ascii="Times New Roman" w:cs="Times New Roman" w:eastAsia="Times New Roman" w:hAnsi="Times New Roman"/>
          <w:sz w:val="18"/>
          <w:szCs w:val="18"/>
          <w:u w:val="single" w:color="auto"/>
          <w:color w:val="auto"/>
        </w:rPr>
        <w:t>double-underlined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double-underlined text</w:t>
      </w:r>
      <w:r>
        <w:rPr>
          <w:rFonts w:ascii="Times New Roman" w:cs="Times New Roman" w:eastAsia="Times New Roman" w:hAnsi="Times New Roman"/>
          <w:sz w:val="18"/>
          <w:szCs w:val="18"/>
          <w:color w:val="auto"/>
        </w:rPr>
        <w:t xml:space="preserve">), in each case, as set forth in the marked copy of the Credit Agreement (and to the extent provided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exhibits, schedules and appendices to the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made a part hereof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-308610</wp:posOffset>
            </wp:positionV>
            <wp:extent cx="10458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 Nothing contained in this Amendment shall be construed as a waiver by the Administrative Agent of any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provision of the Credit Agreement, the other Loan Documents, this Amendment, or of any other contract or instrument between any Loan Party and the Administrative Agent, and the failure of the Administrative Agent at any time or times hereafter to require strict performance by any Loan Party of any provision thereof shall not waive, affect or diminish any rights of the Administrative Agent to thereafter demand strict compliance therewith. The Administrative Agent hereby reserves all rights granted under the Credit Agreement, the other Loan Documents, this Amendment and any other contract or instrument between any Loan Party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induce the Administrative Agent to enter into this Amendment, each Loan Party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warrants that:</w:t>
      </w:r>
    </w:p>
    <w:p>
      <w:pPr>
        <w:spacing w:after="0" w:line="159" w:lineRule="exact"/>
        <w:rPr>
          <w:sz w:val="20"/>
          <w:szCs w:val="20"/>
          <w:color w:val="auto"/>
        </w:rPr>
      </w:pPr>
    </w:p>
    <w:p>
      <w:pPr>
        <w:ind w:left="1720" w:hanging="416"/>
        <w:spacing w:after="0"/>
        <w:tabs>
          <w:tab w:leader="none" w:pos="1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After giving effect to this Amendment, no Default or Event of Default shall have occurred and be continuing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w:t>
      </w:r>
    </w:p>
    <w:p>
      <w:pPr>
        <w:spacing w:after="0" w:line="207" w:lineRule="exact"/>
        <w:rPr>
          <w:sz w:val="20"/>
          <w:szCs w:val="20"/>
          <w:color w:val="auto"/>
        </w:rPr>
      </w:pPr>
    </w:p>
    <w:p>
      <w:pPr>
        <w:jc w:val="both"/>
        <w:ind w:firstLine="1304"/>
        <w:spacing w:after="0" w:line="261" w:lineRule="auto"/>
        <w:tabs>
          <w:tab w:leader="none" w:pos="18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As of the Effective Date and, after giving effect to this Amendment and the transactions contemplated hereby, the representations and warranties of the Loan Parties contained in the Loan Documents are true and correct in all material respects on and as of the date hereof to the same extent as though made on and as of such date except to the extent such representations and warranties specifically relate to an earlier date;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(i) The execution, delivery and performance by each Loan Party of this Amendment are within its respective organizational powers and have been duly authorized by all necessary corporate or limited liability company action on the part of such Person, (ii) this Amendment is the legal, valid and binding obligation of each Loan Party enforceable against such Person in accordance with its terms and (iii) neither the execution, delivery or performance by each Loan Party of this Amendment (1) violates any law or regulation, or any order or decree of any governmental authority, (2) conflicts with or results in the breach or termination of, constitutes a default under or accelerates any performance required by, any indenture, mortgage, deed of trust, lease, agreement or other instrument to which such Person is a party or by which such Person or any of its property is bound, (3) results in the creation or imposition of any Lien upon any of the Collateral (other than any Lien in favor of the Lender), (4) violates or conflicts with the organizational or governing documentation of such Person, or (5) requires the consent, approval or authorization of, or declaration or filing with, any other Person, except for those already duly obtained.</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No amendment, restatement, supplement or other modification has been made to the certificate or articles of incorporation or organization of the Borrower or to the by-laws or operating, management or partnership agreement, or any other organizational or governing documents of the Borrower since May 19, 2021.</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become effective only upon the satisfaction in full, in a manner satisfactory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of the following conditions precedent (the first date upon which all such conditions have been satisfied being herein called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1304"/>
        <w:spacing w:after="0" w:line="266" w:lineRule="auto"/>
        <w:tabs>
          <w:tab w:leader="none" w:pos="16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The Administrative Agent shall have received each of the following, each in form and substance satisfactory to the Administrative Agent, in its sole discretion, and, where applicable, each duly executed by each party thereto, other than the Administrative Agent (each of which shall be deemed to constitute a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pursuant to the Credit Agreement):</w:t>
      </w:r>
    </w:p>
    <w:p>
      <w:pPr>
        <w:spacing w:after="0" w:line="175" w:lineRule="exact"/>
        <w:rPr>
          <w:rFonts w:ascii="Times New Roman" w:cs="Times New Roman" w:eastAsia="Times New Roman" w:hAnsi="Times New Roman"/>
          <w:sz w:val="18"/>
          <w:szCs w:val="18"/>
          <w:color w:val="auto"/>
        </w:rPr>
      </w:pPr>
    </w:p>
    <w:p>
      <w:pPr>
        <w:ind w:left="2180" w:hanging="390"/>
        <w:spacing w:after="0"/>
        <w:tabs>
          <w:tab w:leader="none" w:pos="21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or counterparts hereof; and</w:t>
      </w:r>
    </w:p>
    <w:p>
      <w:pPr>
        <w:spacing w:after="0" w:line="225"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2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instruments, and agreements as the Administrative Agent may reasonably request in connection with the transactions contemplated by this Amendment and the other Loan Documents, each in form and substance reasonably satisfactory to the Administrative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8" w:name="page19"/>
    <w:bookmarkEnd w:id="18"/>
    <w:p>
      <w:pPr>
        <w:ind w:right="20" w:firstLine="1304"/>
        <w:spacing w:after="0" w:line="282" w:lineRule="auto"/>
        <w:tabs>
          <w:tab w:leader="none" w:pos="16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After giving effect to this Amendment, no Default or Event of Default under the Credit Agreement, as amended hereby, shall have occurred and be continuing.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Warranties and Representations</w:t>
      </w:r>
      <w:r>
        <w:rPr>
          <w:rFonts w:ascii="Times New Roman" w:cs="Times New Roman" w:eastAsia="Times New Roman" w:hAnsi="Times New Roman"/>
          <w:sz w:val="18"/>
          <w:szCs w:val="18"/>
          <w:color w:val="auto"/>
        </w:rPr>
        <w:t>. After giving effect to this Amendment and the transactions contemplated hereby, the warranties and representations of the Loan Parties contained in the Loan Documents shall be true and correct in all material respects as of the Effective Date, with the same effect as though made on such date, except to the extent that such warranties and representations expressly relate to an earlier date, and all of such representations and warranties (except those relating to an earlier date) are hereby remade by the Loan Parties as of the Effective Date.</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7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Borrower shall have paid to Administrative Agent (i) an amendment fee in an amount equal to $35,000 and (ii) any fees and expenses owing to the Administrative Agent pursuant to Section 9.03(a) of the Credit Agreement.</w:t>
      </w:r>
    </w:p>
    <w:p>
      <w:pPr>
        <w:spacing w:after="0" w:line="15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u w:val="single" w:color="auto"/>
          <w:color w:val="auto"/>
        </w:rPr>
        <w:t>Ratification; Reference to and Effect on Loan Documents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1304"/>
        <w:spacing w:after="0" w:line="256" w:lineRule="auto"/>
        <w:tabs>
          <w:tab w:leader="none" w:pos="16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specifically amended above, the Credit Agreement and the other Loan Documents shall remain in full force and effect. Notwithstanding anything contained herein, the terms of this Amendment are not intended to and do not effect a novation of the Credit Agreement or any other Loan Document. Each of the Loan Parties hereby ratifies and reaffirms each of the terms and conditions of the Loan Documents to which it is a party and all of its obligations thereunder. Each of the Loan Parties hereby agrees that all liens and security interests securing payment of the Obligations under the Credit Agreement and each of the other Loan Documents are hereby collectively renewed, ratified and brought forward as security for the payment and performance of the Obligations.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Upon the effectiveness of this Amendment, each of the Loan Documents, including the Credit Agreement, and any and all other agreements, documents or instruments now or hereafter executed and delivered pursuant to the terms hereof or pursuant to the terms of the Credit Agreement, as amended hereby, are hereby amended so that any reference in such Loan Documents to the Credit Agreement shall mean a reference to the Credit Agreement, as amended hereby.</w:t>
      </w:r>
    </w:p>
    <w:p>
      <w:pPr>
        <w:spacing w:after="0" w:line="17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1304"/>
        <w:spacing w:after="0" w:line="282" w:lineRule="auto"/>
        <w:tabs>
          <w:tab w:leader="none" w:pos="16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Amendment shall be binding on and shall inure to the benefit of the Loan Parties, the Administrative Agent and their respective successors and assigns.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1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constitutes the entire agreement of the parties hereto with respect to the subject matter hereof and supersedes all other understandings, oral or written, with respect to the subject matter hereof.</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this Amendment are included herein for convenience of reference only and shall not constitute a part of this Amendment for any other purpose.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ind w:firstLine="1304"/>
        <w:spacing w:after="0" w:line="261" w:lineRule="auto"/>
        <w:tabs>
          <w:tab w:leader="none" w:pos="17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Amendment shall be interpreted in such a manner as to be effective and valid under applicable law, but if any provision of this Amendment shall be prohibited by or invalid under applicable law, such provision shall be ineffective to the extent of such prohibition or invalidity, without invalidating the remainder of such provision or the remaining provisions of this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separate original counterparts (or telecopied counterparts with original execution copy to follow) and by the different parties on separate counterparts, each of which shall be deemed to be an original, but all of such counterparts shall together constitute one agreement. Delivery of an executed counterpart of a signature page to this Amendment by telecopy shall be effective as delivery of a manually executed counterpart of this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Credit Agreement Provisions</w:t>
      </w:r>
      <w:r>
        <w:rPr>
          <w:rFonts w:ascii="Times New Roman" w:cs="Times New Roman" w:eastAsia="Times New Roman" w:hAnsi="Times New Roman"/>
          <w:sz w:val="18"/>
          <w:szCs w:val="18"/>
          <w:color w:val="auto"/>
        </w:rPr>
        <w:t>. The provisions contained in Section 9.09 (Governing Law; Jurisdiction; Consent to Service of Process) and Section 9.10 (Waiver of Jury Trial) of the Credit Agreement are incorporated herein by reference to the same extent as if reproduced herein in their entirety.</w:t>
      </w:r>
    </w:p>
    <w:p>
      <w:pPr>
        <w:spacing w:after="0" w:line="175" w:lineRule="exact"/>
        <w:rPr>
          <w:rFonts w:ascii="Times New Roman" w:cs="Times New Roman" w:eastAsia="Times New Roman" w:hAnsi="Times New Roman"/>
          <w:sz w:val="18"/>
          <w:szCs w:val="18"/>
          <w:color w:val="auto"/>
        </w:rPr>
      </w:pPr>
    </w:p>
    <w:p>
      <w:pPr>
        <w:jc w:val="both"/>
        <w:ind w:firstLine="1304"/>
        <w:spacing w:after="0" w:line="267" w:lineRule="auto"/>
        <w:tabs>
          <w:tab w:leader="none" w:pos="188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FOR AND IN CONSIDERATION OF LENDERS’ AGREEMENTS CONTAINED HEREIN, BORROWER, TOGETHER WITH ITS PARENTS, DIVISIONS, SUBSIDIARIES, AFFILIATES, MEMBERS, MANAGERS, PARTICIPANTS, PREDECESSORS, SUCCESSORS AND ASSIGNS, AND ITS CURRENT AND FORMER OFFICERS, SHAREHOLDERS, MEMBERS, MANAGERS, PARTNERS, AGENTS AND EMPLOYEES, AND ITS PREDECESSORS, SUCCESSORS, HEIRS AND ASSIGNS (INDIVIDUALLY AND COLLECTIVELY, “</w:t>
      </w:r>
      <w:r>
        <w:rPr>
          <w:rFonts w:ascii="Times New Roman" w:cs="Times New Roman" w:eastAsia="Times New Roman" w:hAnsi="Times New Roman"/>
          <w:sz w:val="17"/>
          <w:szCs w:val="17"/>
          <w:b w:val="1"/>
          <w:bCs w:val="1"/>
          <w:u w:val="single" w:color="auto"/>
          <w:color w:val="auto"/>
        </w:rPr>
        <w:t>RELEASORS</w:t>
      </w:r>
      <w:r>
        <w:rPr>
          <w:rFonts w:ascii="Times New Roman" w:cs="Times New Roman" w:eastAsia="Times New Roman" w:hAnsi="Times New Roman"/>
          <w:sz w:val="17"/>
          <w:szCs w:val="17"/>
          <w:color w:val="auto"/>
        </w:rPr>
        <w:t>”) HEREBY VOLUNTARILY AND KNOWINGLY RELEASES AND FOREVER WAIVES AND DISCHARGES LENDER AND EACH OF ITS PARENTS, DIVISIONS, SUBSIDIARIES, AFFILIATES, MEMBERS, MANAGERS, PARTICIPANTS, PREDECESSORS, SUCCESSORS AND ASSIGNS, AND EACH OF ITS CURRENT AND FORMER DIRECTORS, OFFICERS, SHAREHOLDERS, MEMBERS, MANAGERS, PARTNERS, AGENTS AND EMPLOYEES, AND EACH OF THEIR RESPECTIVE PREDECESSORS, SUCCESSORS, HEIRS AND ASSIGNS (INDIVIDUALLY AND COLLECTIVELY, THE “</w:t>
      </w:r>
      <w:r>
        <w:rPr>
          <w:rFonts w:ascii="Times New Roman" w:cs="Times New Roman" w:eastAsia="Times New Roman" w:hAnsi="Times New Roman"/>
          <w:sz w:val="17"/>
          <w:szCs w:val="17"/>
          <w:b w:val="1"/>
          <w:bCs w:val="1"/>
          <w:u w:val="single" w:color="auto"/>
          <w:color w:val="auto"/>
        </w:rPr>
        <w:t>RELEASED PARTIES</w:t>
      </w:r>
      <w:r>
        <w:rPr>
          <w:rFonts w:ascii="Times New Roman" w:cs="Times New Roman" w:eastAsia="Times New Roman" w:hAnsi="Times New Roman"/>
          <w:sz w:val="17"/>
          <w:szCs w:val="17"/>
          <w:color w:val="auto"/>
        </w:rPr>
        <w:t>”) FROM ALL POSSIBLE CLAIMS, COUNTERCLAIMS, DEMANDS, ACTIONS, CAUSES OF ACTION, DAMAGES, COSTS, EXPENSES AND LIABILITIES WHATSOEVER, WHETHER KNOWN OR UNKNOWN, ANTICIPATED OR UNANTICIPATED, SUSPECTED OR UNSUSPECTED, FIXED, CONTINGENT OR CONDITIONAL OR AT LAW OR IN EQUITY, IN ANY CASE ORIGINATING IN WHOLE OR IN PART ON OR BEFORE THE DATE THIS AMENDMENT IS EXECUTED THAT ANY OF THE RELEASORS MAY NOW OR HEREAFTER HAVE AGAINST THE RELEASED PARTIES, IF ANY, IRRESPECTIVE OF WHETHER ANY SUCH CLAIMS ARISE OUT OF CONTRACT, TORT, VIOLATION OF LAW OR REGULATIONS OR OTHERWISE, INCLUDING WITHOUT LIMITATION ARISING DIRECTLY OR INDIRECTLY FROM ANY LAWSUIT, ANY PRIOR OR EXISTING LOANS BETWEEN RELEASORS AND RELEASED PARTIES, ANY OF THE LOAN DOCUMENTS, THE EXERCISE OF ANY RIGHTS AND REMEDIES UNDER ANY OF THE LOAN DOCUMENTS AND/OR NEGOTIATION FOR AND EXECUTION OF THIS AMENDMENT, INCLUDING, WITHOUT LIMITATION, ANY CONTRACTING FOR, CHARGING, TAKING, RESERVING, COLLECTING OR RECEIVING INTEREST IN EXCESS OF THE HIGHEST LAWFUL RATE APPLICABLE. EACH OF THE RELEASORS WAIVES THE BENEFITS OF ANY LAW, WHICH MAY PROVIDE IN SUBSTANCE: “A GENERAL RELEASE DOES NOT EXTEND TO CLAIMS WHICH THE CREDITOR DOES NOT KNOW OR SUSPECT TO EXIST IN ITS FAVOR AT THE TIME OF EXECUTING THE RELEASE, WHICH IF KNOWN BY IT MUST HAVE MATERIALLY AFFECTED ITS SETTLEMENT WITH THE DEBTOR.” EACH OF THE RELEASORS UNDERSTANDS THE FACTS IT BELIEVES TO BE TRUE AT THE TIME OF MAKING THE RELEASE PROVIDED FOR HEREIN MAY LATER TURN OUT TO BE DIFFERENT THAN IT NOW BELIEVES, AND INFORMATION NOT NOW KNOWN OR SUSPECTED MAY LATER BE DISCOVERED. EACH OF THE RELEASORS ACCEPTS THIS POSSIBILITY, AND EACH OF THEM ASSUMES THE RISK OF THE FACTS TURNING OUT TO BE DIFFERENT AND NEW INFORMATION BEING DISCOVERED AND EACH OF THEM FURTHER AGREES THE RELEASE PROVIDED FOR HEREIN SHALL IN ALL RESPECTS CONTINUE TO BE EFFECTIVE AND NOT SUBJECT TO TERMINATION OR RESCISSION BECAUSE OF ANY DIFFERENCE IN SUCH FACTS OR ANY NEW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has been executed on the date first written above, to be effective upon satisfaction of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herein.</w:t>
      </w:r>
    </w:p>
    <w:p>
      <w:pPr>
        <w:spacing w:after="0" w:line="3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3488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LaRue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1" w:name="page22"/>
    <w:bookmarkEnd w:id="21"/>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individually and as Administrative Agent, Issuing Bank</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and Swingline Lender</w:t>
      </w:r>
    </w:p>
    <w:p>
      <w:pPr>
        <w:spacing w:after="0" w:line="200" w:lineRule="exact"/>
        <w:rPr>
          <w:sz w:val="20"/>
          <w:szCs w:val="20"/>
          <w:color w:val="auto"/>
        </w:rPr>
      </w:pPr>
    </w:p>
    <w:p>
      <w:pPr>
        <w:spacing w:after="0" w:line="2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Timothy Whitefoot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348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Timothy Whitefoot</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Authorized Officer</w:t>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irst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CONFORMED THROUGH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611505</wp:posOffset>
            </wp:positionV>
            <wp:extent cx="1705610" cy="402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7056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 CREDIT AGREEMENT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May 19, 2021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among</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Friedman Industries, Incorporated</w:t>
      </w:r>
    </w:p>
    <w:p>
      <w:pPr>
        <w:spacing w:after="0" w:line="23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each of the other Persons party hereto as a Borrower,</w:t>
      </w:r>
    </w:p>
    <w:p>
      <w:pPr>
        <w:spacing w:after="0" w:line="23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each of the Persons party hereto as a Loan Guarantor,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Sole Bookrunner and Sole Lead Arranger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 A&amp;R Credit Agreement – 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76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TABLE OF CONTENTS</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8760" w:type="dxa"/>
            <w:vAlign w:val="bottom"/>
          </w:tcPr>
          <w:p>
            <w:pPr>
              <w:spacing w:after="0"/>
              <w:rPr>
                <w:sz w:val="24"/>
                <w:szCs w:val="24"/>
                <w:color w:val="auto"/>
              </w:rPr>
            </w:pPr>
          </w:p>
        </w:tc>
        <w:tc>
          <w:tcPr>
            <w:tcW w:w="2500" w:type="dxa"/>
            <w:vAlign w:val="bottom"/>
            <w:gridSpan w:val="3"/>
          </w:tcPr>
          <w:p>
            <w:pPr>
              <w:ind w:left="214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
        </w:trPr>
        <w:tc>
          <w:tcPr>
            <w:tcW w:w="87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 Definitions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 Defined Terms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1.03. Terms Generally.</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1.04. Accounting Terms; GAAP</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1.05. Interest Rates; Benchmark Notifications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1.06. Reserved</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1.07. Status of Obligations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1.08. Letters of Credit</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1.09. Divisions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 The Credits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2.01. Commitments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2.03. Requests for Revolving Borrowings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2.04. Protective Advances.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2.05. Swingline Loans and Overadvances.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2.06. Letters of Credit</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2.07. Funding of Borrowings.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2.08. Interest Elections.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2.09. Termination of Commitments; Increase in Revolving Commitments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2.10. Repayment and Amortization of Loans; Evidence of Debt.</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2.11. Prepayment of Loans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2.12. Fees.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2.13. Interest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2.14. Alternate Rate of Interest; Illegality.</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2.15. Increased Costs.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2.16. Break Funding Payments.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2.17. Withholding of Taxes; Gross-Up.</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2.18. Payments Generally; Allocation of Proceeds; Sharing of Set-offs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2.20. Defaulting Lenders.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2.21. Returned Payments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2.22. Banking Services and Swap Agreements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ARTICLE III – Representations and Warranties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3.01. Organization; Powers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3.02. Authorization; Enforceability</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3.04. Financial Condition; No Material Adverse Change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3.05. Properties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3.06. Litigation and Environmental Matters.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3.07. Compliance with Laws and Agreements; No Default.</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3.08. Investment Company Status.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3.09. Taxes.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3.10. ERISA</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7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7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3.11. Disclosure.</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3.12. Material Agreements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3.13. Solvency.</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3.14. Insurance.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3.15. Capitalization and Subsidiaries.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3.16. Security Interest in Collateral</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3.17. Employment Matters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3.18. Margin Regulations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3.19. Use of Proceeds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3.20. No Burdensome Restrictions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3.21. Anti-Corruption Laws and Sanctions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3.22. Common Enterprise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3.23. EEA Financial Institutions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3.24. Plan Assets; Prohibited Transactions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3.25  Margin Regulations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IV - Conditions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4.01. Effective Date</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4.02. Each Credit Event.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 Affirmative Covenants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5.01. Financial Statements; Borrowing Base and Other Information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5.02. Notices of Material Events.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5.03. Existence; Conduct of Business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5.04. Payment of Obligations.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5.05. Maintenance of Properties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5.06. Books and Records; Inspection Rights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5.07. Compliance with Laws and Material Contractual Obligations.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5.08. Use of Proceeds.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5.09. Accuracy of Information.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5.10. Insurance.</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5.11. Casualty and Condemnation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5.12. Appraisals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5.13. Depository Banks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5.14. Additional Collateral; Further Assurances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5.15. Merger of Subsidiary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5.16. Insurance</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VI – Negative Covenants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6.01. Indebtedness.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6.02. Liens.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6.03. Fundamental Changes.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6.04. Investments, Loans, Advances, Guarantees and Acquisitions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6.05. Asset Sales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6.06. Sale and Leaseback Transactions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6.07. Swap Agreements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6.08. Restricted Payments; Certain Payments of Indebtedness.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6.09. Transactions with Affiliates.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6.10. Restrictive Agreements.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6.11. Amendment of Material Documents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6.13. Financial Covenants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 Events of Default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432"/>
        </w:trPr>
        <w:tc>
          <w:tcPr>
            <w:tcW w:w="86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2620" w:type="dxa"/>
            <w:vAlign w:val="bottom"/>
          </w:tcPr>
          <w:p>
            <w:pPr>
              <w:spacing w:after="0"/>
              <w:rPr>
                <w:sz w:val="24"/>
                <w:szCs w:val="24"/>
                <w:color w:val="auto"/>
              </w:rPr>
            </w:pPr>
          </w:p>
        </w:tc>
      </w:tr>
      <w:tr>
        <w:trPr>
          <w:trHeight w:val="115"/>
        </w:trPr>
        <w:tc>
          <w:tcPr>
            <w:tcW w:w="862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98"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 The Administrative Agent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8.01. Authorization and Action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8.02. Administrative Agent’s Reliance, Limitation of Liability, Etc.</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8.03. Posting of Communications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8.04. The Administrative Agent Individually</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8.05. Successor Administrative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8.06. Acknowledgements of Lenders and Issuing Bank</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8.07. Collateral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8.08. Credit Bidding</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8.09. Certain ERISA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8.10. Flood Laws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ARTICLE IX - Miscellaneous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9.01. Notices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9.02. Waivers; Amendments.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9.03. Expenses; Limitation of Liability; Indemnity; Etc.</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9.04. Successors and Assigns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9.05. Survival</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9.06. Counterparts; Integration; Effectiveness; Electronic Execution.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9.07. Severability</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9.08. Right of Setoff.</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9.09. Governing Law; Jurisdiction; Consent to Service of Process.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9.10. WAIVER OF JURY TRIAL.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9.11. Headings.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9.12. Confidentiality.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9.13. Several Obligations; Nonreliance; Violation of Law</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9.14. USA PATRIOT Act.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9.15. Disclosure</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9.16. Appointment for Perfection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9.17. Interest Rate Limitation</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9.18. Marketing Consent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9.19. Acknowledgement and Consent to Bail-In of EEA Financial Institutions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9.20. No Fiduciary Duty,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9.21. Acknowledgement Regarding Any Supported QFCs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9.22. Joint and Several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9.23. Renewal, Extension or Rearrangement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ARTICLE X – Loan Guaranty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10.01. Guaranty.</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10.02. Guaranty of Payment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10.03. No Discharge or Diminishment of Loan Guaranty</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10.04. Defenses Waived.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10.05. Rights of Subrogation</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10.06. Reinstatement; Stay of Acceleration.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10.07. Information</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10.08. 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10.09. Taxes.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432"/>
        </w:trPr>
        <w:tc>
          <w:tcPr>
            <w:tcW w:w="89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2280" w:type="dxa"/>
            <w:vAlign w:val="bottom"/>
          </w:tcPr>
          <w:p>
            <w:pPr>
              <w:spacing w:after="0"/>
              <w:rPr>
                <w:sz w:val="24"/>
                <w:szCs w:val="24"/>
                <w:color w:val="auto"/>
              </w:rPr>
            </w:pPr>
          </w:p>
        </w:tc>
      </w:tr>
      <w:tr>
        <w:trPr>
          <w:trHeight w:val="115"/>
        </w:trPr>
        <w:tc>
          <w:tcPr>
            <w:tcW w:w="89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98"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0" w:type="dxa"/>
            <w:vAlign w:val="bottom"/>
            <w:gridSpan w:val="1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10.10. Maximum Liability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020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SECTION 10.11. Contribution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0200" w:type="dxa"/>
            <w:vAlign w:val="bottom"/>
            <w:gridSpan w:val="1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10.12. Liability Cumulative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020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SECTION 10.13. Keepwell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02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 The Borrower Representative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20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SECTION 11.01. Appointment; Nature of Relationship</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200" w:type="dxa"/>
            <w:vAlign w:val="bottom"/>
            <w:gridSpan w:val="1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11.02. Powers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20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SECTION 11.03. Employment of Agents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200" w:type="dxa"/>
            <w:vAlign w:val="bottom"/>
            <w:gridSpan w:val="1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11.04. Notices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20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SECTION 11.05. Successor Borrower Representative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200" w:type="dxa"/>
            <w:vAlign w:val="bottom"/>
            <w:gridSpan w:val="1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11.06. Execution of Loan Documents; Borrowing Base Certificate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1020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SECTION 11.07. Reporting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73"/>
        </w:trPr>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20" w:type="dxa"/>
            <w:vAlign w:val="bottom"/>
            <w:gridSpan w:val="8"/>
          </w:tcPr>
          <w:p>
            <w:pPr>
              <w:jc w:val="center"/>
              <w:ind w:right="4040"/>
              <w:spacing w:after="0"/>
              <w:rPr>
                <w:sz w:val="20"/>
                <w:szCs w:val="20"/>
                <w:color w:val="auto"/>
              </w:rPr>
            </w:pPr>
            <w:r>
              <w:rPr>
                <w:rFonts w:ascii="Times New Roman" w:cs="Times New Roman" w:eastAsia="Times New Roman" w:hAnsi="Times New Roman"/>
                <w:sz w:val="18"/>
                <w:szCs w:val="18"/>
                <w:color w:val="auto"/>
                <w:w w:val="99"/>
              </w:rPr>
              <w:t>SCHEDULES:</w:t>
            </w:r>
          </w:p>
        </w:tc>
        <w:tc>
          <w:tcPr>
            <w:tcW w:w="1040" w:type="dxa"/>
            <w:vAlign w:val="bottom"/>
          </w:tcPr>
          <w:p>
            <w:pPr>
              <w:spacing w:after="0"/>
              <w:rPr>
                <w:sz w:val="24"/>
                <w:szCs w:val="24"/>
                <w:color w:val="auto"/>
              </w:rPr>
            </w:pPr>
          </w:p>
        </w:tc>
      </w:tr>
      <w:tr>
        <w:trPr>
          <w:trHeight w:val="218"/>
        </w:trPr>
        <w:tc>
          <w:tcPr>
            <w:tcW w:w="5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Commitment Schedule</w:t>
            </w:r>
          </w:p>
        </w:tc>
        <w:tc>
          <w:tcPr>
            <w:tcW w:w="1040" w:type="dxa"/>
            <w:vAlign w:val="bottom"/>
            <w:tcBorders>
              <w:top w:val="single" w:sz="8" w:color="auto"/>
            </w:tcBorders>
            <w:gridSpan w:val="7"/>
          </w:tcPr>
          <w:p>
            <w:pPr>
              <w:spacing w:after="0"/>
              <w:rPr>
                <w:sz w:val="18"/>
                <w:szCs w:val="18"/>
                <w:color w:val="auto"/>
              </w:rPr>
            </w:pPr>
          </w:p>
        </w:tc>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Properties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Disclosed Matters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Material Agreements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3.14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3.15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Capitalization and Subsidiaries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Existing Indebtedness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Existing Liens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Existing Investments</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Schedule 6.10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Existing Restrictions</w:t>
            </w:r>
          </w:p>
        </w:tc>
        <w:tc>
          <w:tcPr>
            <w:tcW w:w="1040" w:type="dxa"/>
            <w:vAlign w:val="bottom"/>
          </w:tcPr>
          <w:p>
            <w:pPr>
              <w:spacing w:after="0"/>
              <w:rPr>
                <w:sz w:val="20"/>
                <w:szCs w:val="20"/>
                <w:color w:val="auto"/>
              </w:rPr>
            </w:pPr>
          </w:p>
        </w:tc>
      </w:tr>
      <w:tr>
        <w:trPr>
          <w:trHeight w:val="823"/>
        </w:trPr>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gridSpan w:val="6"/>
          </w:tcPr>
          <w:p>
            <w:pPr>
              <w:jc w:val="center"/>
              <w:ind w:right="4140"/>
              <w:spacing w:after="0"/>
              <w:rPr>
                <w:sz w:val="20"/>
                <w:szCs w:val="20"/>
                <w:color w:val="auto"/>
              </w:rPr>
            </w:pPr>
            <w:r>
              <w:rPr>
                <w:rFonts w:ascii="Times New Roman" w:cs="Times New Roman" w:eastAsia="Times New Roman" w:hAnsi="Times New Roman"/>
                <w:sz w:val="18"/>
                <w:szCs w:val="18"/>
                <w:color w:val="auto"/>
              </w:rPr>
              <w:t>EXHIBITS:</w:t>
            </w:r>
          </w:p>
        </w:tc>
        <w:tc>
          <w:tcPr>
            <w:tcW w:w="1040" w:type="dxa"/>
            <w:vAlign w:val="bottom"/>
          </w:tcPr>
          <w:p>
            <w:pPr>
              <w:spacing w:after="0"/>
              <w:rPr>
                <w:sz w:val="24"/>
                <w:szCs w:val="24"/>
                <w:color w:val="auto"/>
              </w:rPr>
            </w:pPr>
          </w:p>
        </w:tc>
      </w:tr>
      <w:tr>
        <w:trPr>
          <w:trHeight w:val="4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820" w:type="dxa"/>
            <w:vAlign w:val="bottom"/>
            <w:tcBorders>
              <w:top w:val="single" w:sz="8" w:color="auto"/>
            </w:tcBorders>
            <w:gridSpan w:val="4"/>
          </w:tcPr>
          <w:p>
            <w:pPr>
              <w:spacing w:after="0"/>
              <w:rPr>
                <w:sz w:val="24"/>
                <w:szCs w:val="24"/>
                <w:color w:val="auto"/>
              </w:rPr>
            </w:pPr>
          </w:p>
        </w:tc>
        <w:tc>
          <w:tcPr>
            <w:tcW w:w="420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Form of Borrowing Base Certificate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Joinder Agreement</w:t>
            </w:r>
          </w:p>
        </w:tc>
        <w:tc>
          <w:tcPr>
            <w:tcW w:w="1040" w:type="dxa"/>
            <w:vAlign w:val="bottom"/>
          </w:tcPr>
          <w:p>
            <w:pPr>
              <w:spacing w:after="0"/>
              <w:rPr>
                <w:sz w:val="18"/>
                <w:szCs w:val="18"/>
                <w:color w:val="auto"/>
              </w:rPr>
            </w:pPr>
          </w:p>
        </w:tc>
      </w:tr>
      <w:tr>
        <w:trPr>
          <w:trHeight w:val="194"/>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Exhibit E-1</w:t>
            </w:r>
          </w:p>
        </w:tc>
        <w:tc>
          <w:tcPr>
            <w:tcW w:w="30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line="194" w:lineRule="exact"/>
              <w:rPr>
                <w:sz w:val="20"/>
                <w:szCs w:val="20"/>
                <w:color w:val="auto"/>
              </w:rPr>
            </w:pPr>
            <w:r>
              <w:rPr>
                <w:rFonts w:ascii="Times New Roman" w:cs="Times New Roman" w:eastAsia="Times New Roman" w:hAnsi="Times New Roman"/>
                <w:sz w:val="18"/>
                <w:szCs w:val="18"/>
                <w:color w:val="auto"/>
              </w:rPr>
              <w:t>U.S. Tax Certificate (For Foreign Lenders that are not Partnerships for U.S. Federal Income Tax Purposes)</w:t>
            </w:r>
          </w:p>
        </w:tc>
        <w:tc>
          <w:tcPr>
            <w:tcW w:w="1040" w:type="dxa"/>
            <w:vAlign w:val="bottom"/>
          </w:tcPr>
          <w:p>
            <w:pPr>
              <w:spacing w:after="0"/>
              <w:rPr>
                <w:sz w:val="16"/>
                <w:szCs w:val="16"/>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Exhibit E-2</w:t>
            </w:r>
          </w:p>
        </w:tc>
        <w:tc>
          <w:tcPr>
            <w:tcW w:w="3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line="196" w:lineRule="exact"/>
              <w:rPr>
                <w:sz w:val="20"/>
                <w:szCs w:val="20"/>
                <w:color w:val="auto"/>
              </w:rPr>
            </w:pPr>
            <w:r>
              <w:rPr>
                <w:rFonts w:ascii="Times New Roman" w:cs="Times New Roman" w:eastAsia="Times New Roman" w:hAnsi="Times New Roman"/>
                <w:sz w:val="18"/>
                <w:szCs w:val="18"/>
                <w:color w:val="auto"/>
              </w:rPr>
              <w:t>U.S. Tax Certificate (For Foreign Participants that are not Partnerships for U.S. Federal Income Tax Purposes)</w:t>
            </w:r>
          </w:p>
        </w:tc>
        <w:tc>
          <w:tcPr>
            <w:tcW w:w="10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Exhibit E-3</w:t>
            </w:r>
          </w:p>
        </w:tc>
        <w:tc>
          <w:tcPr>
            <w:tcW w:w="3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line="196" w:lineRule="exact"/>
              <w:rPr>
                <w:sz w:val="20"/>
                <w:szCs w:val="20"/>
                <w:color w:val="auto"/>
              </w:rPr>
            </w:pPr>
            <w:r>
              <w:rPr>
                <w:rFonts w:ascii="Times New Roman" w:cs="Times New Roman" w:eastAsia="Times New Roman" w:hAnsi="Times New Roman"/>
                <w:sz w:val="18"/>
                <w:szCs w:val="18"/>
                <w:color w:val="auto"/>
              </w:rPr>
              <w:t>U.S. Tax Certificate (For Foreign Participants that are Partnerships for U.S. Federal Income Tax Purposes)</w:t>
            </w:r>
          </w:p>
        </w:tc>
        <w:tc>
          <w:tcPr>
            <w:tcW w:w="10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Exhibit E-4</w:t>
            </w:r>
          </w:p>
        </w:tc>
        <w:tc>
          <w:tcPr>
            <w:tcW w:w="3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20" w:type="dxa"/>
            <w:vAlign w:val="bottom"/>
            <w:gridSpan w:val="11"/>
          </w:tcPr>
          <w:p>
            <w:pPr>
              <w:ind w:left="100"/>
              <w:spacing w:after="0" w:line="196" w:lineRule="exact"/>
              <w:rPr>
                <w:sz w:val="20"/>
                <w:szCs w:val="20"/>
                <w:color w:val="auto"/>
              </w:rPr>
            </w:pPr>
            <w:r>
              <w:rPr>
                <w:rFonts w:ascii="Times New Roman" w:cs="Times New Roman" w:eastAsia="Times New Roman" w:hAnsi="Times New Roman"/>
                <w:sz w:val="18"/>
                <w:szCs w:val="18"/>
                <w:color w:val="auto"/>
              </w:rPr>
              <w:t>U.S. Tax Certificate (For Foreign that are Partnerships for U.S. Federal Income Tax Purposes)</w:t>
            </w:r>
          </w:p>
        </w:tc>
        <w:tc>
          <w:tcPr>
            <w:tcW w:w="1040" w:type="dxa"/>
            <w:vAlign w:val="bottom"/>
          </w:tcPr>
          <w:p>
            <w:pPr>
              <w:spacing w:after="0"/>
              <w:rPr>
                <w:sz w:val="17"/>
                <w:szCs w:val="17"/>
                <w:color w:val="auto"/>
              </w:rPr>
            </w:pPr>
          </w:p>
        </w:tc>
      </w:tr>
      <w:tr>
        <w:trPr>
          <w:trHeight w:val="453"/>
        </w:trPr>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40" w:type="dxa"/>
            <w:vAlign w:val="bottom"/>
            <w:gridSpan w:val="7"/>
          </w:tcPr>
          <w:p>
            <w:pPr>
              <w:jc w:val="center"/>
              <w:ind w:left="69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10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98" w:right="339" w:bottom="1440" w:gutter="0" w:footer="0" w:header="0"/>
        </w:sectPr>
      </w:pPr>
    </w:p>
    <w:bookmarkStart w:id="28" w:name="page29"/>
    <w:bookmarkEnd w:id="2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AMENDED AND RESTATED CREDIT AGREEMENT dated as of May 19, 2021 (as it may be amended or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Friedman Industries, Incorporated,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other Person joined hereto from time to time as a borrower (together with the Company,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hereto, the Lenders party hereto, and JPMORGAN CHASE BANK, N.A., as Administrative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Lenders have extended to the Company a line of credit in an amount not to exceed $20,000,000 at one time outstanding pursuant to that certain Credit Agreement, dated March 4, 2021, by and between the Company and the Lenders, as amended by that certain First Amendment to Credit Agreement, dated April 12, 2021, by and between the Company and the Lenders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amounts advanced to the Company by the Lenders pursuant to the Existing Credit Agreement are evidenced by, and are payable in accordance with the terms of, that certain Line of Credit Note, dated March 4, 2021 and executed by the Company, as amended by that certain Note Modification Agreement, dated April 12, 2021, by and between the Company and the Lenders (the “</w:t>
      </w:r>
      <w:r>
        <w:rPr>
          <w:rFonts w:ascii="Times New Roman" w:cs="Times New Roman" w:eastAsia="Times New Roman" w:hAnsi="Times New Roman"/>
          <w:sz w:val="18"/>
          <w:szCs w:val="18"/>
          <w:u w:val="single" w:color="auto"/>
          <w:color w:val="auto"/>
        </w:rPr>
        <w:t>Existing Note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other Loan Parties desire to amend and restate the Existing Credit Agreement in the form of this Agreement, and in connection therewith, repay all indebtedness outstanding under the Existing Note.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NOW, THEREFORE, in consideration of the mutual covenants and agreements herein contained, the Borrowers, the Loan Parties, Administrative Agent and Lenders hereby agree that the Existing Credit Agreement is hereby amended and restated in its entirety on the terms and conditions set forth herein. It is the intention of the Borrowers, the Loan Parties, Administrative Agent and Lenders that this Agreement supersede and replace the Existing Credit Agreement in its entirety;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 such amendment and restatement shall operate to renew, amend and modify the rights and obligations of the parties under the Existing Credit Agreement, as applicable and as provided herein, but shall not effect a novation thereof, and (b) the liens securing the Obligations under and as defined in the Existing Credit Agreement shall not be extinguished, but shall be carried forward and shall secure such Obligations as renewed, amended, restated, modified and increased hereby. The Borrowers, the Loan Parties, Administrative Agent and Lenders hereby further agree as follows: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As used in this Agreement, the following terms have the meanings specified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means any Person obligated on an Account.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any series of related transactions, consummated on or after the Effective Date, by which any Loan Party</w:t>
      </w:r>
    </w:p>
    <w:p>
      <w:pPr>
        <w:spacing w:after="0" w:line="27" w:lineRule="exact"/>
        <w:rPr>
          <w:sz w:val="20"/>
          <w:szCs w:val="20"/>
          <w:color w:val="auto"/>
        </w:rPr>
      </w:pPr>
    </w:p>
    <w:p>
      <w:pPr>
        <w:jc w:val="both"/>
        <w:ind w:firstLine="8"/>
        <w:spacing w:after="0" w:line="253"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means an interest rate per annum equal to (a) the Daily Simple SOFR, plus (b) 0.10%; provided that if the Adjusted Daily Simple SOFR as so determined would be less than the Floor, such rate shall be deemed to be equal to the Floor for the purposes of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for any Interest Period, an interest rate per annum equal to (a) the Term SOFR Rate for such Interest Period, plus (b) 0.10%, provided that if the Adjusted Term SOFR Rate as so determined would be less than the Floor, such rate shall be deemed to be equal to the Floor for purposes of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JPMorgan Chase Bank, N.A. (or any of its designated branch offices or affiliates), in its capacity as administrative agent for the Lenders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has the meaning assigned to it in Section 9.03(d).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Credit Exposure</w:t>
      </w:r>
      <w:r>
        <w:rPr>
          <w:rFonts w:ascii="Times New Roman" w:cs="Times New Roman" w:eastAsia="Times New Roman" w:hAnsi="Times New Roman"/>
          <w:sz w:val="18"/>
          <w:szCs w:val="18"/>
          <w:color w:val="auto"/>
        </w:rPr>
        <w:t>” means, at any time, the aggregate Credit Exposure of all the Lenders at such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Commitment</w:t>
      </w:r>
      <w:r>
        <w:rPr>
          <w:rFonts w:ascii="Times New Roman" w:cs="Times New Roman" w:eastAsia="Times New Roman" w:hAnsi="Times New Roman"/>
          <w:sz w:val="18"/>
          <w:szCs w:val="18"/>
          <w:color w:val="auto"/>
        </w:rPr>
        <w:t>” means, at any time, the aggregate of the Revolving Commitments of all of the Lenders, as increased or reduced from time to time pursuant to the terms and conditions hereof. As of the First Amendment Effective Date, the Aggregate Revolving Commitment is $75,000,000.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Exposure</w:t>
      </w:r>
      <w:r>
        <w:rPr>
          <w:rFonts w:ascii="Times New Roman" w:cs="Times New Roman" w:eastAsia="Times New Roman" w:hAnsi="Times New Roman"/>
          <w:sz w:val="18"/>
          <w:szCs w:val="18"/>
          <w:color w:val="auto"/>
        </w:rPr>
        <w:t>” means, at any time, the aggregate Revolving Exposure of all the Lenders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9.06(b).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any Borrower or any of its Subsidiaries from time to time concerning or relating to bribery or corruption.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has the meaning assigned to it in Section 8.03(c).</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(a) with respect to Revolving Loans, LC Exposure, Overadvances or Swingline Loans, a percentage equal to a fraction the numerator of which is such Lender's Revolving Commitment and the denominator of which is the Aggregate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Revolving Commitments have terminated or expired, the Applicable Percentages shall be determined based upon such Lender’s share of the Aggregate Revolving Exposure at that time), and (b) with respect to Protective Advances or with respect to the Aggregate Credit Exposure, a percentage based upon its share of the Aggregate Credit Exposure and the unused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accordance with Section 2.20, so long as any Lender shall be a Defaulting Lender, such Defaulting Lender’s Commitment shall be disregarded in the calculations under clauses (a) and (b)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with respect to any Loan, or with respect to the commitment fees payable hereunder, as the case may be, the applicable rate per annum set forth under the applicable caption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right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right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right w:val="single" w:sz="8" w:color="auto"/>
            </w:tcBorders>
          </w:tcPr>
          <w:p>
            <w:pPr>
              <w:spacing w:after="0"/>
              <w:rPr>
                <w:sz w:val="3"/>
                <w:szCs w:val="3"/>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Revolver</w:t>
            </w:r>
          </w:p>
        </w:tc>
        <w:tc>
          <w:tcPr>
            <w:tcW w:w="1460" w:type="dxa"/>
            <w:vAlign w:val="bottom"/>
            <w:tcBorders>
              <w:right w:val="single" w:sz="8" w:color="auto"/>
            </w:tcBorders>
            <w:gridSpan w:val="2"/>
          </w:tcPr>
          <w:p>
            <w:pPr>
              <w:spacing w:after="0"/>
              <w:rPr>
                <w:sz w:val="13"/>
                <w:szCs w:val="13"/>
                <w:color w:val="auto"/>
              </w:rPr>
            </w:pPr>
          </w:p>
        </w:tc>
        <w:tc>
          <w:tcPr>
            <w:tcW w:w="1300" w:type="dxa"/>
            <w:vAlign w:val="bottom"/>
          </w:tcPr>
          <w:p>
            <w:pPr>
              <w:spacing w:after="0"/>
              <w:rPr>
                <w:sz w:val="13"/>
                <w:szCs w:val="13"/>
                <w:color w:val="auto"/>
              </w:rPr>
            </w:pPr>
          </w:p>
        </w:tc>
        <w:tc>
          <w:tcPr>
            <w:tcW w:w="2580" w:type="dxa"/>
            <w:vAlign w:val="bottom"/>
            <w:tcBorders>
              <w:right w:val="single" w:sz="8" w:color="auto"/>
            </w:tcBorders>
            <w:gridSpan w:val="6"/>
          </w:tcPr>
          <w:p>
            <w:pPr>
              <w:jc w:val="center"/>
              <w:ind w:right="1320"/>
              <w:spacing w:after="0" w:line="156" w:lineRule="exact"/>
              <w:rPr>
                <w:sz w:val="20"/>
                <w:szCs w:val="20"/>
                <w:color w:val="auto"/>
              </w:rPr>
            </w:pPr>
            <w:r>
              <w:rPr>
                <w:rFonts w:ascii="Times New Roman" w:cs="Times New Roman" w:eastAsia="Times New Roman" w:hAnsi="Times New Roman"/>
                <w:sz w:val="18"/>
                <w:szCs w:val="18"/>
                <w:color w:val="auto"/>
                <w:w w:val="99"/>
              </w:rPr>
              <w:t>Revolver</w:t>
            </w:r>
          </w:p>
        </w:tc>
        <w:tc>
          <w:tcPr>
            <w:tcW w:w="3760" w:type="dxa"/>
            <w:vAlign w:val="bottom"/>
            <w:tcBorders>
              <w:right w:val="single" w:sz="8" w:color="auto"/>
            </w:tcBorders>
            <w:gridSpan w:val="3"/>
          </w:tcPr>
          <w:p>
            <w:pPr>
              <w:ind w:left="1040"/>
              <w:spacing w:after="0" w:line="156" w:lineRule="exact"/>
              <w:rPr>
                <w:sz w:val="20"/>
                <w:szCs w:val="20"/>
                <w:color w:val="auto"/>
              </w:rPr>
            </w:pPr>
            <w:r>
              <w:rPr>
                <w:rFonts w:ascii="Times New Roman" w:cs="Times New Roman" w:eastAsia="Times New Roman" w:hAnsi="Times New Roman"/>
                <w:sz w:val="18"/>
                <w:szCs w:val="18"/>
                <w:color w:val="auto"/>
              </w:rPr>
              <w:t>Commitment Fee Rate</w:t>
            </w: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r>
      <w:tr>
        <w:trPr>
          <w:trHeight w:val="196"/>
        </w:trPr>
        <w:tc>
          <w:tcPr>
            <w:tcW w:w="40" w:type="dxa"/>
            <w:vAlign w:val="bottom"/>
            <w:tcBorders>
              <w:right w:val="single" w:sz="8" w:color="auto"/>
            </w:tcBorders>
            <w:shd w:val="clear" w:color="auto" w:fill="000000"/>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CBFR Spread</w:t>
            </w:r>
          </w:p>
        </w:tc>
        <w:tc>
          <w:tcPr>
            <w:tcW w:w="128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580" w:type="dxa"/>
            <w:vAlign w:val="bottom"/>
            <w:tcBorders>
              <w:right w:val="single" w:sz="8" w:color="auto"/>
            </w:tcBorders>
            <w:gridSpan w:val="6"/>
          </w:tcPr>
          <w:p>
            <w:pPr>
              <w:jc w:val="center"/>
              <w:ind w:right="1340"/>
              <w:spacing w:after="0" w:line="196" w:lineRule="exact"/>
              <w:rPr>
                <w:sz w:val="20"/>
                <w:szCs w:val="20"/>
                <w:color w:val="auto"/>
              </w:rPr>
            </w:pPr>
            <w:r>
              <w:rPr>
                <w:rFonts w:ascii="Times New Roman" w:cs="Times New Roman" w:eastAsia="Times New Roman" w:hAnsi="Times New Roman"/>
                <w:sz w:val="18"/>
                <w:szCs w:val="18"/>
                <w:color w:val="auto"/>
                <w:w w:val="98"/>
              </w:rPr>
              <w:t>Term Benchmark</w:t>
            </w: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196"/>
        </w:trPr>
        <w:tc>
          <w:tcPr>
            <w:tcW w:w="40" w:type="dxa"/>
            <w:vAlign w:val="bottom"/>
            <w:tcBorders>
              <w:top w:val="single" w:sz="8" w:color="auto"/>
              <w:right w:val="single" w:sz="8" w:color="auto"/>
            </w:tcBorders>
            <w:shd w:val="clear" w:color="auto" w:fill="000000"/>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3"/>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auto"/>
                <w:w w:val="99"/>
              </w:rPr>
              <w:t>Spread</w:t>
            </w:r>
          </w:p>
        </w:tc>
        <w:tc>
          <w:tcPr>
            <w:tcW w:w="134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0"/>
        </w:trPr>
        <w:tc>
          <w:tcPr>
            <w:tcW w:w="40" w:type="dxa"/>
            <w:vAlign w:val="bottom"/>
            <w:tcBorders>
              <w:top w:val="single" w:sz="8" w:color="auto"/>
              <w:bottom w:val="single" w:sz="8" w:color="auto"/>
              <w:right w:val="single" w:sz="8" w:color="auto"/>
            </w:tcBorders>
            <w:shd w:val="clear" w:color="auto" w:fill="000000"/>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0.25%</w:t>
            </w:r>
          </w:p>
        </w:tc>
        <w:tc>
          <w:tcPr>
            <w:tcW w:w="16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it in Section 8.03(a).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assigned to such term in Section 9.04.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JPMorgan Chase Bank, N.A. in its capacity as sole bookrunner and sole lead arranger 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records generated by the use of an electronic platform) approved by the Administrative Agent.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means, at any time, an amount equal to (a) the lesser of (i) the Aggregate Revolving Commitment and (ii) the Borrowing Base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Aggregate Revolving Exposure, all as determined by the Administrative Agent in its sole discretion.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Commitments.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Revolving Commitment</w:t>
      </w:r>
      <w:r>
        <w:rPr>
          <w:rFonts w:ascii="Times New Roman" w:cs="Times New Roman" w:eastAsia="Times New Roman" w:hAnsi="Times New Roman"/>
          <w:sz w:val="18"/>
          <w:szCs w:val="18"/>
          <w:color w:val="auto"/>
        </w:rPr>
        <w:t xml:space="preserve">” means, at any time, the Aggregate Revolving Commitment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Aggregate Revolving Exposure.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(g) of Section 2.14.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any Loan Party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cash pooling services, and interstate depository network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the Loan Parties, whether absolute or contingent and howsoever and whensoever created, arising, evidenced or acquired (including all renewals, extensions and modifications thereof and substitutions therefor) in connection with Banking Services.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Reserves</w:t>
      </w:r>
      <w:r>
        <w:rPr>
          <w:rFonts w:ascii="Times New Roman" w:cs="Times New Roman" w:eastAsia="Times New Roman" w:hAnsi="Times New Roman"/>
          <w:sz w:val="18"/>
          <w:szCs w:val="18"/>
          <w:color w:val="auto"/>
        </w:rPr>
        <w:t>” means all Reserves which the Administrative Agent from time to time establishes in its Permitted Discretion for Banking Services then provided or outstanding.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Term Benchmark Loan, the Term SOFR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Daily Simple SOFR or Term SOFR Rate or the then-current Benchmark, then “Benchmark” means the applicable Benchmark Replacement to the extent that such Benchmark Replacement has replaced such prior benchmark rate pursuant to clause (b) of Section 2.14.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207" w:lineRule="exact"/>
        <w:rPr>
          <w:sz w:val="20"/>
          <w:szCs w:val="20"/>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Daily Simple SOFR;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both"/>
        <w:ind w:firstLine="656"/>
        <w:spacing w:after="0" w:line="258" w:lineRule="auto"/>
        <w:tabs>
          <w:tab w:leader="none" w:pos="11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3"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any technical, administrative or operational changes (including changes to the definitions of “CB Floating Rate,” and “CBFR”,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2" w:lineRule="exact"/>
        <w:rPr>
          <w:sz w:val="20"/>
          <w:szCs w:val="20"/>
          <w:color w:val="auto"/>
        </w:rPr>
      </w:pPr>
    </w:p>
    <w:p>
      <w:pPr>
        <w:jc w:val="both"/>
        <w:ind w:firstLine="656"/>
        <w:spacing w:after="0" w:line="266" w:lineRule="auto"/>
        <w:tabs>
          <w:tab w:leader="none" w:pos="114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12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any respect of any determination, the Benchmark Replacement Date will be deemed to have occurred prior to the Reference Time for such determination and (ii) the “Benchmark Replacement Date” will be deemed to have occurred in the case of clause (1) or (2) with respect to any such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2" w:lineRule="exact"/>
        <w:rPr>
          <w:sz w:val="20"/>
          <w:szCs w:val="20"/>
          <w:color w:val="auto"/>
        </w:rPr>
      </w:pPr>
    </w:p>
    <w:p>
      <w:pPr>
        <w:jc w:val="both"/>
        <w:ind w:firstLine="656"/>
        <w:spacing w:after="0" w:line="261" w:lineRule="auto"/>
        <w:tabs>
          <w:tab w:leader="none" w:pos="10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of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1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date will no longer be, representative.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Blocking Regulation</w:t>
      </w:r>
      <w:r>
        <w:rPr>
          <w:rFonts w:ascii="Times New Roman" w:cs="Times New Roman" w:eastAsia="Times New Roman" w:hAnsi="Times New Roman"/>
          <w:sz w:val="18"/>
          <w:szCs w:val="18"/>
          <w:color w:val="auto"/>
        </w:rPr>
        <w:t>” has the meaning assigned to it in Section 3.21.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have the meanings assigned to such terms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has the meaning assigned to such term in Section 11.01.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Borrowing, (b) a Swingline Loan, (c) a Protective Advance and (d) an Overadvance.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xml:space="preserve">” means, at any time, the sum of (a) 85% of the Borrowers’ Eligible Accounts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product of 85%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the Net Orderly Liquidation Value percentage identified in the most recent inventory appraisal ordered by the Administrative Agent</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the Borrowers’ Eligible Inventory, valued at the lower of cost or market value, determined on a weighted average cost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M&amp;E Component at such time,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(d) Reserves.</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Borrowing Base at any time shall be determined by reference to the most recent Borrowing Base Certificate delivered to the Administrative Agent pursuant to Section 5.01(g) of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means a certificate, signed and certified as accurate and complete by a Financial Officer of the Borrower Representative,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another form which is acceptable to the Administrative Agent in its sole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Borrower Representative for a Revolving Borrowing in accordance with Section 2.03.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Restrictions</w:t>
      </w:r>
      <w:r>
        <w:rPr>
          <w:rFonts w:ascii="Times New Roman" w:cs="Times New Roman" w:eastAsia="Times New Roman" w:hAnsi="Times New Roman"/>
          <w:sz w:val="18"/>
          <w:szCs w:val="18"/>
          <w:color w:val="auto"/>
        </w:rPr>
        <w:t>” means any consensual encumbrance or restriction of the type described in clause (a) or (b) of Section 6.10.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or Chicago.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without duplication, any expenditure or commitment to expend money for any purchase or other acquisition of any asset which would be classified as a fixed or capital asset on a consolidated balance sheet of the Company and its Subsidiaries prepared in accordance with GAAP.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 Floating Rate</w:t>
      </w:r>
      <w:r>
        <w:rPr>
          <w:rFonts w:ascii="Times New Roman" w:cs="Times New Roman" w:eastAsia="Times New Roman" w:hAnsi="Times New Roman"/>
          <w:sz w:val="18"/>
          <w:szCs w:val="18"/>
          <w:color w:val="auto"/>
        </w:rPr>
        <w:t>” means, the greater of the Prime Rate or 2.5%. Any change in the CB Floating Rate due to a change in the Prime Rate shall be effective from and including the effective date of such change in the Prime Rate.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CBFR</w:t>
      </w:r>
      <w:r>
        <w:rPr>
          <w:rFonts w:ascii="Times New Roman" w:cs="Times New Roman" w:eastAsia="Times New Roman" w:hAnsi="Times New Roman"/>
          <w:sz w:val="18"/>
          <w:szCs w:val="18"/>
          <w:color w:val="auto"/>
        </w:rPr>
        <w:t>”, when used in reference to: (a) a rate of interest, refers to the CB Floating Rate, and (b) any Loan or Borrowing, refers to whether such Loan, or the Loans comprising such Borrowing, bear interest at a rate determined by reference to the CB Floating Rate.</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the acquisition of ownership, directly or indirectly, beneficially or of record, by any Person or group (within the meaning of the Securities Exchange Act of 1934 and the rules of the SEC thereunder as in effect on the date hereof) other than Permitted Holders, of Equity Interests representing more than 30% of the aggregate ordinary voting power represented by the issued and outstanding Equity Interests of the Company;</w:t>
      </w:r>
    </w:p>
    <w:p>
      <w:pPr>
        <w:spacing w:after="0" w:line="1" w:lineRule="exact"/>
        <w:rPr>
          <w:sz w:val="20"/>
          <w:szCs w:val="20"/>
          <w:color w:val="auto"/>
        </w:rPr>
      </w:pPr>
    </w:p>
    <w:p>
      <w:pPr>
        <w:jc w:val="both"/>
        <w:ind w:firstLine="8"/>
        <w:spacing w:after="0" w:line="252" w:lineRule="auto"/>
        <w:tabs>
          <w:tab w:leader="none" w:pos="2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occupation at any time of a majority of the seats (other than vacant seats) on the board of directors of the Company by Persons who were not (i) directors of the Company on the date of this Agreement, nominated, appointed or approved for consideration by shareholders for election by the board of directors of the Company (ii) approved by the board of directors of the Company as director candidates prior to their election, nor (iii) appointed by directors so nominated, appointed or approved; or (c) the acquisition of direct or indirect Control of the Company by any Person or group (within the meaning of the Securities Exchange Act of 1934 and the rules of the SEC thereunder as in effect on the date hereof) other than Permitted Holders; or (d) the Company shall cease to own, directly or indirectly, free and clear of all Liens or other encumbrances, at least 100% of the outstanding voting Equity Interests of the other Loan Parties on a fully diluted basis.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Swingline Loans, Protective Advances or Overadvances.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SOFR (or a successor administrator).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Administrative Agent, on behalf of itself and the Lenders and other Secured Parties, to secure the Secured Obligations, provided that, Collateral shall not include any real property owned by such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Access Agreement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theretofore, now or hereafter executed by any Loan Party and delivered to the Administrative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 Account</w:t>
      </w:r>
      <w:r>
        <w:rPr>
          <w:rFonts w:ascii="Times New Roman" w:cs="Times New Roman" w:eastAsia="Times New Roman" w:hAnsi="Times New Roman"/>
          <w:sz w:val="18"/>
          <w:szCs w:val="18"/>
          <w:color w:val="auto"/>
        </w:rPr>
        <w:t>” has the meaning assigned to such term in the Security 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Commercial LC Exposure</w:t>
      </w:r>
      <w:r>
        <w:rPr>
          <w:rFonts w:ascii="Times New Roman" w:cs="Times New Roman" w:eastAsia="Times New Roman" w:hAnsi="Times New Roman"/>
          <w:sz w:val="17"/>
          <w:szCs w:val="17"/>
          <w:color w:val="auto"/>
        </w:rPr>
        <w:t xml:space="preserve">” means, at any time, the sum of (a) the aggregate undrawn amount of all outstanding commercial Letters of Credit </w:t>
      </w:r>
      <w:r>
        <w:rPr>
          <w:rFonts w:ascii="Times New Roman" w:cs="Times New Roman" w:eastAsia="Times New Roman" w:hAnsi="Times New Roman"/>
          <w:sz w:val="17"/>
          <w:szCs w:val="17"/>
          <w:i w:val="1"/>
          <w:iCs w:val="1"/>
          <w:u w:val="single" w:color="auto"/>
          <w:color w:val="auto"/>
        </w:rPr>
        <w:t>plus</w:t>
      </w:r>
    </w:p>
    <w:p>
      <w:pPr>
        <w:spacing w:after="0" w:line="41" w:lineRule="exact"/>
        <w:rPr>
          <w:sz w:val="20"/>
          <w:szCs w:val="20"/>
          <w:color w:val="auto"/>
        </w:rPr>
      </w:pPr>
    </w:p>
    <w:p>
      <w:pPr>
        <w:jc w:val="both"/>
        <w:ind w:firstLine="8"/>
        <w:spacing w:after="0" w:line="255" w:lineRule="auto"/>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LC Disbursements relating to commercial Letters of Credit that have not yet been reimbursed by or on behalf of the Borrowers. The Commercial LC Exposure of any Revolving Lender at any time shall be its Applicable Percentage of the aggregate Commercial LC Exposure at such time.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sum of such Lender’s Revolving Commitment, together with the commitment of such Lender to acquire participations in Protective Advances hereunder. The initial amount of each Lender's Commitment is set forth on the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or in the Assignment and Assumption or other documentation or record (as such term is defined in Section 9-102(a)(70) of the New York Uniform Commercial Code) as provided in Section 9.04(b)(ii)(C), pursuant to which such Lender shall have assumed its Commitment, as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means the Schedule attached hereto identified as such.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Commodities Intermediary</w:t>
      </w:r>
      <w:r>
        <w:rPr>
          <w:rFonts w:ascii="Times New Roman" w:cs="Times New Roman" w:eastAsia="Times New Roman" w:hAnsi="Times New Roman"/>
          <w:sz w:val="18"/>
          <w:szCs w:val="18"/>
          <w:color w:val="auto"/>
        </w:rPr>
        <w:t>” has the meaning assigned to such term in Section 8.03(c)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Commodities Intermediary Account</w:t>
      </w:r>
      <w:r>
        <w:rPr>
          <w:rFonts w:ascii="Times New Roman" w:cs="Times New Roman" w:eastAsia="Times New Roman" w:hAnsi="Times New Roman"/>
          <w:sz w:val="18"/>
          <w:szCs w:val="18"/>
          <w:color w:val="auto"/>
        </w:rPr>
        <w:t>” has the meaning assigned to such term in Section 4.01(j).</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has the meaning assigned to such term in Section 4.01(j).</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recitals to this Agreement.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of a Financial Officer of the Borrower Representative in substantially the form of 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Disbursement Account</w:t>
      </w:r>
      <w:r>
        <w:rPr>
          <w:rFonts w:ascii="Times New Roman" w:cs="Times New Roman" w:eastAsia="Times New Roman" w:hAnsi="Times New Roman"/>
          <w:sz w:val="18"/>
          <w:szCs w:val="18"/>
          <w:color w:val="auto"/>
        </w:rPr>
        <w:t>” means the account maintained with the Administrative Agent having an account # ending in -6576, and any replacement or additional accounts of the Borrowers maintained with the Administrative Agent as a zero balance, cash management account pursuant to and under any agreement between a Borrower and the Administrative Agent, as modified and amended from time to time, and through which all disbursements of a Borrower, any other Loan Party and any designated Subsidiary of a Borrower are made and settled on a daily basis with no uninvested balance remaining overnight.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as to any Lender at any time, the sum of such Lender’s Revolving Exposure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the Issuing Bank, the Swingline Lender or any other Lender.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that is five (5) U.S. Government Securities Business Days prior to (i)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Deficiency Funding Date</w:t>
      </w:r>
      <w:r>
        <w:rPr>
          <w:rFonts w:ascii="Times New Roman" w:cs="Times New Roman" w:eastAsia="Times New Roman" w:hAnsi="Times New Roman"/>
          <w:sz w:val="18"/>
          <w:szCs w:val="18"/>
          <w:color w:val="auto"/>
        </w:rPr>
        <w:t>” has the meaning assigned to such term in Section 2.05(a).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Account Debtor</w:t>
      </w:r>
      <w:r>
        <w:rPr>
          <w:rFonts w:ascii="Times New Roman" w:cs="Times New Roman" w:eastAsia="Times New Roman" w:hAnsi="Times New Roman"/>
          <w:sz w:val="18"/>
          <w:szCs w:val="18"/>
          <w:color w:val="auto"/>
        </w:rPr>
        <w:t>” means any Account Debtor obligated with respect to Accounts having 90-day payment terms that is approved in writing by Administrative Agent in its sole discretion, and for which such approval has not been rescinded in writing by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Matters</w:t>
      </w:r>
      <w:r>
        <w:rPr>
          <w:rFonts w:ascii="Times New Roman" w:cs="Times New Roman" w:eastAsia="Times New Roman" w:hAnsi="Times New Roman"/>
          <w:sz w:val="18"/>
          <w:szCs w:val="18"/>
          <w:color w:val="auto"/>
        </w:rPr>
        <w:t xml:space="preserve">” means the actions, suits, proceedings and environmental matters disclosed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has the meaning assigned to it in the definition of “Division.”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 Successor</w:t>
      </w:r>
      <w:r>
        <w:rPr>
          <w:rFonts w:ascii="Times New Roman" w:cs="Times New Roman" w:eastAsia="Times New Roman" w:hAnsi="Times New Roman"/>
          <w:sz w:val="18"/>
          <w:szCs w:val="18"/>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a jurisdiction located in the U.S.</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means, for any period, Net Income for such period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 without duplication and to the extent deducted in determining Net Income for such period, the sum of (i) Interest Expense for such period, (ii) income tax expense for such period net of tax refunds, (iii) all amounts attributable to depreciation and amortization expense for such period, (iv) any extraordinary non-cash charges for such period and (v) any other non-cash charges for such period (but excluding any non-cash charge in respect of an item that was included in Net Income in a prior period and any non-cash charge that relates to the write-down or write-off of inventory),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without duplication and to the extent included in Net Income, (i) any cash payments made during such period in respect of non-cash charges described in clause (a)(v) taken in a prior period and (ii) any extraordinary gains and any non-cash items of income for such period, all calculated for the Company and its Subsidiaries on a consolidated basis in accordance with GAAP.</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firstLine="8"/>
        <w:spacing w:after="0" w:line="260" w:lineRule="auto"/>
        <w:tabs>
          <w:tab w:leader="none" w:pos="2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specified in Section 4.01 are satisfied (or waived in accordance with Section 9.02).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web portal access for such Borrower and any other Internet or extranet-based site, whether such electronic system is owned, operated or hosted by the Administrative Agent or any Issuing Bank and any of its respective Related Parties or any other Person, providing for access to data protected by passcodes or other security system.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Accounts</w:t>
      </w:r>
      <w:r>
        <w:rPr>
          <w:rFonts w:ascii="Times New Roman" w:cs="Times New Roman" w:eastAsia="Times New Roman" w:hAnsi="Times New Roman"/>
          <w:sz w:val="18"/>
          <w:szCs w:val="18"/>
          <w:color w:val="auto"/>
        </w:rPr>
        <w:t>” means, at any time, the Accounts of a Borrower which the Administrative Agent determines in its Permitted Discretion are eligible as the basis for the extension of Revolving Loans and Swingline Loans and the issuance of Letters of Credit. Without limiting the Administrative Agent’s discretion provided herein, Eligible Accounts shall not include any Account of a Borrower:</w:t>
      </w:r>
    </w:p>
    <w:p>
      <w:pPr>
        <w:spacing w:after="0" w:line="176" w:lineRule="exact"/>
        <w:rPr>
          <w:sz w:val="20"/>
          <w:szCs w:val="20"/>
          <w:color w:val="auto"/>
        </w:rPr>
      </w:pPr>
    </w:p>
    <w:p>
      <w:pPr>
        <w:ind w:left="1900" w:hanging="596"/>
        <w:spacing w:after="0"/>
        <w:tabs>
          <w:tab w:leader="none" w:pos="1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subject to a first priority perfected security interest in favor of the Administrative Agent;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Lien other than (i) a Lien in favor of the Administrative Agent and (ii) a Permitted Encumbrance which does not have priority over the Lien in favor of the Administrative Agent;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with respect to which the scheduled due date is more than 60 days (or, with respect to Accounts owing by any Designated Account Debtor, 90 days) after the date of the original invoice therefor, (ii) which is unpaid more than 90 days after the date of the original invoice therefor or more than 60 days after the original due date therefor (“Overage”),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when calculating the amount under this clause (ii), for the same Account Debtor, the Administrative Agent shall include the net amount of such Overage and add back any credits, but only to the extent that such credits do not exceed the total gross receivables from such Account Debtor, or (iii) which has been written off the books of such Borrower or otherwise designated as uncollectible;</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208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owing by an Account Debtor for which more than 50% of the Accounts owing from such Account Debtor and its Affiliates are ineligible pursuant to clause (c) above;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owing by an Account Debtor to the extent the aggregate amount of Accounts owing from such Account Debtor and its Affiliates to all Borrowers exceeds 20% of the aggregate amount of Eligible Accounts of all Borrowers;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covenant, representation or warranty contained in this Agreement or in the Security Agreement has been breached or is not true in each case in any material respect (other than any covenant, representation or warranty that is expressly qualified by a Material Adverse Effect or other materiality, in which case such covenant, representation or warranty shall be true and correct in all respects);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9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 does not arise from the sale of goods or performance of services in the ordinary course of business, (ii) is not evidenced by an invoice or other documentation satisfactory to the Administrative Agent which has been sent to the Account Debtor, (iii) represents a progress billing, (iv) is contingent upon such Borrower’s completion of any further performance, (v) represents a sale on a bill-and-hold, guaranteed sale, sale-and-return, sale on approval, consignment, cash-on-delivery or any other repurchase or return basis or (vi) relates to payments of interest;</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9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goods giving rise to such Account have not been shipped to the Account Debtor or for which the services giving rise to such Account have not been performed by such Borrower or if such Account was invoiced more than once;</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check or other instrument of payment has been returned uncollected for any reason;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which has (i) applied for, suffered, or consented to the appointment of any receiver, custodian, trustee, or liquidator of its assets, (ii)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any state or federal bankruptcy laws, (iv) admitted in writing its inability, or is generally unable to, pay its debts as they become due, (v) become insolvent, or (vi) ceased operation of its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ind w:left="800" w:hanging="616"/>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any Account Debtor which has sold all or substantially all of its assets;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which (i) does not maintain its chief executive office in the U.S. or Canada or (ii) is not organized under applicable law of the U.S., any state of the U.S., or the District of Columbia, Canada, or any province of Canada unless, in any such case, such Account is backed by a Letter of Credit acceptable to the Administrative Agent which is in the possession of, and is directly drawable by, the Administrative Agent;</w:t>
      </w:r>
    </w:p>
    <w:p>
      <w:pPr>
        <w:spacing w:after="0" w:line="179"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in any currency other than U.S. dollars;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4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is owed by (i) any government (or any department, agency, public corporation, or instrumentality thereof) of any country other than the U.S. unless such Account is backed by a Letter of Credit acceptable to the Administrative Agent which is in the possession of, and is directly drawable by, the Administrative Agent, or (ii) any government of the U.S., or any department, agency, public corporation, or instrumentality thereof, unless the Federal Assignment of Claims Act of 1940, as amended (31 U.S.C. § 3727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and 41 U.S.C. § 15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and any other steps necessary to perfect the Lien of the Administrative Agent in such Account have been complied with to the Administrative Agent’s satisfaction;</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8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any Affiliate of any Loan Party or any employee, officer, director, agent or stockholder of any Loan Party or any of its Affiliates;</w:t>
      </w:r>
    </w:p>
    <w:p>
      <w:pPr>
        <w:spacing w:after="0" w:line="161"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for any Account Debtor, exceeds a credit limit determined by the Administrative Agent, to the extent of such excess;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8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counterclaim, deduction, defense, setoff or dispute (in each case, only to the extent of such counterclaim, deduction, defense, setoff or dispute);</w:t>
      </w:r>
    </w:p>
    <w:p>
      <w:pPr>
        <w:spacing w:after="0" w:line="161" w:lineRule="exact"/>
        <w:rPr>
          <w:rFonts w:ascii="Times New Roman" w:cs="Times New Roman" w:eastAsia="Times New Roman" w:hAnsi="Times New Roman"/>
          <w:sz w:val="18"/>
          <w:szCs w:val="18"/>
          <w:color w:val="auto"/>
        </w:rPr>
      </w:pPr>
    </w:p>
    <w:p>
      <w:pPr>
        <w:ind w:left="780" w:hanging="59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evidenced by any promissory note, chattel paper or instrument;</w:t>
      </w:r>
    </w:p>
    <w:p>
      <w:pPr>
        <w:spacing w:after="0" w:line="225"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9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(i) located in any jurisdiction which requires filing of a “Notice of Business Activities Report” or other similar report in order to permit such Borrower to seek judicial enforcement in such jurisdiction of payment of such Account, unless such Borrower has filed such report or qualified to do business in such jurisdiction or (ii) which is a Sanctioned Person;</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such Borrower has made any agreement with the Account Debtor for any reduction thereof, other than discounts and adjustments given in the ordinary course of business and only to the extent of such reduction, or any Account which was partially paid and such Borrower created a new receivable for the unpaid portion of such Account;</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42" w:name="page43"/>
    <w:bookmarkEnd w:id="42"/>
    <w:p>
      <w:pPr>
        <w:jc w:val="both"/>
        <w:ind w:left="660" w:firstLine="644"/>
        <w:spacing w:after="0" w:line="266" w:lineRule="auto"/>
        <w:tabs>
          <w:tab w:leader="none" w:pos="20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does not comply in all material respects with the requirements of all applicable laws and regulations, whether Federal, state or local, including without limitation the Federal Consumer Credit Protection Act, the Federal Truth in Lending Act and Regulation Z of the Board;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for goods that have been sold under a purchase order or pursuant to the terms of a contract or other agreement or understanding (written or oral) that indicates or purports that any Person other than such Borrower has or has had an ownership interest in such goods, or which indicates any party other than such Borrower as payee or remittance party;</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was created on cash on delivery terms;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acquired in connection with a Permitted Acquisition, (i) the Administrative Agent shall have received a field examination of such Account, the results of which shall are satisfactory to the Administrative Agent and (ii) such Account does not secure any Indebtedness permitted by Section 6.01(j); or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3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Administrative Agent determines may not be paid by reason of the Account Debtor’s inability to pay or which the Administrative Agent otherwise reasonably determines is unacceptable for any reason whatsoever.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an Account of a Borrower which was previously an Eligible Account ceases to be an Eligible Account hereunder, such Borrower or the Borrower Representative shall notify the Administrative Agent thereof on and at the time of submission to the Administrative Agent of the next Borrowing Base Certificate. In determining the amount of an Eligible Account of a Borrower,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such Borrower may be obligated to rebate to an Account Debtor pursuant to the terms of any agreement or understanding (written or oral)) and</w:t>
      </w:r>
    </w:p>
    <w:p>
      <w:pPr>
        <w:spacing w:after="0" w:line="5" w:lineRule="exact"/>
        <w:rPr>
          <w:sz w:val="20"/>
          <w:szCs w:val="20"/>
          <w:color w:val="auto"/>
        </w:rPr>
      </w:pPr>
    </w:p>
    <w:p>
      <w:pPr>
        <w:ind w:left="660" w:right="460" w:hanging="652"/>
        <w:spacing w:after="0" w:line="490" w:lineRule="auto"/>
        <w:tabs>
          <w:tab w:leader="none" w:pos="2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cash received in respect of such Account but not yet applied by such Borrower to reduce the amount of such Account. “</w:t>
      </w:r>
      <w:r>
        <w:rPr>
          <w:rFonts w:ascii="Times New Roman" w:cs="Times New Roman" w:eastAsia="Times New Roman" w:hAnsi="Times New Roman"/>
          <w:sz w:val="18"/>
          <w:szCs w:val="18"/>
          <w:u w:val="single" w:color="auto"/>
          <w:color w:val="auto"/>
        </w:rPr>
        <w:t>Eligible Equipment</w:t>
      </w:r>
      <w:r>
        <w:rPr>
          <w:rFonts w:ascii="Times New Roman" w:cs="Times New Roman" w:eastAsia="Times New Roman" w:hAnsi="Times New Roman"/>
          <w:sz w:val="18"/>
          <w:szCs w:val="18"/>
          <w:color w:val="auto"/>
        </w:rPr>
        <w:t>” means the Equipment owned by a Borrower and meeting each of the following requirements:</w:t>
      </w:r>
    </w:p>
    <w:p>
      <w:pPr>
        <w:ind w:left="660" w:firstLine="1292"/>
        <w:spacing w:after="0" w:line="282" w:lineRule="auto"/>
        <w:tabs>
          <w:tab w:leader="none" w:pos="241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have received the results of an appraisal with respect to such Equipment, conducted by an appraiser selected and engaged by the Administrative Agent, and prepared on a basis satisfactory to the Administrative Agent;</w:t>
      </w:r>
    </w:p>
    <w:p>
      <w:pPr>
        <w:spacing w:after="0" w:line="16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has good title to such Equipment;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6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has the right to subject such Equipment to a Lien in favor of the Administrative Agent; such Equipment is subject to a first priority perfected Lien in favor of the Administrative Agent and is free and clear of all other Liens of any nature whatsoever (except for Permitted Encumbrances which do not have priority over the Lien in favor of the Administrative Agent);</w:t>
      </w:r>
    </w:p>
    <w:p>
      <w:pPr>
        <w:spacing w:after="0" w:line="17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purchase price for such Equipment has been paid by such Borrower;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7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Equipment is located on premises (i) owned by such Borrower, or (ii) leased by such Borrower where (x) the lessor has delivered to the Administrative Agent a Collateral Access Agreement or (y) a Reserve for rent, charges, and other amounts due or to become due with respect to such facility has been established by the Administrative Agent in its sole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ind w:left="660" w:firstLine="1292"/>
        <w:spacing w:after="0" w:line="282" w:lineRule="auto"/>
        <w:tabs>
          <w:tab w:leader="none" w:pos="23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Equipment is in good working order and condition (ordinary wear and tear excepted) and is used or held for use by such Borrower in the ordinary course of business of such Borrower;</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Equipment (i) is not subject to any agreement which restricts the ability of such Borrower to use, sell, transport or dispose of such Equipment or which restricts the Administrative Agent's ability to take possession of, sell or otherwise dispose of such Equipment and (ii) has not been purchased from a Sanctioned Person; and</w:t>
      </w:r>
    </w:p>
    <w:p>
      <w:pPr>
        <w:spacing w:after="0" w:line="17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Equipment does not constitute “Fixtures” under the applicable laws of the jurisdiction in which such Equipment 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Finished Goods</w:t>
      </w:r>
      <w:r>
        <w:rPr>
          <w:rFonts w:ascii="Times New Roman" w:cs="Times New Roman" w:eastAsia="Times New Roman" w:hAnsi="Times New Roman"/>
          <w:sz w:val="18"/>
          <w:szCs w:val="18"/>
          <w:color w:val="auto"/>
        </w:rPr>
        <w:t>” means, Eligible Inventory constituting finished goods to be sold by a Borrower in the ordinary course of business of such Borrower.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Inventory</w:t>
      </w:r>
      <w:r>
        <w:rPr>
          <w:rFonts w:ascii="Times New Roman" w:cs="Times New Roman" w:eastAsia="Times New Roman" w:hAnsi="Times New Roman"/>
          <w:sz w:val="18"/>
          <w:szCs w:val="18"/>
          <w:color w:val="auto"/>
        </w:rPr>
        <w:t>” means, at any time, the Inventory of a Borrower which the Administrative Agent determines in its Permitted Discretion is eligible as the basis for the extension of Revolving Loans and Swingline Loans and the issuance of Letters of Credit. Without limiting the Administrative Agent’s discretion provided herein, Eligible Inventory of a Borrower shall not include any Inventory:</w:t>
      </w:r>
    </w:p>
    <w:p>
      <w:pPr>
        <w:spacing w:after="0" w:line="176" w:lineRule="exact"/>
        <w:rPr>
          <w:sz w:val="20"/>
          <w:szCs w:val="20"/>
          <w:color w:val="auto"/>
        </w:rPr>
      </w:pPr>
    </w:p>
    <w:p>
      <w:pPr>
        <w:ind w:left="2560" w:hanging="608"/>
        <w:spacing w:after="0"/>
        <w:tabs>
          <w:tab w:leader="none" w:pos="2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subject to a first priority perfected Lien in favor of the Administrative Agent;</w:t>
      </w:r>
    </w:p>
    <w:p>
      <w:pPr>
        <w:spacing w:after="0" w:line="225" w:lineRule="exact"/>
        <w:rPr>
          <w:rFonts w:ascii="Times New Roman" w:cs="Times New Roman" w:eastAsia="Times New Roman" w:hAnsi="Times New Roman"/>
          <w:sz w:val="18"/>
          <w:szCs w:val="18"/>
          <w:color w:val="auto"/>
        </w:rPr>
      </w:pPr>
    </w:p>
    <w:p>
      <w:pPr>
        <w:ind w:left="660" w:firstLine="1292"/>
        <w:spacing w:after="0" w:line="282" w:lineRule="auto"/>
        <w:tabs>
          <w:tab w:leader="none" w:pos="25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Lien other than (i) a Lien in favor of the Administrative Agent and (ii) a Permitted Encumbrance which does not have priority over the Lien in favor of the Administrative Agent;</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 the Administrative Agent’s Permitted Discretion, slow moving, obsolete, unmerchantable, defective, used, unfit for sale, not salable at prices approximating at least the cost of such Inventory in the ordinary course of business or unacceptable due to age, type, category and/or quantity;</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8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covenant, representation or warranty contained in this Agreement or in the Security Agreement has been breached or is not true in each case in any material respect (other than any covenant, representation or warranty that is expressly qualified by a Material Adverse Effect or other materiality, in which case such covenant, representation or warranty shall be true and correct in all respects) and which does not conform in all material respects to all standards imposed by any Governmental Authority;</w:t>
      </w:r>
    </w:p>
    <w:p>
      <w:pPr>
        <w:spacing w:after="0" w:line="179"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6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Person other than such Borrower shall (i) have any direct or indirect ownership, interest or title or (ii) be indicated on any purchase order or invoice with respect to such Inventory as having or purporting to have an interest therein;</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unless such Inventory is Eligible Finished Goods or Eligible Raw Materials, does not constitute finished goods, work-in-process, raw materials,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left="2560" w:hanging="608"/>
        <w:spacing w:after="0"/>
        <w:tabs>
          <w:tab w:leader="none" w:pos="2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located in the U.S. or is in transit with a common carrier from vendors and suppliers.</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located in any location leased by such Borrower unless (i) the lessor has delivered to the Administrative Agent a Collateral Access Agreement or (ii) a Reserve for rent, charges and other amounts due or to become due with respect to such facility has been established by the Administrative Agent in its sole discretion;</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3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located in any third party warehouse or is in the possession of a bailee (other than a third party processor) and is not evidenced by a Document, unless (i) such warehouseman or bailee has delivered to the Administrative Agent a Collateral Access Agreement and such other documentation as the Administrative Agent may require or (ii) an appropriate Reserve has been established by the Administrative Agent in its sole discretion;</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5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being processed offsite at a third party location or outside processor, or is in-transit to or from such third party location or outside processor;</w:t>
      </w:r>
    </w:p>
    <w:p>
      <w:pPr>
        <w:spacing w:after="0" w:line="161"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discontinued product or component thereof;</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the subject of a consignment by such Borrower as consignor;</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perishable;</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contains or bears any intellectual property rights licensed to such Borrower unless the Administrative Agent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179"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reflected in a current perpetual inventory report of such Borrower;</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reclamation rights have been asserted by the seller;</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been acquired from a Sanctioned Person;</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acquired in connection with a Permitted Acquisition, (i) the Administrative Agent shall have received an appraisal and field examination of such Inventory, the results of which shall be satisfactory to the Administrative Agent in its Permitted Discretion and (ii) such Inventory does not secure any Indebtedness permitted by Section 6.01(j); and</w:t>
      </w:r>
    </w:p>
    <w:p>
      <w:pPr>
        <w:spacing w:after="0" w:line="17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Administrative Agent otherwise determines in its Permitted Discretion is unacceptable for any reason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whatsoever.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Inventory of a Borrower which was previously Eligible Inventory ceases to be Eligible Inventory hereunder, such Borrower or the Borrower Representative shall notify the Administrative Agent thereof on and at the time of submission to the Administrative Agent of the next Borrowing Base Certificate.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Raw Materials</w:t>
      </w:r>
      <w:r>
        <w:rPr>
          <w:rFonts w:ascii="Times New Roman" w:cs="Times New Roman" w:eastAsia="Times New Roman" w:hAnsi="Times New Roman"/>
          <w:sz w:val="18"/>
          <w:szCs w:val="18"/>
          <w:color w:val="auto"/>
        </w:rPr>
        <w:t>” means, Eligible Inventory of a Borrower constituting raw materials used or consumed by a Borrower in the ordinary course of business in the manufacture or production of other inventory, excluding Eligible Finished Goods of such Borrower.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in any way to (a) the environment, (b) preservation or reclamation of natural resources, (c) the management, Release or threatened Release of any Hazardous Material or (d) health and safety matters.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any Borrower or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76"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any Borrower or any ERISA Affiliate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ERISA Affiliate of any liability with respect to the withdrawal or partial withdrawal of any Borrower or any ERISA Affiliate from any Plan or Multiemployer Plan; or (g) the receipt by any Borrower or any ERISA Affiliate of any notice, or the receipt by any Multiemployer Plan from any Borrower or any ERISA Affiliate of any notice, concerning the imposition upon any Borrower or any ERISA Affiliate of Withdrawal Liability or a determination that a Multiemployer Plan is, or is expected to be, insolvent, in critical status or in reorganization, within the meaning of Title IV of ERISA.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Availability</w:t>
      </w:r>
      <w:r>
        <w:rPr>
          <w:rFonts w:ascii="Times New Roman" w:cs="Times New Roman" w:eastAsia="Times New Roman" w:hAnsi="Times New Roman"/>
          <w:sz w:val="18"/>
          <w:szCs w:val="18"/>
          <w:color w:val="auto"/>
        </w:rPr>
        <w:t xml:space="preserve">” means, at any time, an amount equal to (a) Availability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aggregate amount of all outstanding trade payables of the Borrowers which have been unpaid for more than 60 days after the due date therefor (other than trade payables being contested or disputed in good faith), all as determined by the Administrative Agent in its sole discretion.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50" w:lineRule="auto"/>
        <w:tabs>
          <w:tab w:leader="none" w:pos="2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Section 2.19)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attributable to such Recipient's failure to comply with Section 2.17(f); and (d) any withholding Taxes imposed under FATCA.</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Extenuating Circumstance</w:t>
      </w:r>
      <w:r>
        <w:rPr>
          <w:rFonts w:ascii="Times New Roman" w:cs="Times New Roman" w:eastAsia="Times New Roman" w:hAnsi="Times New Roman"/>
          <w:sz w:val="18"/>
          <w:szCs w:val="18"/>
          <w:color w:val="auto"/>
        </w:rPr>
        <w:t>” means any period during which the Administrative Agent has determined in its sole discretion (a) that due to unforeseen and/or nonrecurring circumstances, it is impractical and/or not feasible to submit or receive a Borrowing Request or Interest Election Request by email or fax or through Electronic System, and (b) to accept a Borrowing Request or Interest Election Request telephonically.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the purposes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that certain Fee Letter by and among Administrative Agent and the Borrowers, dated as of May 19, 2021, as the same may be amended, restated,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a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means March 11, 2022.</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xml:space="preserve">” means, at any date, the ratio of (a) EBITDA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Unfinanced Capital Expenditures to (b) Fixed Charges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an amount equal to the M&amp;E Component Reduction for such period, all calculated for the period of twelve consecutive calendar months ended on such date (or, if such date is not the last day of a calendar month, ended on the last day of the calendar month most recently ended prior to such date).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xml:space="preserve">” means, for any period, without duplication, cash Interest Expense,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scheduled principal payments on Indebtedness actually made,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expenses for Taxes paid in cash,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Restricted Payments paid in cash,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Capital Lease Obligation payments,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cash contributions to any Plan, all calculated for the Company and its Subsidiaries on a consolidated basis in accordance with GAAP.</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has the meaning assigned to such term in Section 8.10.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or the Adjusted Daily Simple SOFR as of the First Amendment Effective Date shall be 0%.</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which is not a Domestic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Accounts</w:t>
      </w:r>
      <w:r>
        <w:rPr>
          <w:rFonts w:ascii="Times New Roman" w:cs="Times New Roman" w:eastAsia="Times New Roman" w:hAnsi="Times New Roman"/>
          <w:sz w:val="18"/>
          <w:szCs w:val="18"/>
          <w:color w:val="auto"/>
        </w:rPr>
        <w:t>” has the meaning assigned to such term in Section 4.01(h).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spacing w:after="0" w:line="3" w:lineRule="exact"/>
        <w:rPr>
          <w:sz w:val="20"/>
          <w:szCs w:val="20"/>
          <w:color w:val="auto"/>
        </w:rPr>
      </w:pPr>
    </w:p>
    <w:p>
      <w:pPr>
        <w:jc w:val="both"/>
        <w:ind w:firstLine="8"/>
        <w:spacing w:after="0" w:line="255" w:lineRule="auto"/>
        <w:tabs>
          <w:tab w:leader="none" w:pos="2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assigned to such term in Section 10.01.</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IBA</w:t>
      </w:r>
      <w:r>
        <w:rPr>
          <w:rFonts w:ascii="Times New Roman" w:cs="Times New Roman" w:eastAsia="Times New Roman" w:hAnsi="Times New Roman"/>
          <w:sz w:val="18"/>
          <w:szCs w:val="18"/>
          <w:color w:val="auto"/>
        </w:rPr>
        <w:t>” has the meaning assigned to such term in Section 1.05.</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under any earn-out (which for all purposes of this Agreement shall be valued at the maximum potential amount payable with respect to such earn-out) (l) any other Off-Balance Sheet Liability and (m)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the foregoing clause (a) hereof,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9.03(c).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9.12.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Representative to convert or continue a Borrowing in accordance with Section 2.08.</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means, for any period, total interest expense (including that attributable to Capital Lease Obligations) of the Company and its Subsidiaries for such period with respect to all outstanding Indebtedness of the Company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on a consolidated basis for the Company and its Subsidiaries for such period in accordance with GAAP.</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CBFR Loan (other than a Swingline Loan), the first Business Day of each calendar month and the Maturity Date, and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Representative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2.14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individually and collectively, each of JPMCB, in its capacity as the issuer of Letters of Credit hereunder and any other Revolving Lender from time to time designated by the Borrower Representative as an Issuing Bank, with the consent of such Revolving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 Sublimit</w:t>
      </w:r>
      <w:r>
        <w:rPr>
          <w:rFonts w:ascii="Times New Roman" w:cs="Times New Roman" w:eastAsia="Times New Roman" w:hAnsi="Times New Roman"/>
          <w:sz w:val="18"/>
          <w:szCs w:val="18"/>
          <w:color w:val="auto"/>
        </w:rPr>
        <w:t>” means, as of the Effective Date, (a) $1,500,000, in the case of JPMCB and (b) such amount as shall be designated to the Administrative Agent and the Borrower Representative in writing by an Issuing Bank; provided that any Issuing Bank shall be permitted at any time to increase or reduce its Issuing Bank Sublimit upon providing five (5) days’ prior written notice thereof to the Administrative Agent and the Borrower Representative.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means a Joinder Agreement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JPMCB</w:t>
      </w:r>
      <w:r>
        <w:rPr>
          <w:rFonts w:ascii="Times New Roman" w:cs="Times New Roman" w:eastAsia="Times New Roman" w:hAnsi="Times New Roman"/>
          <w:sz w:val="18"/>
          <w:szCs w:val="18"/>
          <w:color w:val="auto"/>
        </w:rPr>
        <w:t>” means JPMorgan Chase Bank, N.A., a national banking association, in its individual capacity, and its successors.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has the meaning assigned to such term in Section 2.06(j).</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any payment made by an Issuing Bank pursuant to a Letter of Credit.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the Commercial LC Exposure and the Standby LC Exposure at such time. The LC Exposure of any Revolving Lender at any time shall be its Applicable Percentage of the aggregate LC Exposure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has the meaning assigned to such term in Section 9.03(b).</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and any other Person that shall have become a Lender hereunder pursuant to Section 2.09 or an Assignment and Assumption or otherwise, other than any such Person that ceases to be a Lender hereunder pursuant to an Assignment and Assumption or otherwise. Unless the context otherwise requires, the term “Lenders” includes the Swingline Lender and the Issuing Bank.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means the letters of credit issued pursuant to this Agreement, and the term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one of them or each of them singularly, as the context may require.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has the meaning assigned to it in Section 2.06(b).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any promissory notes issued pursuant to this Agreement, any Letter of Credit Agreement, the Collateral Documents, each Compliance Certificate, the Loan Guaranty, the Fee Letter and all other agreements, instruments, documents and certificates executed and delivered to, or in favor of, the Administrative Agent or any Lender and including all other pledges, powers of attorney, consents, assignments, contracts, notices, letter of credit agreements, letter of credit applications and any agreements between the Borrower Representative and the Issuing Bank regarding the Issuing Bank’s Issuing Bank Sublimit or the respective rights and obligations between the applicable Borrower and the Issuing Bank in connection with the issuance by the Issuing Bank of Letters of Credit,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Guarantor</w:t>
      </w:r>
      <w:r>
        <w:rPr>
          <w:rFonts w:ascii="Times New Roman" w:cs="Times New Roman" w:eastAsia="Times New Roman" w:hAnsi="Times New Roman"/>
          <w:sz w:val="18"/>
          <w:szCs w:val="18"/>
          <w:color w:val="auto"/>
        </w:rPr>
        <w:t>” means each Loan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Borrowers, the Borrowers’ Domestic Subsidiaries and any other Person who becomes a party to this Agreement pursuant to a Joinder Agreement and their respective successors and assigns, and the term “Loan Party” shall mean any one of them or all of them individually, as the context may require.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 including Swingline Loans, Overadvances and Protective Advances.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M&amp;E Component</w:t>
      </w:r>
      <w:r>
        <w:rPr>
          <w:rFonts w:ascii="Times New Roman" w:cs="Times New Roman" w:eastAsia="Times New Roman" w:hAnsi="Times New Roman"/>
          <w:sz w:val="18"/>
          <w:szCs w:val="18"/>
          <w:color w:val="auto"/>
        </w:rPr>
        <w:t>” means, at the time of any determination, an amount equal to the lessor of (a) 85% of the Net Orderly Liquidation Value of the Borrowers’ Eligible Equipment and (b) the M&amp;E Component Limit.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M&amp;E Component shall be updated (i) from time to time upon receipt of periodic valuation updates received from the Administrative Agent’s asset valuation experts, (ii) concurrently with the sale or commitment to sell any assets constituting part of the M&amp;E Component, (iii) in the event such assets are idled for any reason other than routine maintenance or repairs for a period in excess of ten (10) consecutive days, and (iv) in the event that the value of such assets is otherwise impaired, as determined by the Administrative Agent in its Permitted Discretion.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M&amp;E Component Limit</w:t>
      </w:r>
      <w:r>
        <w:rPr>
          <w:rFonts w:ascii="Times New Roman" w:cs="Times New Roman" w:eastAsia="Times New Roman" w:hAnsi="Times New Roman"/>
          <w:sz w:val="18"/>
          <w:szCs w:val="18"/>
          <w:color w:val="auto"/>
        </w:rPr>
        <w:t xml:space="preserve">” means, initially,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amount shall be reduced by an amount equal to $83,333.33 (the “</w:t>
      </w:r>
      <w:r>
        <w:rPr>
          <w:rFonts w:ascii="Times New Roman" w:cs="Times New Roman" w:eastAsia="Times New Roman" w:hAnsi="Times New Roman"/>
          <w:sz w:val="18"/>
          <w:szCs w:val="18"/>
          <w:u w:val="single" w:color="auto"/>
          <w:color w:val="auto"/>
        </w:rPr>
        <w:t>M&amp;E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Component Reduction</w:t>
      </w:r>
      <w:r>
        <w:rPr>
          <w:rFonts w:ascii="Times New Roman" w:cs="Times New Roman" w:eastAsia="Times New Roman" w:hAnsi="Times New Roman"/>
          <w:sz w:val="18"/>
          <w:szCs w:val="18"/>
          <w:color w:val="auto"/>
        </w:rPr>
        <w:t>”) on the first Business Day of each calendar month occurring after the Effective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means margin stock within the meaning of Regulations T, U and X, as applicable,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operations, prospects or condition, financial or otherwise, of the Company and the other Loan Parties taken as a whole, (b) the ability of any Loan Party to perform any of its Obligations, (c) the Collateral, or the Administrative Agent’s Liens (on behalf of itself and other Secured Parties) on the Collateral or the priority of such Liens, or (d) the rights of or benefits available to the Administrative Agent, the Issuing Bank or the Lenders under any of the Loan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Agreements</w:t>
      </w:r>
      <w:r>
        <w:rPr>
          <w:rFonts w:ascii="Times New Roman" w:cs="Times New Roman" w:eastAsia="Times New Roman" w:hAnsi="Times New Roman"/>
          <w:sz w:val="18"/>
          <w:szCs w:val="18"/>
          <w:color w:val="auto"/>
        </w:rPr>
        <w:t>” means all material agreements and contracts identified in Section 3.12 of the Disclosure Certificate.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or obligations in respect of one or more Swap Agreements, of any one or more of the Company and its Subsidiaries in an aggregate principal amount exceeding $1,000,000. For purposes of determining Material Indebtedness, the “principal amount” of the obligations of the Borrowers or any Subsidiary in respect of any Swap Agreement at any time shall be the maximum aggregate amount (giving effect to any netting agreements) that such Borrower or such Subsidiary would be required to pay if such Swap Agreement were terminated at such time.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May 19, 2026 or any earlier date on which the Commitments are reduced to zero or otherwise terminated pursuant to the terms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xml:space="preserve">” means, for any period, the consolidated net income (or loss) of the Company and its Subsidiaries,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 the income (or deficit) of any Person accrued prior to the date it becomes a Subsidiary or is merged into or consolidated with the Company or any of its Subsidiaries, (b) the income (or deficit) of any Person (other than a Subsidiary) in which the Company or any of its Subsidiaries has an ownership interest, except to the extent that any such income is actually received by the Company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Orderly Liquidation Value</w:t>
      </w:r>
      <w:r>
        <w:rPr>
          <w:rFonts w:ascii="Times New Roman" w:cs="Times New Roman" w:eastAsia="Times New Roman" w:hAnsi="Times New Roman"/>
          <w:sz w:val="18"/>
          <w:szCs w:val="18"/>
          <w:color w:val="auto"/>
        </w:rPr>
        <w:t>” means, with respect to Inventory, Equipment or intangibles of any Person, the orderly liquidation value thereof as determined in a manner acceptable to the Administrative Agent in its Permitted Discretion by an appraiser acceptable to the Administrative Agent, net of all costs of liquidation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Borrower Representative).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has the meaning assigned to such term in Section 10.02.</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Off-Balance Sheet Liability</w:t>
      </w:r>
      <w:r>
        <w:rPr>
          <w:rFonts w:ascii="Times New Roman" w:cs="Times New Roman" w:eastAsia="Times New Roman" w:hAnsi="Times New Roman"/>
          <w:sz w:val="18"/>
          <w:szCs w:val="18"/>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Overadvance</w:t>
      </w:r>
      <w:r>
        <w:rPr>
          <w:rFonts w:ascii="Times New Roman" w:cs="Times New Roman" w:eastAsia="Times New Roman" w:hAnsi="Times New Roman"/>
          <w:sz w:val="18"/>
          <w:szCs w:val="18"/>
          <w:color w:val="auto"/>
        </w:rPr>
        <w:t>” has the meaning assigned to such term in Section 2.05(b).</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(a) the indefeasible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Issuing Bank, in an amount equal to 105% of the LC Exposure as of the date of such payment), (c) the indefeasible payment in full in cash of the accrued and unpaid fees, (d)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(e) the termination of all Commitments, and (f) the termination of the Swap Agreement Obligations and the Banking Services Obligations or entering into other arrangements satisfactory to the Secured Parties counterparties thereto.</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Condition</w:t>
      </w:r>
      <w:r>
        <w:rPr>
          <w:rFonts w:ascii="Times New Roman" w:cs="Times New Roman" w:eastAsia="Times New Roman" w:hAnsi="Times New Roman"/>
          <w:sz w:val="18"/>
          <w:szCs w:val="18"/>
          <w:color w:val="auto"/>
        </w:rPr>
        <w:t>” shall be deemed to be satisfied in connection with a Subject Transaction if:</w:t>
      </w:r>
    </w:p>
    <w:p>
      <w:pPr>
        <w:spacing w:after="0" w:line="225"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or would result immediately after giving effect to such Subject Transaction;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and at all times during the 30-day period immediately prior to such Subject Transaction, the Borrowers shall have (A) Availability calculated on a pro forma basis after giving effect to such Subject Transaction of not less than the greater of (1) 25% of the Aggregate Revolving Commitment and (2) $10,000,000 and (B) a Fixed Charge Coverage Ratio for the most recently completed trailing twelve month period for which the Borrowers are required to have delivered financial statements to the Administrative Agent in accordance with the terms of this Agreement, calculated on a pro forma basis as if such Subject Transaction had been made on the last day of such period, of not less than 1.25 to 1.00; and</w:t>
      </w:r>
    </w:p>
    <w:p>
      <w:pPr>
        <w:spacing w:after="0" w:line="18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have delivered to the Administrative Agent a certificate in form and substance reasonably satisfactory to the Administrative Agent certifying as to the items described in (a) and (b) above and attaching calculations for item (b).</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any Subject Transaction that is a Permitted Acquisition, item (b) above shall be calculated as if all consideration given in connection with such Acquisition, other than Equity Interests of the applicable Borrower delivered to the seller(s) in such Acquisition, is paid in cash at the time of making such Acquisition.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definition, “Subject Transaction” shall mean any (i) Restricted Payment, (ii) Permitted Acquisition or (iii) an investment, loan, advance or guaranty described in Section 6.04(c), (d) or (e).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by any Loan Party in a transaction that satisfies each of the following requirements:</w:t>
      </w:r>
    </w:p>
    <w:p>
      <w:pPr>
        <w:spacing w:after="0" w:line="225" w:lineRule="exact"/>
        <w:rPr>
          <w:sz w:val="20"/>
          <w:szCs w:val="20"/>
          <w:color w:val="auto"/>
        </w:rPr>
      </w:pPr>
    </w:p>
    <w:p>
      <w:pPr>
        <w:ind w:left="1680" w:hanging="376"/>
        <w:spacing w:after="0"/>
        <w:tabs>
          <w:tab w:leader="none" w:pos="1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is not a hostile or contested acquisition;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acquired in connection with such Acquisition is (i) located in the U.S., (ii) organized under applicable U.S. and state laws, and (iii) not engaged, directly or indirectly, in any line of business other than the businesses in which the Loan Parties are engaged on the Effective Date and any business activities that are substantially similar, related, or incidental thereto;</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before and after giving effect to such Acquisition and the Loans (if any) requested to be made in connection therewith, each of the representations and warranties in the Loan Documents is true and correct (except any such representation or warranty which relates to a specified prior date) in all material respects (other than any representation or warranty that is expressly qualified by a Material Adverse Effect or other materiality, in which case such representation or warranty shall be true and correct in all respects) and no Default (including any Default in compliance (on a pro forma basis) with the covenants contained in Section 6.12(a)) exists, will exist, or would result therefrom;</w:t>
      </w:r>
    </w:p>
    <w:p>
      <w:pPr>
        <w:spacing w:after="0" w:line="183"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7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not less than thirty (30) days prior to such Acquisition, the Borrower Representative has provided the Administrative Agent (i) notice of such Acquisition and (ii) a copy of all business and financial information reasonably requested by the Administrative Agent including pro forma financial statements, statements of cash flow, and Availability projections;</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7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the Equity Interests of a Person, such Acquisition is structured so that the acquired Person shall become a Wholly-Owned Subsidiary of a Borrower or a Loan Party pursuant to the terms of this Agreement;</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assets, such Acquisition is structured so that a Borrower or another Loan Party shall acquire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assets;</w:t>
      </w:r>
    </w:p>
    <w:p>
      <w:pPr>
        <w:spacing w:after="0" w:line="20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Equity Interests, such Acquisition will not result in any violation of Regulation U;</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70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involves a merger or a consolidation involving a Borrower or any other Loan Party, such Borrower or such Loan Party, as applicable, shall be the surviving entity;</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7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as a result of or in connection with any such Acquisition, assume or incur any direct or contingent liabilities (whether relating to environmental, Tax, litigation, or other matters) that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Acquisition of the Equity Interests of any Person, all Liens on property of such Person (other than Liens permitted by Section 6.02) shall be terminated unless the Administrative Agent and the Lenders in their sole discretion consent otherwise, and in connection with an Acquisition of the assets of any Person, all Liens on such assets (other than Liens permitted by Section 6.02) shall be terminated;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jc w:val="both"/>
        <w:ind w:left="660" w:firstLine="644"/>
        <w:spacing w:after="0" w:line="258" w:lineRule="auto"/>
        <w:tabs>
          <w:tab w:leader="none" w:pos="1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 the total consideration (including the maximum potential total amount of all deferred payment obligations (including earn-outs) and Indebtedness assumed or incurred) of such Acquisition does not exceed $2,000,000 or (ii) the purchase price for such Acquisition is paid exclusively with (a) the proceeds of a cash equity contribution to the Company (b) the proceeds of the issuance by the Company of any Equity Interests, (c) Equity Interests of the Company delivered to the seller(s) in such Acquisition, or a combination thereof, then, with respect to such Acquisition, the Payment Condition has been satisfied;</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70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required to be taken with respect to any newly acquired or formed Wholly-Owned Subsidiary of a Borrower or a Loan Party, as applicable, required under Section 5.14 shall have been taken;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7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have delivered to the Administrative Agent the final executed material documentation relating to such Acquisition within 10 days following the consummation thereof.</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means a determination made in good faith and in the exercise of reasonable (from the perspective of a secured asset-based lender) business judgment.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640" w:hanging="336"/>
        <w:spacing w:after="0"/>
        <w:tabs>
          <w:tab w:leader="none" w:pos="1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that are not yet delinquent or are being contested in compliance with Section 5.04;</w:t>
      </w:r>
    </w:p>
    <w:p>
      <w:pPr>
        <w:spacing w:after="0" w:line="225" w:lineRule="exact"/>
        <w:rPr>
          <w:rFonts w:ascii="Times New Roman" w:cs="Times New Roman" w:eastAsia="Times New Roman" w:hAnsi="Times New Roman"/>
          <w:sz w:val="18"/>
          <w:szCs w:val="18"/>
          <w:color w:val="auto"/>
        </w:rPr>
      </w:pPr>
    </w:p>
    <w:p>
      <w:pPr>
        <w:ind w:left="660" w:firstLine="644"/>
        <w:spacing w:after="0" w:line="312" w:lineRule="auto"/>
        <w:tabs>
          <w:tab w:leader="none" w:pos="165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carriers',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39" w:lineRule="exact"/>
        <w:rPr>
          <w:rFonts w:ascii="Times New Roman" w:cs="Times New Roman" w:eastAsia="Times New Roman" w:hAnsi="Times New Roman"/>
          <w:sz w:val="17"/>
          <w:szCs w:val="17"/>
          <w:color w:val="auto"/>
        </w:rPr>
      </w:pPr>
    </w:p>
    <w:p>
      <w:pPr>
        <w:ind w:left="660" w:firstLine="644"/>
        <w:spacing w:after="0" w:line="282" w:lineRule="auto"/>
        <w:tabs>
          <w:tab w:leader="none" w:pos="167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compliance with workers' compensation, unemployment insurance and other social security laws or regulations;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in respect of judgments that do not constitute an Event of Default under clause (k) of Article VII;</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the Commodities Intermediary in the Commodities Intermediary Account, provided that such Liens secure obligations permitted by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except with respect to clause (e) above.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shall mean (i) Dimensional Fund Advisors LP and their Affiliates (ii) Renaissance Technologies Holdings Corporation and their Affiliates and (iii) members of management of the Company who are holders of Equity Interests of the Company on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right="20" w:firstLine="644"/>
        <w:spacing w:after="0" w:line="266" w:lineRule="auto"/>
        <w:tabs>
          <w:tab w:leader="none" w:pos="16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7" w:name="page58"/>
    <w:bookmarkEnd w:id="57"/>
    <w:p>
      <w:pPr>
        <w:ind w:left="660" w:firstLine="644"/>
        <w:spacing w:after="0" w:line="282" w:lineRule="auto"/>
        <w:tabs>
          <w:tab w:leader="none" w:pos="175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7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7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firstLine="644"/>
        <w:spacing w:after="0" w:line="282" w:lineRule="auto"/>
        <w:tabs>
          <w:tab w:leader="none" w:pos="168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(including pursuant to a sale and leaseback transaction) of any property or asset of any Loan Party or Subsidiary, other than Dispositions described in Section 6.05;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5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casualty or other insured damage to, or any taking under power of eminent domain or by condemnation or similar proceeding of, any property or asset of any Loan Party or Subsidiary with a fair value immediately prior to such event equal to or greater than $100,000.</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6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any Equity Interests, or the receipt by the Company of any capital contribution (unless, in each case, the proceeds thereof are used to finance a substantially contemporaneous Permitted Acquisition); or</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any Loan Party or any Subsidiary of any Indebtedness, other than Indebtedness permitted under Section 6.01.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litigation, investigation, action, suit, arbitration or administrative, judicial or regulatory action or proceeding in any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has the meaning assigned to such term in Section 5.01(f).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Protective Advance</w:t>
      </w:r>
      <w:r>
        <w:rPr>
          <w:rFonts w:ascii="Times New Roman" w:cs="Times New Roman" w:eastAsia="Times New Roman" w:hAnsi="Times New Roman"/>
          <w:sz w:val="18"/>
          <w:szCs w:val="18"/>
          <w:color w:val="auto"/>
        </w:rPr>
        <w:t>” has the meaning assigned to such term in Section 2.04.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Public-Sider</w:t>
      </w:r>
      <w:r>
        <w:rPr>
          <w:rFonts w:ascii="Times New Roman" w:cs="Times New Roman" w:eastAsia="Times New Roman" w:hAnsi="Times New Roman"/>
          <w:sz w:val="18"/>
          <w:szCs w:val="18"/>
          <w:color w:val="auto"/>
        </w:rPr>
        <w:t>” means a Lender whose representatives may trade in securities of the Company or its Controlling Person or any of its Subsidiaries while in possession of the financial statements provided by the Company under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as applicable, (a) the Administrative Agent, (b) any Lender and (c) any Issuing Bank, or any combination thereof (as the context requires).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the time determined by the Administrative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 Indebtedness</w:t>
      </w:r>
      <w:r>
        <w:rPr>
          <w:rFonts w:ascii="Times New Roman" w:cs="Times New Roman" w:eastAsia="Times New Roman" w:hAnsi="Times New Roman"/>
          <w:sz w:val="18"/>
          <w:szCs w:val="18"/>
          <w:color w:val="auto"/>
        </w:rPr>
        <w:t>” has the meaning assigned to such term in Section 6.01(f).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Federal Reserve Board, as in effect from time to time and all official rulings and interpretations thereunder or thereof.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releasing, spilling, leaking, pumping, pouring, emitting, emptying, discharging, injecting, escaping, leaching, migrating, disposing or dumping of any substance into the environment.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subject to Section 2.20, (a) at any time prior to the earlier of the Loans becoming due and payable pursuant to Article VII or the Commitments terminating or expiring, Lenders having Credit Exposures and Unfunded Commitments representing at least 66.70% of the sum of the Aggregate Credit Exposure and Unfunded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long as there are only two Lenders, Required Lenders shall mean both Lenders;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solely for purposes of declaring the Loans to be due and payable pursuant to Article VII, the Unfunded Commitment of each Lender shall be deemed to be zero in determining the Required Lenders and (b) for all purposes after the Loans become due and payable pursuant to Article VII or the Commitments expire or terminate, Lenders having Credit Exposures representing at least 66.70% of the Aggregate Credit Exposure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long as there are only two Lenders, Required Lenders shall mean both Lenders.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means, at any time, Lenders (other than Defaulting Lenders) having Revolving Exposures and unused Revolving Commitments representing at least 66.70%% of the sum of the Aggregate Revolving Exposure and unused Revolving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long as there are only two Revolving Lenders, Required Revolving Lenders shall mean both Revolving Lenders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means any and all reserves which the Administrative Agent deems necessary, in its sole discretion, to maintain (including, without limitation, an availability reserve, reserves for accrued and unpaid interest on the Secured Obligations, Banking Services Reserves, volatility reserves, reserves for rent at locations leased by any Loan Party and for consignee's, warehousemen’s and bailee’s charges, reserves for dilution of Accounts, reserves for Inventory shrinkage,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president, Financial Officer or other executive officer of a Borrower.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means, as applicable, Thomson Reuters Corp, Refinitiv,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means Revolving Loans of the same Type, made, converted or continued on the same date and, in the case of Term Benchmark Loans, as to which a single Interest Period is in effect.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with respect to each Lender, the amount set forth on the Commitment Schedule opposite such Lender’s name, or in the Assignment and Assumption or other documentation or record (as such term is defined in Section 9-102(a)(70) of the New York Uniform Commercial Code) as provided in Section 9.04(b)(ii)(C) pursuant to which such Lender shall have assumed its Revolving Commitment, as applicable, as such Revolving Commitment may be reduced or increased from time to time pursuant to (a) Section 2.09 and (b) assignments by or to such Lender pursuant to Section 9.04; provided, that at no time shall the Revolving Exposure of any Lender exceed its Revolving Commitment. As of the First Amendment Effective Date, the aggregate amount of the Lenders’ Revolving Commitment is $75,000,000.</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xml:space="preserve">” means, with respect to any Lender at any time, the sum of (a) the outstanding principal amount of such Lender’s Revolving Loans, its LC Exposure and its Swingline Exposure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an amount equal to its Applicable Percentage of the aggregate principal amount of Protective Advances outstanding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an amount equal to its Applicable Percentage of the aggregate principal amount of Overadvances outstanding at such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as of any date of determination, a Lender with a Revolving Commitment or, if the Revolving Commitments have terminated or expired, a Lender with Revolving Exposure.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pursuant to Section 2.01.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has the meaning assigned to such term in Section 6.06.</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Sanctions (at the time of this Agreement, Crimea, Cuba, Iran, North Korea and Syria).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of the U.S.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all Obligations, together with all (a) Banking Services Obligations and (b) Swap Agreement Obligations owing to one or more Lenders or their respective Affiliates;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the Administrative Agent, (b) the Lenders,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has the meaning assigned to such term in Section 2.05(d).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has the meaning assigned to such term in Section 2.05(d).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Standby LC Exposure</w:t>
      </w:r>
      <w:r>
        <w:rPr>
          <w:rFonts w:ascii="Times New Roman" w:cs="Times New Roman" w:eastAsia="Times New Roman" w:hAnsi="Times New Roman"/>
          <w:sz w:val="18"/>
          <w:szCs w:val="18"/>
          <w:color w:val="auto"/>
        </w:rPr>
        <w:t xml:space="preserve">” means, at any time, the sum of (a) the aggregate undrawn amount of all standby Letters of Credit outstanding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aggregate amount of all LC Disbursements relating to standby Letters of Credit that have not yet been reimbursed by or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at such time. The Standby LC Exposure of any Revolving Lender at any time shall be its Applicable Percentage of the aggregate Standby LC Exposure at such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has the meaning assigned to such term in Section 2.18(f).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of a Person means any Indebtedness of such Person the payment of which is subordinated to payment of the Secured Obligations to the written satisfaction of the Administrative Agent.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or indirect subsidiary of the Company or a Loan Party,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Borrowers or the Subsidiaries shall be a Swap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 Obligations</w:t>
      </w:r>
      <w:r>
        <w:rPr>
          <w:rFonts w:ascii="Times New Roman" w:cs="Times New Roman" w:eastAsia="Times New Roman" w:hAnsi="Times New Roman"/>
          <w:sz w:val="18"/>
          <w:szCs w:val="18"/>
          <w:color w:val="auto"/>
        </w:rPr>
        <w:t>” means any and all obligations of the Loan Parties,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Swap Agreement transaction permitted hereunder with a Lender or an Affiliate of a Lender.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Loan Guarantor, any obligation to pay or perform under any agreement, contract or transaction that constitutes a “swap” within the meaning of section 1a(47) of the Commodity Exchange Act or any rules or regulations promulgated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Revolving Lender at any time shall be its Applicable Percentage of the total Swingline Exposure at such time.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JPMCB (or any of its designated branch offices or affiliates),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has the meaning assigned to such term in Section 2.05(a).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means, with respect to any Term Benchmark Borrowing for any tenor comparable to the applicable Interest Period, the Term SOFR Reference Rate at approximately 5:00 a.m. Dallas time, two (2) U.S. Government Securities Business Days prior to the commencement of such tenor comparable to the applicable Interest Period, as such rate is published by the CME Term SOFR Administrator.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and for any tenor comparable to the applicable Interest Period, the rate per annum determined by the Administrative Agent as the forward-looking term rate based on SOFR. If by 5:00 p.m. (City of Dallas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Borrowers of this Agreement and the other Loan Documents, the borrowing of Loans and other credit extensions, the use of the proceeds thereof and the issuance of Letters of Credit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Term SOFR Rate or the CBFR.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Unfinanced Capital Expenditures</w:t>
      </w:r>
      <w:r>
        <w:rPr>
          <w:rFonts w:ascii="Times New Roman" w:cs="Times New Roman" w:eastAsia="Times New Roman" w:hAnsi="Times New Roman"/>
          <w:sz w:val="18"/>
          <w:szCs w:val="18"/>
          <w:color w:val="auto"/>
        </w:rPr>
        <w:t>” means, for any period, Capital Expenditures made during such period which are not financed from the proceeds of any Indebtedness (other than the Revolving Loans; it being understood and agreed that, to the extent any Capital Expenditures are financed with Revolving Loans, such Capital Expenditures shall be deemed Unfinanced Capital Expenditures).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Commitment</w:t>
      </w:r>
      <w:r>
        <w:rPr>
          <w:rFonts w:ascii="Times New Roman" w:cs="Times New Roman" w:eastAsia="Times New Roman" w:hAnsi="Times New Roman"/>
          <w:sz w:val="18"/>
          <w:szCs w:val="18"/>
          <w:color w:val="auto"/>
        </w:rPr>
        <w:t xml:space="preserve">” means, with respect to each Lender, the Revolving Commitment of such Lender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its Revolving Exposure.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Unliquidated Obligations</w:t>
      </w:r>
      <w:r>
        <w:rPr>
          <w:rFonts w:ascii="Times New Roman" w:cs="Times New Roman" w:eastAsia="Times New Roman" w:hAnsi="Times New Roman"/>
          <w:sz w:val="18"/>
          <w:szCs w:val="18"/>
          <w:color w:val="auto"/>
        </w:rPr>
        <w:t>” means,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assigned to such term in Section 2.17(f)(ii)(B)(3).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xml:space="preserve"> For purposes of this Agreement, Loans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Loan”)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Loan”)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Revolving Loan”).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Borrowing”)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Borrowing”)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Revolving Borrowing”).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5" w:name="page66"/>
    <w:bookmarkEnd w:id="65"/>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xml:space="preserve"> The definitions of terms herein shall apply equally to the singular and plural forms of the terms defined. Whenever the context may require, any pronoun shall include the corresponding mascu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2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(a)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the date hereof there occurs any change in GAAP or in the application thereof on the operation of any provision hereof and the Borrower Representative notifies the Administrative Agent that the Borrowers request an amendment to any provision hereof to eliminate the effect of such change in GAAP or in the application thereof (or 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migration or change shall have become effective until such notice shall have been withdrawn or such provision amended in accordance herewith. In the event that historical accounting practices, systems or reserves relating to the components of the Borrowing Base are modified in a manner that is adverse to the Lenders in any material respect, the Borrowers will agree to maintain such additional reserves (for purposes of computing the Borrowing Base) in respect of the components of the Borrowing Base and make such other adjustments (which may include maintaining additional reserves, modifying the advance rates or modifying the eligibility criteria for the components of the Borrowing Base).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under Financial Accounting Standards Board Accounting Standards Codification 470-20 or 2105-03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jc w:val="both"/>
        <w:ind w:firstLine="656"/>
        <w:spacing w:after="0" w:line="256" w:lineRule="auto"/>
        <w:tabs>
          <w:tab w:leader="none" w:pos="13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Interest Rates; Benchmark Notifications</w:t>
      </w:r>
      <w:r>
        <w:rPr>
          <w:rFonts w:ascii="Times New Roman" w:cs="Times New Roman" w:eastAsia="Times New Roman" w:hAnsi="Times New Roman"/>
          <w:sz w:val="18"/>
          <w:szCs w:val="18"/>
          <w:color w:val="auto"/>
        </w:rPr>
        <w:t>. The interest rate on a Loan denominated in dollars may be derived from an interest rate benchmark that may be discontinued or is, or may be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successor rate thereto, or replacement rate thereof, including without limitation, whether the composition or characteristics of any such alternative successor or replacement reference rate will be similar to, or produce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hereto, in each case, in a manner adverse to the Borrowers. The Administrative Agent may select information sources or services in it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1.06. Reserved.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Status of Obligations</w:t>
      </w:r>
      <w:r>
        <w:rPr>
          <w:rFonts w:ascii="Times New Roman" w:cs="Times New Roman" w:eastAsia="Times New Roman" w:hAnsi="Times New Roman"/>
          <w:sz w:val="18"/>
          <w:szCs w:val="18"/>
          <w:color w:val="auto"/>
        </w:rPr>
        <w:t>. In the event that any Borrower or any other Loan Party shall at any time issue or have outstanding any Subordinated Indebtedness, such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amount of such Letter of Credit available to be drawn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Subject to the terms and conditions set forth herein, each Lender severally (and not jointly) agrees to make Revolving Loans in dollars to the Borrowers from time to time during the Availability Period in an aggregate principal amount that will not result in (i) such Lender's Revolving Exposure exceeding such Lender's Revolving Commitment or (ii) the Aggregate Revolving Exposure exceeding the lesser of (x) the Aggregate Revolving Commitment and (y) the Borrowing Base, subject to the Administrative Agent’s authority, in its sole discretion, to make Protective Advances and Overadvances pursuant to the terms of Section 2.04, by making immediately available funds available to the Administrative Agent’s designated account, not later than 2:00 p.m., Chicago time. Within the foregoing limits and subject to the terms and conditions set forth herein, the Borrowers may borrow, prepay and reborrow Revolving Loans.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 xml:space="preserve">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Protective Advance, Overadvance and any Swingline Loan shall be made in accordance with the procedures set forth in Sections 2.04 and 2.05.</w:t>
      </w:r>
    </w:p>
    <w:p>
      <w:pPr>
        <w:spacing w:after="0" w:line="183" w:lineRule="exact"/>
        <w:rPr>
          <w:sz w:val="20"/>
          <w:szCs w:val="20"/>
          <w:color w:val="auto"/>
        </w:rPr>
      </w:pPr>
    </w:p>
    <w:p>
      <w:pPr>
        <w:jc w:val="both"/>
        <w:ind w:firstLine="656"/>
        <w:spacing w:after="0" w:line="219" w:lineRule="exact"/>
        <w:tabs>
          <w:tab w:leader="none" w:pos="147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2.14, each Revolving Borrowing shall be comprised entirely of CBFR Loans or Term Benchmark Loans as the Borrower Representative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Borrowings made on the Effective Date must be made as CBFR Borrowings but may be converted into Term Benchmark Borrowings in accordance with Section 2.08. Each Swingline Loan shall be a CBFR Loan. Each Lender at its option may make any Term Benchmark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Borrowers to repay such Loan in accord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ance with the terms of this Agreement. After giving effect to each requested Term Benchmark Borrowing, including those which are converted from a CBFR Borrowing in accordance with Section 2.08, there shall not be outstanding more than five (5) Term Benchmark Borrowings, in the aggregate at any time.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ind w:firstLine="656"/>
        <w:spacing w:after="0" w:line="282" w:lineRule="auto"/>
        <w:tabs>
          <w:tab w:leader="none" w:pos="12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commencement of each Interest Period for any Term Benchmark Borrowing, such Borrowing shall be in an aggregate amount that is an integral multiple of $100,000 and not less than $1,000,000. CBFR Borrowings may be in any amount.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Representative shall not be entitled to request, or to elect to convert or continue, any Borrowing if the Interest Period requested with respect thereto would end after the Maturity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Revolving Borrowings .</w:t>
      </w:r>
      <w:r>
        <w:rPr>
          <w:rFonts w:ascii="Times New Roman" w:cs="Times New Roman" w:eastAsia="Times New Roman" w:hAnsi="Times New Roman"/>
          <w:sz w:val="18"/>
          <w:szCs w:val="18"/>
          <w:color w:val="auto"/>
        </w:rPr>
        <w:t xml:space="preserve"> To request a Revolving Borrowing, the Borrower Representative shall notify the Administrative Agent of such request either in writing (delivered by hand or fax) by delivering a Borrowing Request signed by a Responsible Officer of the Borrower Representative or through Electronic System if arrangements for doing so have been approved by the Administrative Agent (or if an Extenuating Circumstance shall exist, by telephone) not later than (a) in the case of a Term Benchmark Borrowing, 10:00 a.m., Chicago time, three (3) Business Days before the date of the proposed Borrowing or (b) in the case of a CBFR Borrowing, noon, Chicago time, on the date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 CBFR Borrowing to finance the reimbursement of an LC Disbursement as contemplated by Section 2.06(e) may be given not later than 9:00 a.m., Chicago time, on the date of such proposed Borrowing. Each such Borrowing Request shall be irrevocable and each such telephonic Borrowing Request, if permitted, shall be confirmed immediately upon the cessation of the Extenuating Circumstance by hand delivery, facsimile or a communication through Electronic System to the Administrative Agent of a written Borrowing Request in a form approved by the Administrative Agent and signed by a Responsible Officer of the Borrower Representative. Each such written (or if permitted, telephonic) Borrowing Request shall specify the following information in compliance with Section 2.02:</w:t>
      </w:r>
    </w:p>
    <w:p>
      <w:pPr>
        <w:spacing w:after="0" w:line="192" w:lineRule="exact"/>
        <w:rPr>
          <w:sz w:val="20"/>
          <w:szCs w:val="20"/>
          <w:color w:val="auto"/>
        </w:rPr>
      </w:pPr>
    </w:p>
    <w:p>
      <w:pPr>
        <w:ind w:left="1740" w:hanging="436"/>
        <w:spacing w:after="0"/>
        <w:tabs>
          <w:tab w:leader="none" w:pos="17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Borrower(s);</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 and a breakdown of the separate wires comprising such Borrowing;</w:t>
      </w:r>
    </w:p>
    <w:p>
      <w:pPr>
        <w:spacing w:after="0" w:line="225"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 CBFR Borrowing or a Term Benchmark Borrowing; and</w:t>
      </w:r>
    </w:p>
    <w:p>
      <w:pPr>
        <w:spacing w:after="0" w:line="225" w:lineRule="exact"/>
        <w:rPr>
          <w:rFonts w:ascii="Times New Roman" w:cs="Times New Roman" w:eastAsia="Times New Roman" w:hAnsi="Times New Roman"/>
          <w:sz w:val="18"/>
          <w:szCs w:val="18"/>
          <w:color w:val="auto"/>
        </w:rPr>
      </w:pPr>
    </w:p>
    <w:p>
      <w:pPr>
        <w:ind w:left="1300" w:firstLine="4"/>
        <w:spacing w:after="0" w:line="282" w:lineRule="auto"/>
        <w:tabs>
          <w:tab w:leader="none" w:pos="192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Benchmark Borrowing, the initial Interest Period to be applicable thereto, which shall be a period contemplated by the definition of the term “Interest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 CBFR Borrowing. If no Interest Period is specified with respect to any requested Term Benchmark Borrowing, then the applicable Borrower(s)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(a) Subject to the limitations set forth below, the Administrative Agent is authorized by the Borrowers and the Lenders, from time to time in the Administrative Agent’s sole discretion (but shall have absolutely no obligation to), to make Loans to the Borrowers, on behalf of all Lenders, which the Administrative Agent, in its Permitted Discretion, deems necessary or desirable (i) to preserve or protect the Collateral, or any portion thereof, (ii) if an Event of Default under clauses (a), (b), (h) or (i) of the definition thereof or resulting from a breach of Section 6.12 has occurred and is continuing, to enhance the likelihood of, or maximize the amount of, repayment of the Loans and other Obligations, or (iii) to pay any other amount chargeable to or required to be paid by the Borrowers pursuant to the terms of this Agreement that have not been paid by Borrowers on or before the date required, including payments of reimbursable expenses (including costs, fees, and expenses as described in Section 9.03) and other sums payable under the Loan Documents (any of such Loans are herein referred to as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Revolving Exposure after giving effect to the Protective Advances being made shall not exceed the Aggregate Revolving Commitment. Protective Advances may be made even if the conditions precedent set forth in Section 4.02 have not been satisfied. The Protective Advances shall be secured by the Liens in favor of the Administrative Agent in and to the Collateral and shall constitute Obligations hereunder. All Protective Advances shall be CBFR Borrowings. The making of a Protective Advance on any one occasion shall not obligate the Administrative Agent to make any Protective Advance on any other occasion. The Administrative Agent’s authorization to make Protective Advances may be revoked at any time by 100% of the Lenders (other than any Defaulting Lender). Any such revocation must be in writing and shall become effective prospectively upon the Administrative Agent’s receipt thereof. At any time that there is sufficient Availability and the conditions precedent set forth in Section 4.02 have been satisfied, the Administrative Agent may request the Revolving Lenders to make a Revolving Loan to repay a Protective Advance. At any other time the Administrative Agent may require the Lenders to fund their risk participations described in Section 2.04(b).</w:t>
      </w:r>
    </w:p>
    <w:p>
      <w:pPr>
        <w:spacing w:after="0" w:line="193" w:lineRule="exact"/>
        <w:rPr>
          <w:sz w:val="20"/>
          <w:szCs w:val="20"/>
          <w:color w:val="auto"/>
        </w:rPr>
      </w:pPr>
    </w:p>
    <w:p>
      <w:pPr>
        <w:jc w:val="both"/>
        <w:ind w:firstLine="656"/>
        <w:spacing w:after="0" w:line="25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Swingline Loans and Overadvances.</w:t>
      </w:r>
    </w:p>
    <w:p>
      <w:pPr>
        <w:spacing w:after="0" w:line="225" w:lineRule="exact"/>
        <w:rPr>
          <w:sz w:val="20"/>
          <w:szCs w:val="20"/>
          <w:color w:val="auto"/>
        </w:rPr>
      </w:pPr>
    </w:p>
    <w:p>
      <w:pPr>
        <w:jc w:val="both"/>
        <w:ind w:firstLine="656"/>
        <w:spacing w:after="0" w:line="252" w:lineRule="auto"/>
        <w:tabs>
          <w:tab w:leader="none" w:pos="9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Swingline Lender and the Revolving Lenders agree that in order to facilitate the administration of this Agreement and the other Loan Documents, promptly after the Borrower Representative requests a CBFR Borrowing, the Swingline Lender may elect to have the terms of this Section 2.05(a) apply to such Borrowing Request by advancing, on behalf of the Revolving Lenders and in the amount requested, same day funds to the Borrowers, on the date of the applicable Borrowing to a Funding Accounts (each such Loan made solely by the Swingline Lender pursuant to this Section 2.05(a) is referred to in this Agreement as a “</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with settlement among them as to the Swingline Loans to take place on a periodic basis as set forth in Section 2.05(d). Each Swingline Loan shall be subject to all the terms and conditions applicable to other CBFR Loans funded by the Revolving Lenders, except that all payments thereon shall be payable to the Swingline Lender solely for its own account. In addition, the Borrowers hereby authorize the Swingline Lender to, and the Swingline Lender may, subject to the terms and conditions set forth herein (but without any further written notice required), not later than 1:00 p.m., Chicago time, on each Business Day, make available to the Borrowers by means of a credit to a Funding Accounts, the proceeds of a Swingline Loan to the extent necessary to pay items to be drawn on any Controlled Disbursement Account that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any Business Day there is insufficient borrowing capacity to permit the Swingline Lender to make available to the Borrowers a Swingline Loan in the amount necessary to pay all items to be so drawn on any such Controlled Disbursement Account on such Business Day, then the Borrowers shall be deemed to have requested a CBFR Borrowing pursuant to Section 2.03 in the amount of such deficiency to be made on such Business Day. The Swingline Lender shall not make any Swingline Loan if the requested Swingline Loan exceeds Availability (before or after giving effect to such Swingline Loan). All Swingline Loans shall be CBFR Borrowings.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jc w:val="both"/>
        <w:ind w:firstLine="656"/>
        <w:spacing w:after="0" w:line="253" w:lineRule="auto"/>
        <w:tabs>
          <w:tab w:leader="none" w:pos="9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to the contrary notwithstanding, at the request of the Borrower Representative, the Administrative Agent may in its sole discretion (but with absolutely no obligation), on behalf of the Revolving Lenders, (x) make Revolving Loans to the Borrowers in amounts that exceed Availability (any such excess Revolving Loans are herein referred to collectively as “</w:t>
      </w:r>
      <w:r>
        <w:rPr>
          <w:rFonts w:ascii="Times New Roman" w:cs="Times New Roman" w:eastAsia="Times New Roman" w:hAnsi="Times New Roman"/>
          <w:sz w:val="18"/>
          <w:szCs w:val="18"/>
          <w:u w:val="single" w:color="auto"/>
          <w:color w:val="auto"/>
        </w:rPr>
        <w:t>Overadvances</w:t>
      </w:r>
      <w:r>
        <w:rPr>
          <w:rFonts w:ascii="Times New Roman" w:cs="Times New Roman" w:eastAsia="Times New Roman" w:hAnsi="Times New Roman"/>
          <w:sz w:val="18"/>
          <w:szCs w:val="18"/>
          <w:color w:val="auto"/>
        </w:rPr>
        <w:t xml:space="preserve">”) or (y) deem the amount of Revolving Loans outstanding to the Borrowers that are in excess of Availability to be Overadvances;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Overadvance shall result in a Default due to Borrowers’ failure to comply with Section 2.01 for so long as such Overadvance remains outstanding in accordance with the terms of this paragraph, but solely with respect to the amount of such Overadvance. In addition, Overadvances may be made even if the condition precedent set forth in Section 4.02(c) has not been satisfied. All Overadvances shall constitute CBFR Borrowings. The making of an Overadvance on any one occasion shall not obligate the Administrative Agent to make any Overadvance on any other occasion. The authority of the Administrative Agent to make Overadvances is limited to an aggregate amount not to exceed an amount equal to ten percent (10%) of Availability at any time, no Overadvance may remain outstanding for more than thirty days and no Overadvance shall cause any Revolving Lender's Revolving Exposure to exceed its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Required Revolving Lenders may at any time revoke the Administrative Agent’s authorization to make Overadvances. Any such revocation must be in writing and shall become effective prospectively upon the Administrative Agent’s receipt thereof.</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110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a Swingline Loan or an Overadvance (whether before or after the occurrence of a Default and regardless of whether a Settlement has been requested with respect to such Swingline Loan or Overadvance), each Revolving Lender shall be deemed, without further action by any party hereto, to have unconditionally and irrevocably purchased from the Swingline Lender or the Administrative Agent, as the case may be, without recourse or warranty, an undivided interest and participation in such Swingline Loan or Overadvance in proportion to its Applicable Percentage of the Revolving Commitment. The Swingline Lender or the Administrative Agent may, at any time, require the Revolving Lenders to fund their participations. From and after the date, if any, on which any Revolving Lender is required to fund its participation in any Swingline Loan or Overadvance purchased hereunder, the Administrative Agent shall promptly distribute to such Lender, such Lender's Applicable Percentage of all payments of principal and interest and all proceeds of Collateral received by the Administrative Agent in respect of such Swingline Loan or Overadvance.</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1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on behalf of the Swingline Lender, shall request settlement (a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with the Revolving Lenders on at least a weekly basis or on any date that the Administrative Agent elects, by notifying the Revolving Lenders of such requested Settlement by facsimile, telephone, or e-mail no later than 12:00 noon Chicago time on the date of such requested Settlement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Each Revolving Lender (other than the Swingline Lender, in the case of the Swingline Loans) shall transfer the amount of such Revolving Lender’s Applicable Percentage of the outstanding principal amount of the applicable Loan with respect to which Settlement is requested to the Administrative Agent, to such account of the Administrative Agent as the Administrative Agent may designate, not later than 2:00 p.m., Chicago time, on such Settlement Date. Settlements may occur during the existence of a Default and whether or not the applicable conditions precedent set forth in Section 4.02 have then been satisfied. Such amounts transferred to the Administrative Agent shall be applied against the amounts of the Swingline Lender’s Swingline Loans and, together with Swingline Lender’s Applicable Percentage of such Swingline Loan, shall constitute Revolving Loans of such Revolving Lenders, respectively. If any such amount is not transferred to the Administrative Agent by any Revolving Lender on such Settlement Date, the Swingline Lender shall be entitled to recover from such Lender on demand such amount, together with interest thereon, as specified in Section 2.07.</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1" w:name="page72"/>
    <w:bookmarkEnd w:id="7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the Borrower Representative may request any Issuing Bank to issue Letters of Credit for its own account or for the account of another Borrower denominated in dollars as the applicant thereof for the support of its or its Subsidiaries’ obligations, in a form reasonably acceptable to such Issuing Bank, at any time and from time to time during the Availability Period, and such Issuing Bank may, but shall have no obligation, to issue such requested Letters of Credit pursuant to this Agreement.</w:t>
      </w:r>
    </w:p>
    <w:p>
      <w:pPr>
        <w:spacing w:after="0" w:line="180" w:lineRule="exact"/>
        <w:rPr>
          <w:sz w:val="20"/>
          <w:szCs w:val="20"/>
          <w:color w:val="auto"/>
        </w:rPr>
      </w:pPr>
    </w:p>
    <w:p>
      <w:pPr>
        <w:jc w:val="both"/>
        <w:ind w:firstLine="656"/>
        <w:spacing w:after="0" w:line="251" w:lineRule="auto"/>
        <w:tabs>
          <w:tab w:leader="none" w:pos="123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Extension; Certain Conditions.</w:t>
      </w:r>
      <w:r>
        <w:rPr>
          <w:rFonts w:ascii="Times New Roman" w:cs="Times New Roman" w:eastAsia="Times New Roman" w:hAnsi="Times New Roman"/>
          <w:sz w:val="18"/>
          <w:szCs w:val="18"/>
          <w:color w:val="auto"/>
        </w:rPr>
        <w:t xml:space="preserve"> To request the issuance of a Letter of Credit (or the amendment or extension of an outstanding Letter of Credit), the Borrower Representative shall deliver by hand or facsimile (or transmit through Electronic System, if arrangements for doing so have been approved by the respective Issuing Bank) to an Issuing Bank selected by it and to the Administrative Agent (reasonably in advance of, but in any event prior to 9:00 am, Chicago time, at least three (3) Business Days prior to the requested date of issuance, amendment or extension)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Borrowers shall be deemed to represent and warrant that), after giving effect to such issuance, amendment or extension (i) the aggregate LC Exposure shall not exceed $1,500,000, (ii) no Revolving Lender’s Revolving Exposure shall exceed its Revolving Commitment and (iii) the Aggregate Revolving Exposure shall not exceed the lesser of (x) the Aggregate Revolving Commitment and (y) the Borrowing Base.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clause (i) of this Section 2.06(b).</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An Issuing Bank shall not be under any obligation to issue any Letter of Credit if:</w:t>
      </w:r>
    </w:p>
    <w:p>
      <w:pPr>
        <w:spacing w:after="0" w:line="225" w:lineRule="exact"/>
        <w:rPr>
          <w:sz w:val="20"/>
          <w:szCs w:val="20"/>
          <w:color w:val="auto"/>
        </w:rPr>
      </w:pPr>
    </w:p>
    <w:p>
      <w:pPr>
        <w:jc w:val="both"/>
        <w:ind w:left="660" w:firstLine="482"/>
        <w:spacing w:after="0" w:line="255" w:lineRule="auto"/>
        <w:tabs>
          <w:tab w:leader="none" w:pos="1515"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such Letter of Credit, or any Requirement of Law relating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or</w:t>
      </w:r>
    </w:p>
    <w:p>
      <w:pPr>
        <w:spacing w:after="0" w:line="188" w:lineRule="exact"/>
        <w:rPr>
          <w:rFonts w:ascii="Times New Roman" w:cs="Times New Roman" w:eastAsia="Times New Roman" w:hAnsi="Times New Roman"/>
          <w:sz w:val="18"/>
          <w:szCs w:val="18"/>
          <w:color w:val="auto"/>
        </w:rPr>
      </w:pPr>
    </w:p>
    <w:p>
      <w:pPr>
        <w:ind w:left="1620" w:hanging="478"/>
        <w:spacing w:after="0"/>
        <w:tabs>
          <w:tab w:leader="none" w:pos="1620"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Issuing Bank applicable to letters of credit</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w:t>
      </w:r>
    </w:p>
    <w:p>
      <w:pPr>
        <w:spacing w:after="0" w:line="206" w:lineRule="exact"/>
        <w:rPr>
          <w:rFonts w:ascii="Times New Roman" w:cs="Times New Roman" w:eastAsia="Times New Roman" w:hAnsi="Times New Roman"/>
          <w:sz w:val="18"/>
          <w:szCs w:val="18"/>
          <w:color w:val="auto"/>
        </w:rPr>
      </w:pPr>
    </w:p>
    <w:p>
      <w:pPr>
        <w:jc w:val="both"/>
        <w:ind w:firstLine="656"/>
        <w:spacing w:after="0" w:line="257" w:lineRule="auto"/>
        <w:tabs>
          <w:tab w:leader="none" w:pos="109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extension of the expiration thereof, including, without limitation, any automatic renewal provision, one year after such extension) and</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five Business Days prior to the Maturity Date.</w:t>
      </w:r>
    </w:p>
    <w:p>
      <w:pPr>
        <w:spacing w:after="0" w:line="206" w:lineRule="exact"/>
        <w:rPr>
          <w:rFonts w:ascii="Times New Roman" w:cs="Times New Roman" w:eastAsia="Times New Roman" w:hAnsi="Times New Roman"/>
          <w:sz w:val="18"/>
          <w:szCs w:val="18"/>
          <w:color w:val="auto"/>
        </w:rPr>
      </w:pPr>
    </w:p>
    <w:p>
      <w:pPr>
        <w:jc w:val="both"/>
        <w:ind w:firstLine="656"/>
        <w:spacing w:after="0" w:line="253" w:lineRule="auto"/>
        <w:tabs>
          <w:tab w:leader="none" w:pos="111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respective Issuing Bank, such Lender's Applicable Percentage of each LC Disbursement made by such Issuing Bank and not reimbursed by the Borrowers on the date due as provided in paragraph (e) of this Section, or of any reimbursement payment required to be refunded to the Borrowers for any reason, including after the Maturity Date. Each such payment shall be made without any offset, abatement, withholding or reduction whatsoever. Each Revolving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Commitments.</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107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an Issuing Bank shall make any LC Disbursement in respect of a Letter of Credit, the Borrowers shall reimburse such LC Disbursement by paying to the Administrative Agent an amount equal to such LC Disbursement not later than 11:00 a.m., Chicago time, on (a) (i) the Business Day that the Borrower Representative receives notice of such LC Disbursement, if such notice is received prior to 9:00 a.m., Chicago time, on the day of receipt, or (ii) the Business Day immediately following the day that the Borrower Representative receives such notice, if such notice is received after 9:00 a.m. Chicago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may, subject to the conditions to borrowing set forth herein, request in accordance with Section 2.03 that such payment be financed with a CBFR Borrowing in an equivalent amount and, to the extent so financed, the Borrowers’ obligation to make such payment shall be discharged and replaced by the resulting CBFR Borrowing or Swingline Loan. If the Borrowers fail to make such payment when due, the Administrative Agent shall notify each Revolving Lender of the applicable LC Disbursement,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Section 2.07 with respect to Loans made by such Lender (and Section 2.07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Revolving Lenders), and the Administrative Agent shall promptly pay to the respective Issuing Bank the amounts so received by it from the Revolving Lenders. Promptly following receipt by the Administrative Agent of any payment from the Borrowers pursuant to this paragraph, the Administrative Agent shall distribute such payment to the respective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an Issuing Bank for any LC Disbursement (other than the funding of CBFR Revolving Loans or Swingline Loans as contemplated above) shall not constitute a Loan and shall not relieve the Borrowers of their obligation to reimburse such LC Disbursement.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jc w:val="both"/>
        <w:ind w:firstLine="656"/>
        <w:spacing w:after="0" w:line="251" w:lineRule="auto"/>
        <w:tabs>
          <w:tab w:leader="none" w:pos="11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joint and several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respective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Revolving Lenders, nor any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5" w:lineRule="exact"/>
        <w:rPr>
          <w:rFonts w:ascii="Times New Roman" w:cs="Times New Roman" w:eastAsia="Times New Roman" w:hAnsi="Times New Roman"/>
          <w:sz w:val="18"/>
          <w:szCs w:val="18"/>
          <w:color w:val="auto"/>
        </w:rPr>
      </w:pPr>
    </w:p>
    <w:p>
      <w:pPr>
        <w:jc w:val="both"/>
        <w:ind w:firstLine="656"/>
        <w:spacing w:after="0" w:line="256" w:lineRule="auto"/>
        <w:tabs>
          <w:tab w:leader="none" w:pos="108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applicable Borrower by telephone (confirmed by fax or through Electronic Systems) of such demand for payment if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Borrowers of their obligation to reimburse such Issuing Bank and the Revolving Lenders with respect to any such LC Disbursement.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jc w:val="both"/>
        <w:ind w:firstLine="656"/>
        <w:spacing w:after="0" w:line="254" w:lineRule="auto"/>
        <w:tabs>
          <w:tab w:leader="none" w:pos="112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the Issuing Bank for any Letter of Credit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CBFR Revolving Loans and such interest shall be due and payable on the date when such reimbursement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Borrowers fail to reimburse such LC Disbursement when due pursuant to paragraph (e) of this Section, then Section 2.13(d) shall apply. Interest accrued pursuant to this paragraph shall be for the account of such Issuing Bank, except that interest accrued on and after the date of payment by any Revolving Lender pursuant to paragraph (e) of this Section to reimburse such Issuing Bank for such LC Disbursement shall be for the account of such Lender to the extent of such payment.</w:t>
      </w:r>
    </w:p>
    <w:p>
      <w:pPr>
        <w:spacing w:after="0" w:line="19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and Resignation of an Issuing Bank.</w:t>
      </w:r>
    </w:p>
    <w:p>
      <w:pPr>
        <w:spacing w:after="0" w:line="225" w:lineRule="exact"/>
        <w:rPr>
          <w:rFonts w:ascii="Times New Roman" w:cs="Times New Roman" w:eastAsia="Times New Roman" w:hAnsi="Times New Roman"/>
          <w:sz w:val="18"/>
          <w:szCs w:val="18"/>
          <w:color w:val="auto"/>
        </w:rPr>
      </w:pPr>
    </w:p>
    <w:p>
      <w:pPr>
        <w:jc w:val="both"/>
        <w:ind w:left="660" w:firstLine="482"/>
        <w:spacing w:after="0" w:line="253" w:lineRule="auto"/>
        <w:tabs>
          <w:tab w:leader="none" w:pos="136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Issuing Bank may be replaced at any time by written agreement among the Borrower Representative, the Administrative Agent, the replaced Issuing Bank and the successor Issuing Bank. The Administrative Agent shall notify the Revolving Lenders of any such replacement of an Issuing Bank. At the time any such replacement shall become effective, the Borrowers shall pay all unpaid fees accrued for the account of the replaced Issuing Bank pursuant to Section 2.12(c). From and after the effective date of any such replacement, (A) the successor Issuing Bank shall have all the rights and obligations of an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94" w:lineRule="exact"/>
        <w:rPr>
          <w:rFonts w:ascii="Times New Roman" w:cs="Times New Roman" w:eastAsia="Times New Roman" w:hAnsi="Times New Roman"/>
          <w:sz w:val="18"/>
          <w:szCs w:val="18"/>
          <w:color w:val="auto"/>
        </w:rPr>
      </w:pPr>
    </w:p>
    <w:p>
      <w:pPr>
        <w:jc w:val="both"/>
        <w:ind w:left="660" w:firstLine="482"/>
        <w:spacing w:after="0" w:line="266" w:lineRule="auto"/>
        <w:tabs>
          <w:tab w:leader="none" w:pos="142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appointment and acceptance of a successor Issuing Bank, any Issuing Bank may resign as an Issuing Bank at any time upon thirty days’ prior written notice to the Administrative Agent, the Borrower Representative and the Lenders, in which case, such resigning Issuing Bank shall be replaced in accordance with Section 2.06(i)(i)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5" w:name="page76"/>
    <w:bookmarkEnd w:id="75"/>
    <w:p>
      <w:pPr>
        <w:jc w:val="both"/>
        <w:ind w:firstLine="656"/>
        <w:spacing w:after="0" w:line="253" w:lineRule="auto"/>
        <w:tabs>
          <w:tab w:leader="none" w:pos="137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If any Event of Default shall occur and be continuing, on the Business Day that the Borrower Representative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Borrowers shall deposit in an account with the Administrative Agent, in the name of the Administrative Agent and for the benefit of the Revolving Lenders (the “</w:t>
      </w:r>
      <w:r>
        <w:rPr>
          <w:rFonts w:ascii="Times New Roman" w:cs="Times New Roman" w:eastAsia="Times New Roman" w:hAnsi="Times New Roman"/>
          <w:sz w:val="18"/>
          <w:szCs w:val="18"/>
          <w:u w:val="single" w:color="auto"/>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an amount in cash equal to 105% of the amount of the LC Exposure as of such date plus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VII. Such Borrower also shall deposit cash collateral in accordance with this paragraph as and to the extent required by Sections 2.10(b),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Borrowers shall immediately deposit in the LC Collateral Account an amount in cash equal to 105% of such LC Exposure as of such date plus any accrued and unpaid interest thereon. The Administrative Agent shall have exclusive dominion and control, including the exclusive right of withdrawal, over the LC Collateral Account and the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50% of the aggregate LC Exposure),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w:t>
      </w:r>
    </w:p>
    <w:p>
      <w:pPr>
        <w:spacing w:after="0" w:line="190"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Reports to the Administrative Agent</w:t>
      </w:r>
      <w:r>
        <w:rPr>
          <w:rFonts w:ascii="Times New Roman" w:cs="Times New Roman" w:eastAsia="Times New Roman" w:hAnsi="Times New Roman"/>
          <w:sz w:val="18"/>
          <w:szCs w:val="18"/>
          <w:color w:val="auto"/>
        </w:rPr>
        <w:t>. Unless otherwise agreed by the Administrative Agent, each Issuing Bank that is not the Administrative Agent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and amendments, all expirations and cancelations and all disbursements and reimbursements, (ii) reasonably prior to the time that such Issuing Bank issues, amends or extends any Letter of Credit, the date of such issuance, amendment or extension, and the stated amount of the Letters of Credit issued, amended or extended by it and outstanding after giving effect to such issuance, amendment or extension (and whether the amounts thereof shall have changed), (iii) on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128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Account of Subsidiaries.</w:t>
      </w:r>
      <w:r>
        <w:rPr>
          <w:rFonts w:ascii="Times New Roman" w:cs="Times New Roman" w:eastAsia="Times New Roman" w:hAnsi="Times New Roman"/>
          <w:sz w:val="18"/>
          <w:szCs w:val="18"/>
          <w:color w:val="auto"/>
        </w:rPr>
        <w:t xml:space="preserve">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Borrowers (i) shall reimburse, indemnify and compensate the Issuing Bank hereunder for such Letter of Credit (including to reimburse any and all drawings thereunder) as if such Letter of Credit had been issued solely for the account of a Borrower and (ii) irrevocably waives any and all defenses that might otherwise be available to it as a guarantor or surety of any or all of the obligations of such Subsidiary in respect of such Letter of Credit. Each Borrower hereby acknowledges that the issuance of such Letters of Credit for its Subsidiaries inures to the benefit of the Borrowers, and that each Borrower’s business derives substantial benefits from the businesses of such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 xml:space="preserve"> (a) Each Lender shall make each Loan to be made by such Lender hereunder on the proposed date thereof solely by wire transfer of immediately available funds by 2:00 p.m., Chicago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2.05. The Administrative Agent will make such Loans available to the Borrower Representative by promptly crediting the funds so received in the aforesaid account of the Administrative Agent to a Funding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CBFR Revolving Loans made to finance the reimbursement of (i) an LC Disbursement as provided in Section 2.06(e) shall be remitted by the Administrative Agent to the Issuing Bank and (ii) a Protective Advance or an Overadvance shall be retained by the Administrative Agent.</w:t>
      </w:r>
    </w:p>
    <w:p>
      <w:pPr>
        <w:spacing w:after="0" w:line="189" w:lineRule="exact"/>
        <w:rPr>
          <w:sz w:val="20"/>
          <w:szCs w:val="20"/>
          <w:color w:val="auto"/>
        </w:rPr>
      </w:pPr>
    </w:p>
    <w:p>
      <w:pPr>
        <w:jc w:val="both"/>
        <w:ind w:firstLine="656"/>
        <w:spacing w:after="0" w:line="253" w:lineRule="auto"/>
        <w:tabs>
          <w:tab w:leader="none" w:pos="13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Borrowers each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and (ii) in the case of the Borrowers, the interest rate applicable to CBFR Loans. If such Lender pays such amount to the Administrative Agent, then such amount shall constitute such Lender's Loan included in such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interest received from a Borrower by the Administrative Agent during the period beginning when Administrative Agent funded the Borrowing until such Lender pays such amount shall be solely for the account of the Administrative Agent.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 xml:space="preserve"> (a) Each Borrowing initially shall be of the Type specified in the applicable Borrowing Request and, in the case of a Term Benchmark Borrowing, shall have an initial Interest Period as specified in such Borrowing Request. Thereafter, the Borrower Representative may elect to convert such Borrowing to a different Type or to continue such Borrowing and, in the case of a Term Benchmark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w:t>
      </w:r>
    </w:p>
    <w:p>
      <w:pPr>
        <w:spacing w:after="0" w:line="189" w:lineRule="exact"/>
        <w:rPr>
          <w:sz w:val="20"/>
          <w:szCs w:val="20"/>
          <w:color w:val="auto"/>
        </w:rPr>
      </w:pPr>
    </w:p>
    <w:p>
      <w:pPr>
        <w:jc w:val="both"/>
        <w:ind w:firstLine="656"/>
        <w:spacing w:after="0" w:line="254" w:lineRule="auto"/>
        <w:tabs>
          <w:tab w:leader="none" w:pos="127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the Borrower Representative shall notify the Administrative Agent of such election either in writing (delivered by hand or fax) by delivering an Interest Election Request signed by a Responsible Officer of the Borrower Representative or through Electronic System if arrangements for doing so have been approved by the Administrative Agent (or if an Extenuating Circumstance shall exist, by telephone) by the time that a Borrowing Request would be required under Section 2.03 if the Borrowers were requesting a Borrowing of the Type resulting from such election to be made on the effective date of such election. Each such Interest Election Request shall be irrevocable and each such telephonic Interest Election Request, if permitted, shall be confirmed immediately upon the cessation of the Extenuating Circumstance by hand delivery, Electronic System or facsimile to the Administrative Agent of a written Interest Election Request in a form approved by the Administrative Agent and signed by a Responsible Officer of the Borrower Representative.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7" w:name="page78"/>
    <w:bookmarkEnd w:id="77"/>
    <w:p>
      <w:pPr>
        <w:ind w:firstLine="656"/>
        <w:spacing w:after="0" w:line="282" w:lineRule="auto"/>
        <w:tabs>
          <w:tab w:leader="none" w:pos="125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written (or if permitted, telephonic) Interest Election Request (including requests submitted through Electronic System) shall specify the following information in compliance with Section 2.02:</w:t>
      </w:r>
    </w:p>
    <w:p>
      <w:pPr>
        <w:spacing w:after="0" w:line="161" w:lineRule="exact"/>
        <w:rPr>
          <w:rFonts w:ascii="Times New Roman" w:cs="Times New Roman" w:eastAsia="Times New Roman" w:hAnsi="Times New Roman"/>
          <w:sz w:val="18"/>
          <w:szCs w:val="18"/>
          <w:color w:val="auto"/>
        </w:rPr>
      </w:pPr>
    </w:p>
    <w:p>
      <w:pPr>
        <w:jc w:val="both"/>
        <w:ind w:left="660" w:right="20" w:firstLine="482"/>
        <w:spacing w:after="0" w:line="266" w:lineRule="auto"/>
        <w:tabs>
          <w:tab w:leader="none" w:pos="162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225"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 CBFR Borrowing or a Term Benchmark Borrowing; and</w:t>
      </w:r>
    </w:p>
    <w:p>
      <w:pPr>
        <w:spacing w:after="0" w:line="225" w:lineRule="exact"/>
        <w:rPr>
          <w:rFonts w:ascii="Times New Roman" w:cs="Times New Roman" w:eastAsia="Times New Roman" w:hAnsi="Times New Roman"/>
          <w:sz w:val="18"/>
          <w:szCs w:val="18"/>
          <w:color w:val="auto"/>
        </w:rPr>
      </w:pPr>
    </w:p>
    <w:p>
      <w:pPr>
        <w:ind w:left="660" w:firstLine="482"/>
        <w:spacing w:after="0" w:line="282" w:lineRule="auto"/>
        <w:tabs>
          <w:tab w:leader="none" w:pos="164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Term Benchmark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Borrowers shall be deemed to have selected an Interest Period of one month's duration.</w:t>
      </w:r>
    </w:p>
    <w:p>
      <w:pPr>
        <w:spacing w:after="0" w:line="162" w:lineRule="exact"/>
        <w:rPr>
          <w:sz w:val="20"/>
          <w:szCs w:val="20"/>
          <w:color w:val="auto"/>
        </w:rPr>
      </w:pPr>
    </w:p>
    <w:p>
      <w:pPr>
        <w:ind w:right="20" w:firstLine="656"/>
        <w:spacing w:after="0" w:line="282" w:lineRule="auto"/>
        <w:tabs>
          <w:tab w:leader="none" w:pos="13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Representative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 CBFR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Term Benchmark Borrowing and (ii) unless repaid, each Term Benchmark Borrowing shall be converted to a CBFR Borrowing at the end of the Interest Period applicable thereto.</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of Commitments; Increase in Revolving Commitments.</w:t>
      </w:r>
      <w:r>
        <w:rPr>
          <w:rFonts w:ascii="Times New Roman" w:cs="Times New Roman" w:eastAsia="Times New Roman" w:hAnsi="Times New Roman"/>
          <w:sz w:val="18"/>
          <w:szCs w:val="18"/>
          <w:color w:val="auto"/>
        </w:rPr>
        <w:t xml:space="preserve"> (a) Unless previously terminated, the Revolving Commitments shall terminate on the Maturity Date.</w:t>
      </w:r>
    </w:p>
    <w:p>
      <w:pPr>
        <w:spacing w:after="0" w:line="162" w:lineRule="exact"/>
        <w:rPr>
          <w:sz w:val="20"/>
          <w:szCs w:val="20"/>
          <w:color w:val="auto"/>
        </w:rPr>
      </w:pPr>
    </w:p>
    <w:p>
      <w:pPr>
        <w:ind w:left="1260" w:hanging="604"/>
        <w:spacing w:after="0"/>
        <w:tabs>
          <w:tab w:leader="none" w:pos="1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at any time terminate the Revolving Commitments upon the Payment in Full of the Secured Obligations.</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28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shall notify the Administrative Agent of any election to terminate the Commitments under paragraph (b) of this Section at least three (3) Business Days prior to the effective date of such termination, specifying such election and the effective date thereof. Promptly following receipt of any notice, the Administrative Agent shall advise the Lenders of the contents thereof. Each notice delivered by the Borrower Representative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of the Commitments shall be permanent. Each reduction of the Commitments shall be made ratably among the Lenders in accordance with their respective Commitments.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jc w:val="both"/>
        <w:ind w:firstLine="656"/>
        <w:spacing w:after="0" w:line="261" w:lineRule="auto"/>
        <w:tabs>
          <w:tab w:leader="none" w:pos="127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shall have the right to increase the Revolving Commitments by obtaining additional Revolving Commitments, either from one or more of the Lenders or another lending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request for an increase shall be in a minimum amount of $5,000,000,</w:t>
      </w:r>
    </w:p>
    <w:p>
      <w:pPr>
        <w:jc w:val="both"/>
        <w:ind w:firstLine="8"/>
        <w:spacing w:after="0" w:line="253"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on behalf of the Borrowers, may make a maximum of two (2) such requests, (iii) after giving effect thereto, the sum of the total of the additional Commitments does not exceed $10,000,000, (iv) the Administrative Agent and the Issuing Bank have approved the identity of any such new Lender, such approvals not to be unreasonably withheld, (v) any such new Lender assumes all of the rights and obligations of a “Lender” hereunder, and (vi) the procedure described in Section 2.09(f) have been satisfied. Nothing contained in this Section 2.09 shall constitute, or otherwise be deemed to be, a commitment on the part of any Lender to increase its Commitment hereunder at any time.</w:t>
      </w:r>
    </w:p>
    <w:p>
      <w:pPr>
        <w:spacing w:after="0" w:line="186"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hereto for such an increase or addition shall be in form and substance satisfactory to the Administrative Agent and shall only require the written signatures of the Administrative Agent, the Borrowers and each Lender being added or increasing its Commitment subject only to the approval of all Lenders if any such increase or addition would cause the Revolving Commitments to exceed $85,000,000. As a condition precedent to such an increase or addition,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 (1) the representations and warranties contained in Article III and the other Loan Documents are true and correct, except to the extent that such representations and warranties specifically refer to an earlier date, in which case they are true and correct as of such earlier date, (2) no Default exists and (3) the Borrowers are in compliance (on a pro forma basis) with the covenants contained in Section 6.12(a) and (ii) legal opinions and documents consistent with those delivered on the Effective Date, to the extent requested by the Administrative Agent.</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125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any such increase or addition,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Representative,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Borrowers pursuant to the provisions of Section 2.16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 and Amortization of Loans; Evidence of Debt.</w:t>
      </w:r>
      <w:r>
        <w:rPr>
          <w:rFonts w:ascii="Times New Roman" w:cs="Times New Roman" w:eastAsia="Times New Roman" w:hAnsi="Times New Roman"/>
          <w:sz w:val="18"/>
          <w:szCs w:val="18"/>
          <w:color w:val="auto"/>
        </w:rPr>
        <w:t xml:space="preserve"> (a) The Borrowers hereby unconditionally promise to pay (i) to the Administrative Agent for the account of each Revolving Lender the then unpaid principal amount of each Revolving Loan on the Maturity Date, and (ii) to the Administrative Agent the then unpaid amount of each Protective Advance on the earlier of the Maturity Date and demand by the Administrative Agent.</w:t>
      </w:r>
    </w:p>
    <w:p>
      <w:pPr>
        <w:spacing w:after="0" w:line="176" w:lineRule="exact"/>
        <w:rPr>
          <w:sz w:val="20"/>
          <w:szCs w:val="20"/>
          <w:color w:val="auto"/>
        </w:rPr>
      </w:pPr>
    </w:p>
    <w:p>
      <w:pPr>
        <w:jc w:val="both"/>
        <w:ind w:firstLine="656"/>
        <w:spacing w:after="0" w:line="256" w:lineRule="auto"/>
        <w:tabs>
          <w:tab w:leader="none" w:pos="154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all times that full cash dominion is in effect pursuant to Section 7.3 of the Security Agreement, on each Business Day, the Administrative Agent shall apply all funds credited to the Collection Account on the immediately preceding Business Day (at the discretion of the Administrative Agent, whether or not immediately available)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prepay any Protective Advances and Overadvances that may be outstanding, pro rata,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prepay the Revolving Loans (including Swingline Loans)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an Event of Default has occurred and is continuing, to cash collateralize outstanding LC Exposure. Notwithstanding the foregoing, to the extent any funds credited to the Collection Account constitute Net Proceeds, the application of such Net Proceeds shall be subject to Section 2.11(c).</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(c) or (d)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 xml:space="preserve"> (a) The Borrowers shall have the right at any time and from time to time to prepay any Borrowing in whole or in part, subject to prior notice in accordance with paragraph (e) of this Section and, if applicable, payment of any break funding expenses under Section 2.16.</w:t>
      </w:r>
    </w:p>
    <w:p>
      <w:pPr>
        <w:spacing w:after="0" w:line="176" w:lineRule="exact"/>
        <w:rPr>
          <w:sz w:val="20"/>
          <w:szCs w:val="20"/>
          <w:color w:val="auto"/>
        </w:rPr>
      </w:pPr>
    </w:p>
    <w:p>
      <w:pPr>
        <w:jc w:val="both"/>
        <w:ind w:firstLine="656"/>
        <w:spacing w:after="0" w:line="261" w:lineRule="auto"/>
        <w:tabs>
          <w:tab w:leader="none" w:pos="12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Overadvances permitted under Section 2.05, in the event and on such occasion that the Aggregate Revolving Exposure exceeds the lesser of (i) the Aggregate Revolving Commitment and (ii) the Borrowing Base, the Borrowers shall prepay the Revolving Loans, LC Exposure and/or Swingline Loans or cash collateralize the LC Exposure in an account with the Administrative Agent pursuant to Section 2.06(j), as applicable, in an aggregate amount equal to such excess.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0" w:name="page81"/>
    <w:bookmarkEnd w:id="80"/>
    <w:p>
      <w:pPr>
        <w:jc w:val="both"/>
        <w:ind w:firstLine="656"/>
        <w:spacing w:after="0" w:line="253" w:lineRule="auto"/>
        <w:tabs>
          <w:tab w:leader="none" w:pos="135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and on each occasion that any Net Proceeds are received by or on behalf of any Loan Party in respect of any Prepayment Event, the Borrowers shall, immediately after such Net Proceeds are received by any Loan Party, prepay the Obligations and cash collateralize the LC Exposure as set forth in Section 2.11(d) below in an aggregate amount equal to (x) in the case of a prepayment event described in clause (c) of the definition of the term “Prepayment Event”, 20% of such Net Proceeds and (y) in the case of all other Prepayment Events, 100%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a prepayment event described in clause (c) of the definition of the term “Prepayment Event”, unless an Event of Default has occurred and is continuing, there shall be no requirement to cash collateralize the LC Exposure, and (y) in the case of any event described in clause (a) or</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the term “Prepayment Event”, if the Borrower Representative shall deliver to the Administrative Agent a certificate of a Financial Officer to the effect that the Loan Parties intend to apply the Net Proceeds from such event (or a portion thereof specified in such certificate), within 180 days after receipt of such Net Proceeds, to acquire (or replace or rebuild) equipment or other tangible assets (excluding inventory) to be used in the business of the Loan Parties, and certifying that no Default has occurred and is continuing, then either (i) so long as full cash dominion is not in effect, no prepayment shall be required pursuant to this paragraph in respect of the Net Proceeds specified in such certificate or (ii) if full cash dominion is in effect, then, if the Net Proceeds specified in such certificate are to be applied to acquire, replace or rebuild such assets by (A) the Borrowers, such Net Proceeds shall be applied by the Administrative Agent to reduce the outstanding principal balance of the Revolving Loans (without a permanent reduction of the Revolving Commitment) and upon such application, the Administrative Agent shall establish a Reserve against the Borrowing Base in an amount equal to the amount of such proceeds so applied and (B) any Loan Party that is not a Borrower, such Net Proceeds shall be deposited in a cash collateral account, and in the case of either (A) or (B), thereafter, such funds shall be made available to the applicable Loan Party as follows:</w:t>
      </w:r>
    </w:p>
    <w:p>
      <w:pPr>
        <w:spacing w:after="0" w:line="192" w:lineRule="exact"/>
        <w:rPr>
          <w:rFonts w:ascii="Times New Roman" w:cs="Times New Roman" w:eastAsia="Times New Roman" w:hAnsi="Times New Roman"/>
          <w:sz w:val="18"/>
          <w:szCs w:val="18"/>
          <w:color w:val="auto"/>
        </w:rPr>
      </w:pPr>
    </w:p>
    <w:p>
      <w:pPr>
        <w:ind w:left="660" w:firstLine="482"/>
        <w:spacing w:after="0" w:line="282" w:lineRule="auto"/>
        <w:tabs>
          <w:tab w:leader="none" w:pos="1837"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request a Revolving Borrowing (specifying that the request is to use Net Proceeds pursuant to this Section) or the applicable Loan Party shall request a release from the cash collateral account be made in the amount needed;</w:t>
      </w:r>
    </w:p>
    <w:p>
      <w:pPr>
        <w:spacing w:after="0" w:line="161" w:lineRule="exact"/>
        <w:rPr>
          <w:rFonts w:ascii="Times New Roman" w:cs="Times New Roman" w:eastAsia="Times New Roman" w:hAnsi="Times New Roman"/>
          <w:sz w:val="18"/>
          <w:szCs w:val="18"/>
          <w:color w:val="auto"/>
        </w:rPr>
      </w:pPr>
    </w:p>
    <w:p>
      <w:pPr>
        <w:ind w:left="660" w:firstLine="482"/>
        <w:spacing w:after="0" w:line="282" w:lineRule="auto"/>
        <w:tabs>
          <w:tab w:leader="none" w:pos="1793"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conditions set forth in Section 4.02 have been met, the Revolving Lenders shall make such Revolving Borrowing or the Administrative Agent shall release funds from the cash collateral account; and</w:t>
      </w:r>
    </w:p>
    <w:p>
      <w:pPr>
        <w:spacing w:after="0" w:line="161" w:lineRule="exact"/>
        <w:rPr>
          <w:rFonts w:ascii="Times New Roman" w:cs="Times New Roman" w:eastAsia="Times New Roman" w:hAnsi="Times New Roman"/>
          <w:sz w:val="18"/>
          <w:szCs w:val="18"/>
          <w:color w:val="auto"/>
        </w:rPr>
      </w:pPr>
    </w:p>
    <w:p>
      <w:pPr>
        <w:ind w:left="660" w:right="20" w:firstLine="482"/>
        <w:spacing w:after="0" w:line="282" w:lineRule="auto"/>
        <w:tabs>
          <w:tab w:leader="none" w:pos="1932"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Net Proceeds applied against the Revolving Borrowing, the Reserve established with respect to such insurance proceeds shall be reduced by the amount of such Revolving Borrowing;</w:t>
      </w:r>
    </w:p>
    <w:p>
      <w:pPr>
        <w:spacing w:after="0" w:line="133"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of any such Net Proceeds therefrom that have not been so applied by the end of such 180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a prepayment shall be required at such time in an amount equal to such Net Proceeds that have not been so applied.</w:t>
      </w:r>
    </w:p>
    <w:p>
      <w:pPr>
        <w:spacing w:after="0" w:line="199" w:lineRule="exact"/>
        <w:rPr>
          <w:sz w:val="20"/>
          <w:szCs w:val="20"/>
          <w:color w:val="auto"/>
        </w:rPr>
      </w:pPr>
    </w:p>
    <w:p>
      <w:pPr>
        <w:jc w:val="both"/>
        <w:ind w:firstLine="656"/>
        <w:spacing w:after="0" w:line="258" w:lineRule="auto"/>
        <w:tabs>
          <w:tab w:leader="none" w:pos="129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prepayments made pursuant to Section 2.11(a) shall be applied, if made with respect to the Revolving Loans or the Swingline Loans, to prepay such Loans in accordance with the Lenders’ respective Applicable Percentages without a corresponding reduction in the Revolving Commitments and to cash collateralize outstanding LC Exposure. All such amounts pursuant to Section 2.11(c)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prepay any Protective Advances and Overadvances that may be outstanding, pro rata,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prepay the Revolving Loans (including Swingline Loans) without a corresponding reduction in the Revolving Commitments and, if required in accordance with Section 2.11(c), to cash collateralize outstanding LC Exposure.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1" w:name="page82"/>
    <w:bookmarkEnd w:id="81"/>
    <w:p>
      <w:pPr>
        <w:jc w:val="both"/>
        <w:ind w:firstLine="656"/>
        <w:spacing w:after="0" w:line="253" w:lineRule="auto"/>
        <w:tabs>
          <w:tab w:leader="none" w:pos="131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shall notify the Administrative Agent (and, in the case of prepayment of a Swingline Loan, the Swingline Lender) by telephone (confirmed by fax) or through Electronic System, if arrangements for doing so have been approved by the Administrative Agent, of any prepayment hereunder not later than 10:00 a.m., Chicago time, (A) in the case of prepayment of a Term Benchmark Borrowing, three (3) Business Days before the date of prepayment, or (B) in the case of prepayment of a CBFR Revolving Borrowing, one (1) Business Day before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Revolving Loans included in the prepaid Borrowing. Prepayments shall be accompanied by (i) accrued interest to the extent required by Section 2.13 and (ii) break funding payments pursuant to Section 2.16.</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 The Borrowers agree to pay to the Administrative Agent for the account of each Lender a commitment fee, which shall accrue at the Applicable Rate on the average daily amount of the Available Revolving Commitment of such Lender during the period from and including the Effective Date to but excluding the date on which the Revolving Commitments terminate. Accrued commitment fees shall be payable in arrears on the first Business Day of each calendar month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87" w:lineRule="exact"/>
        <w:rPr>
          <w:sz w:val="20"/>
          <w:szCs w:val="20"/>
          <w:color w:val="auto"/>
        </w:rPr>
      </w:pPr>
    </w:p>
    <w:p>
      <w:pPr>
        <w:ind w:firstLine="656"/>
        <w:spacing w:after="0" w:line="282" w:lineRule="auto"/>
        <w:tabs>
          <w:tab w:leader="none" w:pos="129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to pay Administrative Agent for its own account, all fees and other amounts required to be paid pursuant to the Fee Letter, at the times and in the amounts as specified therein.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130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agree to pay (i) to the Administrative Agent for the account of each Revolving Lender a participation fee with respect to its participations in each outstanding Letter of Credit, which shall accrue on the daily maximum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per annum on the daily maximum amount then available to be drawn under such Letter of Credit, during the period from and including the Effective Date to but excluding the later of the date of termination of the Revolving Commitments and the date on which there ceases to be any LC Exposure with respect to Letters of Credit issued by such Issuing Bank, as well as such Issuing Bank’s standard fees and commissions with respect to the issuance, amendment or extension of any Letter of Credit and other processing fees and other standard costs and charges, of such Issuing Bank relating to Letters of Credit as from time to time in effect. Participation fees and fronting fees accrued through and including the last day of each calendar month shall be payable on the first Business Day of each calendar month following such last day,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96" w:lineRule="exact"/>
        <w:rPr>
          <w:rFonts w:ascii="Times New Roman" w:cs="Times New Roman" w:eastAsia="Times New Roman" w:hAnsi="Times New Roman"/>
          <w:sz w:val="18"/>
          <w:szCs w:val="18"/>
          <w:color w:val="auto"/>
        </w:rPr>
      </w:pPr>
    </w:p>
    <w:p>
      <w:pPr>
        <w:ind w:right="20" w:firstLine="656"/>
        <w:spacing w:after="0" w:line="282" w:lineRule="auto"/>
        <w:tabs>
          <w:tab w:leader="none" w:pos="13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to pay to the Administrative Agent, for its own account, fees payable in the amounts and at the times separately agreed upon between the Borrowers and the Administrative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jc w:val="both"/>
        <w:ind w:firstLine="656"/>
        <w:spacing w:after="0" w:line="266" w:lineRule="auto"/>
        <w:tabs>
          <w:tab w:leader="none" w:pos="131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dollars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p>
    <w:p>
      <w:pPr>
        <w:spacing w:after="0" w:line="225" w:lineRule="exact"/>
        <w:rPr>
          <w:sz w:val="20"/>
          <w:szCs w:val="20"/>
          <w:color w:val="auto"/>
        </w:rPr>
      </w:pPr>
    </w:p>
    <w:p>
      <w:pPr>
        <w:ind w:left="1260" w:hanging="604"/>
        <w:spacing w:after="0"/>
        <w:tabs>
          <w:tab w:leader="none" w:pos="1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CBFR Borrowings (including all Swingline Loans) shall bear interest at the CBFR plus the Applicable Rate.</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Term Benchmark Borrowing shall bear interest at the Adjusted Term SOFR Rate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Protective Advance and each Overadvance shall bear interest at the CBFR plus the Applicable Rate for Revolving Loans plus 2%.</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0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28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(for CBFR Loans, accrued through the last day of the prior calendar month) shall be payable in arrears on each Interest Payment Date for such Loan and upon termination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(d) of this Section shall be payable on demand, (ii) in the event of any repayment or prepayment of any Loan (other than a prepayment of a CBFR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2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CB Floating Rate shall be computed on the basis of a year of 365 days (or 366 days in a leap year), and in each case shall be payable for the actual number of days elapsed (including the first day but excluding the last day). The applicable CB Floating Rate and the Adjusted Term SOFR Rate shall be determined by the Administrative Agent, and such determination shall be conclusive absent manifest error.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 Illegality.</w:t>
      </w:r>
    </w:p>
    <w:p>
      <w:pPr>
        <w:spacing w:after="0" w:line="225" w:lineRule="exact"/>
        <w:rPr>
          <w:sz w:val="20"/>
          <w:szCs w:val="20"/>
          <w:color w:val="auto"/>
        </w:rPr>
      </w:pPr>
    </w:p>
    <w:p>
      <w:pPr>
        <w:ind w:left="1220" w:hanging="564"/>
        <w:spacing w:after="0"/>
        <w:tabs>
          <w:tab w:leader="none" w:pos="12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(c), (d), (e) and (f) of this Section 2.14 if:</w:t>
      </w:r>
    </w:p>
    <w:p>
      <w:pPr>
        <w:spacing w:after="0" w:line="225" w:lineRule="exact"/>
        <w:rPr>
          <w:rFonts w:ascii="Times New Roman" w:cs="Times New Roman" w:eastAsia="Times New Roman" w:hAnsi="Times New Roman"/>
          <w:sz w:val="18"/>
          <w:szCs w:val="18"/>
          <w:color w:val="auto"/>
        </w:rPr>
      </w:pPr>
    </w:p>
    <w:p>
      <w:pPr>
        <w:jc w:val="both"/>
        <w:ind w:left="660" w:firstLine="482"/>
        <w:spacing w:after="0" w:line="261" w:lineRule="auto"/>
        <w:tabs>
          <w:tab w:leader="none" w:pos="197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and binding absent manifest error) prior to commencement of any Interest Period for a Term Benchmark Borrowing, that the adequate and reasonable means do not exist for ascertaining the Adjusted Term SOFR Rate or the Term SOFR Rate (including because the Term SOFR Reference Rate is not available or published on a current basis), for such Interest Period (each a “</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jc w:val="both"/>
        <w:ind w:left="660" w:firstLine="482"/>
        <w:spacing w:after="0" w:line="266" w:lineRule="auto"/>
        <w:tabs>
          <w:tab w:leader="none" w:pos="184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Representative and the Lenders through Electronic System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9.01</w:t>
      </w:r>
      <w:r>
        <w:rPr>
          <w:rFonts w:ascii="Times New Roman" w:cs="Times New Roman" w:eastAsia="Times New Roman" w:hAnsi="Times New Roman"/>
          <w:sz w:val="18"/>
          <w:szCs w:val="18"/>
          <w:color w:val="auto"/>
        </w:rPr>
        <w:t xml:space="preserve"> as promptly as practicable thereafter and, until (x) the Administrative Agent notifies the Borrower Representative and the Lenders that the circumstances giving rise to such notice no longer exist with respect to the relevant Benchmark and (y) the Borrowers deliver a new Interest Election Request in accordance with the terms of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a new Borrowing Request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a CBFR Borrowing; provided that if the circumstances giving rise to such notice affect only one Type of Borrowings, then all other Types of Borrowings shall be permitted. Furthermore, if any Term Benchmark Loan is outstanding on the date the Borrower Representative’s receipt of the notice from the Administrative Agent referred to in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with respect to a Relevant Rate applicable to such Term Benchmark Loan, then until (x) the Administrative Agent notifies the Borrower Representative and the Lenders that the circumstances giving rise to such notice no longer exist with respect to the relevant Benchmark and (y) the Borrowers deliver a new Interest Election Request in accordance with the terms of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a new Borrowing Request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any Term Benchmark Loan shall on the last day of the Interest Period applicable to such Loan (or the next succeeding Business Day if such day is not a Business Day), be converted by the Administrative Agent to, and shall constitute, a CBFR Loan.</w:t>
      </w:r>
    </w:p>
    <w:p>
      <w:pPr>
        <w:spacing w:after="0" w:line="187" w:lineRule="exact"/>
        <w:rPr>
          <w:sz w:val="20"/>
          <w:szCs w:val="20"/>
          <w:color w:val="auto"/>
        </w:rPr>
      </w:pPr>
    </w:p>
    <w:p>
      <w:pPr>
        <w:jc w:val="both"/>
        <w:ind w:firstLine="656"/>
        <w:spacing w:after="0" w:line="257" w:lineRule="auto"/>
        <w:tabs>
          <w:tab w:leader="none" w:pos="132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(City of Dallas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further action or consent of any other party to this Agreement or any other Loan Document.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jc w:val="both"/>
        <w:ind w:firstLine="656"/>
        <w:spacing w:after="0" w:line="261" w:lineRule="auto"/>
        <w:tabs>
          <w:tab w:leader="none" w:pos="1462"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Borrower Representative and the Lenders of (i) an occurrence of a Benchmark Transition Event, (ii) the implementation of any Benchmark Replacement, (iii) the effectiveness of any Benchmark Replacement Conforming Changes and</w:t>
      </w:r>
    </w:p>
    <w:p>
      <w:pPr>
        <w:jc w:val="both"/>
        <w:ind w:firstLine="8"/>
        <w:spacing w:after="0" w:line="253" w:lineRule="auto"/>
        <w:tabs>
          <w:tab w:leader="none" w:pos="33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86" w:lineRule="exact"/>
        <w:rPr>
          <w:rFonts w:ascii="Times New Roman" w:cs="Times New Roman" w:eastAsia="Times New Roman" w:hAnsi="Times New Roman"/>
          <w:sz w:val="18"/>
          <w:szCs w:val="18"/>
          <w:color w:val="auto"/>
        </w:rPr>
      </w:pPr>
    </w:p>
    <w:p>
      <w:pPr>
        <w:jc w:val="both"/>
        <w:ind w:firstLine="656"/>
        <w:spacing w:after="0" w:line="253" w:lineRule="auto"/>
        <w:tabs>
          <w:tab w:leader="none" w:pos="153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Borrower Representative’s receipt of notice of the commencement of a Benchmark Unavailability Period, the Borrowers may revoke any request for a Term Benchmark Borrowing of, conversion to or continuation of Term Benchmark Loans to be made, converted or continued during any Benchmark Unavailability Period and, failing that, the Borrowers will be deemed to have converted any such request for a Term Benchmark Borrowing into a request for a Borrowing of or conversion to a CBFR Borrowing. Furthermore, if any Term Benchmark Loan is outstanding on the date of the Borrower Representative’s receipt of notice of the commencement of a Benchmark Unavailability Period with respect to a Relevant Rate applicable to such Term Benchmark Loan, then until such time as a Benchmark Replacement is implemented pursuant to this Section 2.14, Term Benchmark Loan shall on the last day of the Interest Period applicable to such Loan (or the next succeeding Business Day if such day is not a Business Day), be converted by the Administrative Agent to, and shall constitute, a CBFR Loan.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xml:space="preserve"> (a) If any Change in Law shall:</w:t>
      </w:r>
    </w:p>
    <w:p>
      <w:pPr>
        <w:spacing w:after="0" w:line="225" w:lineRule="exact"/>
        <w:rPr>
          <w:sz w:val="20"/>
          <w:szCs w:val="20"/>
          <w:color w:val="auto"/>
        </w:rPr>
      </w:pPr>
    </w:p>
    <w:p>
      <w:pPr>
        <w:jc w:val="both"/>
        <w:ind w:left="660" w:firstLine="482"/>
        <w:spacing w:after="0" w:line="266" w:lineRule="auto"/>
        <w:tabs>
          <w:tab w:leader="none" w:pos="181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or the Issuing Bank;</w:t>
      </w:r>
    </w:p>
    <w:p>
      <w:pPr>
        <w:spacing w:after="0" w:line="175" w:lineRule="exact"/>
        <w:rPr>
          <w:rFonts w:ascii="Times New Roman" w:cs="Times New Roman" w:eastAsia="Times New Roman" w:hAnsi="Times New Roman"/>
          <w:sz w:val="18"/>
          <w:szCs w:val="18"/>
          <w:color w:val="auto"/>
        </w:rPr>
      </w:pPr>
    </w:p>
    <w:p>
      <w:pPr>
        <w:ind w:left="660" w:right="20" w:firstLine="482"/>
        <w:spacing w:after="0" w:line="282" w:lineRule="auto"/>
        <w:tabs>
          <w:tab w:leader="none" w:pos="17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161" w:lineRule="exact"/>
        <w:rPr>
          <w:rFonts w:ascii="Times New Roman" w:cs="Times New Roman" w:eastAsia="Times New Roman" w:hAnsi="Times New Roman"/>
          <w:sz w:val="18"/>
          <w:szCs w:val="18"/>
          <w:color w:val="auto"/>
        </w:rPr>
      </w:pPr>
    </w:p>
    <w:p>
      <w:pPr>
        <w:jc w:val="both"/>
        <w:ind w:left="660" w:firstLine="482"/>
        <w:spacing w:after="0" w:line="266" w:lineRule="auto"/>
        <w:tabs>
          <w:tab w:leader="none" w:pos="199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jc w:val="both"/>
        <w:spacing w:after="0" w:line="224" w:lineRule="exact"/>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into or main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taining any Loan (or of maintaining its obligation to make any such Loan) or to increase the cost to such Lender, the Issuing Bank or such other Recipient of participating in, issuing or maintaining any Letter of Credit or to reduce the amount of any sum received or receiv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200" w:lineRule="exact"/>
        <w:rPr>
          <w:sz w:val="20"/>
          <w:szCs w:val="20"/>
          <w:color w:val="auto"/>
        </w:rPr>
      </w:pPr>
    </w:p>
    <w:p>
      <w:pPr>
        <w:jc w:val="both"/>
        <w:ind w:firstLine="656"/>
        <w:spacing w:after="0" w:line="254" w:lineRule="auto"/>
        <w:tabs>
          <w:tab w:leader="none" w:pos="132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w:t>
      </w:r>
    </w:p>
    <w:p>
      <w:pPr>
        <w:spacing w:after="0" w:line="191"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3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Representative and shall be conclusive absent manifest error. The Borrowers shall pay such Lender or the Issuing Bank, as the case may be, the amount shown as due on any such certificate within ten (10) days after receipt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7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not be required to compensate a Lender or the Issuing Bank pursuant to this Section for any increased costs or reductions incurred more than 270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87"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Term Benchmark Loan other than on the last day of an Interest Period applicable thereto (including as a result of an Event of Default or as a result of any prepayment pursuant to Section 2.11), (b) the conversion of any Term Benchmark Loan other than on the last day of the Interest Period applicable thereto, (c) the failure to borrow, convert, continue or prepay any Term Benchmark Loan on the date specified in any notice delivered pursuant hereto (regardless of whether such notice may be revoked under Section 2.09(c) and is revoked in accordance therewith), or (d) the assignment of any Term Benchmark Loan other than on the last day of the Interest Period applicable thereto as a result of a request by the Borrower Representative pursuant to Section 2.19 or 9.02(d), then, in any such event, the Borrowers shall compensate each Lender for the loss, cost and expense attributable to such event. In the case of a Term Benchmark Loan, such loss, cost or expense to any Lender shall be deemed to include an amount determined by such Lender to be the excess, if any, of (i) the amount of interest which would have accrued on the principal amount of such Term Benchmark Loan had such event not occurred, at the Adjusted Term SOFR Rate that would have been applicable to such Term Benchmark Loan, for the period from the date of such event to the last day of the then current Interest Period therefor (or, in the case of a failure to borrow, convert or continue, for the period that would have been the Interest Period for such Term Benchmark Loan), over (ii) the amount of interest which would accrue on such principal amount for such period at the interest rate which such Lender would bid were it to bid, at the commencement of such period, for dollar deposits of a comparable amount and period from other banks in the U.S. market. A certifi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ten (10) days after receipt thereof.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86" w:name="page87"/>
    <w:bookmarkEnd w:id="8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Withholding of Taxes; Gross-Up</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92" w:lineRule="exact"/>
        <w:rPr>
          <w:sz w:val="20"/>
          <w:szCs w:val="20"/>
          <w:color w:val="auto"/>
        </w:rPr>
      </w:pPr>
    </w:p>
    <w:p>
      <w:pPr>
        <w:ind w:firstLine="656"/>
        <w:spacing w:after="0" w:line="282" w:lineRule="auto"/>
        <w:tabs>
          <w:tab w:leader="none" w:pos="135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xml:space="preserve"> The Loan Parties shall timely pay to the relevant Governmental Authority in accordance with applicable law, or at the option of the Administrative Agent timely reimburse it for the payment of, Other Taxes.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w:t>
      </w:r>
      <w:r>
        <w:rPr>
          <w:rFonts w:ascii="Times New Roman" w:cs="Times New Roman" w:eastAsia="Times New Roman" w:hAnsi="Times New Roman"/>
          <w:sz w:val="18"/>
          <w:szCs w:val="18"/>
          <w:color w:val="auto"/>
        </w:rPr>
        <w:t xml:space="preserve">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37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(other than (i) Indemnified Taxes that a court of competent jurisdiction finally determines to have resulted from the gross negligence or willful misconduct of such Recipient or (ii) interest or penalties attributable to the failure or delay by such Recipient to make a written demand to the Loan Party within 180 days of receiving written notice that such Taxes subject to indemnification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have been levied, imposed or asserted against it).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jc w:val="both"/>
        <w:ind w:firstLine="656"/>
        <w:spacing w:after="0" w:line="253" w:lineRule="auto"/>
        <w:tabs>
          <w:tab w:leader="none" w:pos="140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131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any Borrower is a U.S. Person,</w:t>
      </w:r>
    </w:p>
    <w:p>
      <w:pPr>
        <w:spacing w:after="0" w:line="225" w:lineRule="exact"/>
        <w:rPr>
          <w:rFonts w:ascii="Times New Roman" w:cs="Times New Roman" w:eastAsia="Times New Roman" w:hAnsi="Times New Roman"/>
          <w:sz w:val="18"/>
          <w:szCs w:val="18"/>
          <w:color w:val="auto"/>
        </w:rPr>
      </w:pPr>
    </w:p>
    <w:p>
      <w:pPr>
        <w:jc w:val="both"/>
        <w:ind w:left="1300" w:firstLine="490"/>
        <w:spacing w:after="0" w:line="261" w:lineRule="auto"/>
        <w:tabs>
          <w:tab w:leader="none" w:pos="2462"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an executed copy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1300" w:firstLine="490"/>
        <w:spacing w:after="0" w:line="261" w:lineRule="auto"/>
        <w:tabs>
          <w:tab w:leader="none" w:pos="259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179" w:lineRule="exact"/>
        <w:rPr>
          <w:rFonts w:ascii="Times New Roman" w:cs="Times New Roman" w:eastAsia="Times New Roman" w:hAnsi="Times New Roman"/>
          <w:sz w:val="18"/>
          <w:szCs w:val="18"/>
          <w:color w:val="auto"/>
        </w:rPr>
      </w:pPr>
    </w:p>
    <w:p>
      <w:pPr>
        <w:ind w:left="3060" w:hanging="622"/>
        <w:spacing w:after="0"/>
        <w:tabs>
          <w:tab w:leader="none" w:pos="3060" w:val="left"/>
        </w:tabs>
        <w:numPr>
          <w:ilvl w:val="4"/>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w:t>
      </w:r>
    </w:p>
    <w:p>
      <w:pPr>
        <w:spacing w:after="0" w:line="27" w:lineRule="exact"/>
        <w:rPr>
          <w:rFonts w:ascii="Times New Roman" w:cs="Times New Roman" w:eastAsia="Times New Roman" w:hAnsi="Times New Roman"/>
          <w:sz w:val="18"/>
          <w:szCs w:val="18"/>
          <w:color w:val="auto"/>
        </w:rPr>
      </w:pPr>
    </w:p>
    <w:p>
      <w:pPr>
        <w:jc w:val="both"/>
        <w:ind w:left="1960" w:hanging="8"/>
        <w:spacing w:after="0" w:line="252" w:lineRule="auto"/>
        <w:tabs>
          <w:tab w:leader="none" w:pos="2236" w:val="left"/>
        </w:tabs>
        <w:numPr>
          <w:ilvl w:val="3"/>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an executed copy of IRS Form W-8BEN, IRS Form W-8BEN-E or Form W-8IMY (or successor form), as applicable, establishing an exemption from, or reduction of, U.S. federal withholding Tax pursuant to the “interest” article of such tax treaty and (y) with respect to any other applicable payments under any Loan Document, IRS Form W-8BEN, IRS Form W-8BEN-E or Form W-8IMY (or successor form), as applicable, establishing an exemption from, or reduction of, U.S. federal withholding Tax pursuant to the “business profits” or “other income” article of such tax treaty;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ind w:left="840" w:right="20" w:firstLine="478"/>
        <w:spacing w:after="0" w:line="282" w:lineRule="auto"/>
        <w:tabs>
          <w:tab w:leader="none" w:pos="208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that its extension of credit will generate U.S. effectively connected income, an executed copy of IRS Form W-8ECI (or successor form);</w:t>
      </w:r>
    </w:p>
    <w:p>
      <w:pPr>
        <w:spacing w:after="0" w:line="161" w:lineRule="exact"/>
        <w:rPr>
          <w:rFonts w:ascii="Times New Roman" w:cs="Times New Roman" w:eastAsia="Times New Roman" w:hAnsi="Times New Roman"/>
          <w:sz w:val="18"/>
          <w:szCs w:val="18"/>
          <w:color w:val="auto"/>
        </w:rPr>
      </w:pPr>
    </w:p>
    <w:p>
      <w:pPr>
        <w:jc w:val="both"/>
        <w:ind w:left="840" w:firstLine="478"/>
        <w:spacing w:after="0" w:line="256" w:lineRule="auto"/>
        <w:tabs>
          <w:tab w:leader="none" w:pos="196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a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and (y) an executed copy of IRS Form W-8BEN, IRS Form W-8BEN-E or Form W-8IMY (or successor form) (with proper attachments), as applicable; or</w:t>
      </w:r>
    </w:p>
    <w:p>
      <w:pPr>
        <w:spacing w:after="0" w:line="187" w:lineRule="exact"/>
        <w:rPr>
          <w:rFonts w:ascii="Times New Roman" w:cs="Times New Roman" w:eastAsia="Times New Roman" w:hAnsi="Times New Roman"/>
          <w:sz w:val="18"/>
          <w:szCs w:val="18"/>
          <w:color w:val="auto"/>
        </w:rPr>
      </w:pPr>
    </w:p>
    <w:p>
      <w:pPr>
        <w:jc w:val="both"/>
        <w:ind w:left="840" w:firstLine="478"/>
        <w:spacing w:after="0" w:line="255" w:lineRule="auto"/>
        <w:tabs>
          <w:tab w:leader="none" w:pos="196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an executed copy of IRS Form W-8IMY (or successor form), accompanied by IRS Form W-8ECI, IRS Form W-8BEN or IRS Form W-8BEN-E (or successor form), as applicable, a U.S. Tax Compliance Certificate substantially in the form of Exhibit E-2 or Exhibit E-3,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8" w:lineRule="exact"/>
        <w:rPr>
          <w:rFonts w:ascii="Times New Roman" w:cs="Times New Roman" w:eastAsia="Times New Roman" w:hAnsi="Times New Roman"/>
          <w:sz w:val="18"/>
          <w:szCs w:val="18"/>
          <w:color w:val="auto"/>
        </w:rPr>
      </w:pPr>
    </w:p>
    <w:p>
      <w:pPr>
        <w:jc w:val="both"/>
        <w:ind w:left="180" w:firstLine="490"/>
        <w:spacing w:after="0" w:line="255" w:lineRule="auto"/>
        <w:tabs>
          <w:tab w:leader="none" w:pos="147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88" w:lineRule="exact"/>
        <w:rPr>
          <w:rFonts w:ascii="Times New Roman" w:cs="Times New Roman" w:eastAsia="Times New Roman" w:hAnsi="Times New Roman"/>
          <w:sz w:val="18"/>
          <w:szCs w:val="18"/>
          <w:color w:val="auto"/>
        </w:rPr>
      </w:pPr>
    </w:p>
    <w:p>
      <w:pPr>
        <w:jc w:val="both"/>
        <w:ind w:left="180" w:firstLine="490"/>
        <w:spacing w:after="0" w:line="271" w:lineRule="auto"/>
        <w:tabs>
          <w:tab w:leader="none" w:pos="1371"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89" w:name="page90"/>
    <w:bookmarkEnd w:id="89"/>
    <w:p>
      <w:pPr>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62" w:lineRule="exact"/>
        <w:rPr>
          <w:sz w:val="20"/>
          <w:szCs w:val="20"/>
          <w:color w:val="auto"/>
        </w:rPr>
      </w:pPr>
    </w:p>
    <w:p>
      <w:pPr>
        <w:jc w:val="both"/>
        <w:ind w:firstLine="656"/>
        <w:spacing w:after="0" w:line="253" w:lineRule="auto"/>
        <w:tabs>
          <w:tab w:leader="none" w:pos="133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Allocation of Proceeds; Sharing of Setoffs.</w:t>
      </w:r>
      <w:r>
        <w:rPr>
          <w:rFonts w:ascii="Times New Roman" w:cs="Times New Roman" w:eastAsia="Times New Roman" w:hAnsi="Times New Roman"/>
          <w:sz w:val="18"/>
          <w:szCs w:val="18"/>
          <w:color w:val="auto"/>
        </w:rPr>
        <w:t xml:space="preserve"> (a) The Borrowers shall make each payment or prepayment required to be made by them hereunder (whether of principal, interest, fees or reimbursement of LC Disbursements, or of amounts payable under Section 2.15, 2.16 or 2.17, or otherwise) prior to 2:00 p.m., Chicago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0" w:name="page91"/>
    <w:bookmarkEnd w:id="90"/>
    <w:p>
      <w:pPr>
        <w:jc w:val="both"/>
        <w:ind w:firstLine="656"/>
        <w:spacing w:after="0" w:line="251" w:lineRule="auto"/>
        <w:tabs>
          <w:tab w:leader="none" w:pos="134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and any proceeds of Collateral received by the Administrative Agent (i) not constituting either (A) a specific payment of principal, interest, fees or other sum payable under the Loan Documents (which shall be applied as specified by the Borrowers), (B) a mandatory prepayment (which shall be applied in accordance with Section 2.11) or (C) amounts to be applied from the Collection Account when full cash dominion is in effect (which shall be applied in accordance with Section 2.10(b)) or (ii) after an Event of Default has occurred and is continuing and the Administrative Agent so elects or the Required Lenders so direct, shall be applied ratably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then due to the Administrative Agent and the Issuing Bank from the Borrowers (other than in connection with Banking Services Obligations or Swap Agreement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indemnities, or expense reimbursements then due to the Lenders from the Borrowers (other than in connection with Banking Services Obligations or Swap Agreement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due in respect of the Overadvances and Protective Advances,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 the principal of the Overadvances and Protective Advances,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pay interest then due and payable on the Loans (other than the Overadvances and Protective Advances) ratably,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prepay principal on the Loans (other than the Overadvances and Protective Advances) and unreimbursed LC Disbursements, to pay an amount to the Administrative Agent equal to one hundred five percent (105%) of the aggregate LC Exposure, to be held as cash collateral for such Obligations, and to pay any amounts owing in respect of Swap Agreement Obligations up to and including the amount most recently provided to the Administrative Agent pursuant to Section 2.22, for which Reserves have been established, ratably,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payment of any amounts owing in respect of Banking Services Obligations and Swap Agreement Obligations up to and including the amount most recently provided to the Administrative Agent pursuant to Section 2.22 and to the extent not paid pursuant to clause sixth above,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the payment of any other Secured Obligation due to the Administrative Agent or any Lender by the Borrowers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the foregoing amounts received from any Loan Party shall not be applied to any Excluded Swap Obligation of such Loan Party. Notwithstanding anything to the contrary contained in this Agreement, unless so directed by the Borrower Representative, or unless a Default is in existence, neither the Administrative Agent nor any Lender shall apply any payment which it receives to any Term Benchmark Loan of a Class, except (a) on the expiration date of the Interest Period applicable thereto or (b) in the event, and only to the extent, that there are no outstanding CBFR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205" w:lineRule="exact"/>
        <w:rPr>
          <w:rFonts w:ascii="Times New Roman" w:cs="Times New Roman" w:eastAsia="Times New Roman" w:hAnsi="Times New Roman"/>
          <w:sz w:val="18"/>
          <w:szCs w:val="18"/>
          <w:color w:val="auto"/>
        </w:rPr>
      </w:pPr>
    </w:p>
    <w:p>
      <w:pPr>
        <w:jc w:val="both"/>
        <w:ind w:firstLine="656"/>
        <w:spacing w:after="0" w:line="253" w:lineRule="auto"/>
        <w:tabs>
          <w:tab w:leader="none" w:pos="106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Representative pursuant to Section 2.03 or a deemed request as provided in this Section or may be deducted from any deposit account of any Borrower maintained with the Administrative Agent.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 2.03, 2.04 or 2.05, as applicable, and (ii) the Administrative Agent to charge any deposit account of any Borrower maintained with the Administrative Agent for each payment of principal, interest and fees as it becomes due hereunder or any other amount due under the Loan Documents.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jc w:val="both"/>
        <w:ind w:firstLine="656"/>
        <w:spacing w:after="0" w:line="252" w:lineRule="auto"/>
        <w:tabs>
          <w:tab w:leader="none" w:pos="12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7" w:lineRule="exact"/>
        <w:rPr>
          <w:rFonts w:ascii="Times New Roman" w:cs="Times New Roman" w:eastAsia="Times New Roman" w:hAnsi="Times New Roman"/>
          <w:sz w:val="18"/>
          <w:szCs w:val="18"/>
          <w:color w:val="auto"/>
        </w:rPr>
      </w:pPr>
    </w:p>
    <w:p>
      <w:pPr>
        <w:jc w:val="both"/>
        <w:ind w:firstLine="656"/>
        <w:spacing w:after="0" w:line="254" w:lineRule="auto"/>
        <w:tabs>
          <w:tab w:leader="none" w:pos="130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prior to any date on which any payment is due to the Administrative Agent for the account of the Lenders or the Issuing Bank pursuant to the terms hereof or any other Loan Document (including any date that is fixed for prepayment by notice from the Borrower Representative to the Administrative Agent pursuant to Section 2.11(e)), notice from the Borrower Representative that the Borrowers will not make such payment or prepayment,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31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from time to time provide the Borrowers with account statements or invoices with respect to any of the Secured Obligations (the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xml:space="preserve">”).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p>
    <w:p>
      <w:pPr>
        <w:spacing w:after="0" w:line="225" w:lineRule="exact"/>
        <w:rPr>
          <w:sz w:val="20"/>
          <w:szCs w:val="20"/>
          <w:color w:val="auto"/>
        </w:rPr>
      </w:pPr>
    </w:p>
    <w:p>
      <w:pPr>
        <w:jc w:val="both"/>
        <w:ind w:firstLine="656"/>
        <w:spacing w:after="0" w:line="255" w:lineRule="auto"/>
        <w:tabs>
          <w:tab w:leader="none" w:pos="137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or if the Borrowers are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jc w:val="both"/>
        <w:ind w:firstLine="656"/>
        <w:spacing w:after="0" w:line="217" w:lineRule="exact"/>
        <w:tabs>
          <w:tab w:leader="none" w:pos="138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Section 2.15, or if the Borrowers are required to pay any Indemnified Taxes or additional amounts to any Lender or any Governmental Authority for the account of any Lender pursuant to Section 2.17, and, in each case, such Lender has declined or is unable to designate a different lending office in accordance with paragraph (a) of this Section,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Borrowers shall have received the prior written consent of the Administrative Agent (and in circumstances where its consent would be required under Section 9.04, the Issuing Bank and the Swingline Lender), which consent shall not unrea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2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5540" w:right="160" w:hanging="4884"/>
        <w:spacing w:after="0" w:line="532" w:lineRule="auto"/>
        <w:tabs>
          <w:tab w:leader="none" w:pos="12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shall cease to accrue on the unfunded portion of the Revolving Commitment of such Defaulting Lender pursuant to Section 2.12(a);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3" w:name="page94"/>
    <w:bookmarkEnd w:id="93"/>
    <w:p>
      <w:pPr>
        <w:jc w:val="both"/>
        <w:ind w:firstLine="656"/>
        <w:spacing w:after="0" w:line="251" w:lineRule="auto"/>
        <w:tabs>
          <w:tab w:leader="none" w:pos="128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Bank or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the LC Exposure with respect to such Defaulting Lender in accordance with this Section;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4" w:lineRule="exact"/>
        <w:rPr>
          <w:rFonts w:ascii="Times New Roman" w:cs="Times New Roman" w:eastAsia="Times New Roman" w:hAnsi="Times New Roman"/>
          <w:sz w:val="18"/>
          <w:szCs w:val="18"/>
          <w:color w:val="auto"/>
        </w:rPr>
      </w:pPr>
    </w:p>
    <w:p>
      <w:pPr>
        <w:jc w:val="both"/>
        <w:ind w:firstLine="656"/>
        <w:spacing w:after="0" w:line="256" w:lineRule="auto"/>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Defaulting Lender shall not have the right to vote on any issue on which voting is required (other than to the extent expressly provided in Section 9.02(b)) and the Commitment and Revolving Exposure of such Defaulting Lender shall not be included in determining whether the Required Lenders have taken or may take any action hereunder (including any consent to any amendment, waiver or other modification pursuant to Section 9.02)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187"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Swingline Exposure or LC Exposure exists at the time such Lender becomes a Defaulting Lender then:</w:t>
      </w:r>
    </w:p>
    <w:p>
      <w:pPr>
        <w:spacing w:after="0" w:line="225" w:lineRule="exact"/>
        <w:rPr>
          <w:rFonts w:ascii="Times New Roman" w:cs="Times New Roman" w:eastAsia="Times New Roman" w:hAnsi="Times New Roman"/>
          <w:sz w:val="18"/>
          <w:szCs w:val="18"/>
          <w:color w:val="auto"/>
        </w:rPr>
      </w:pPr>
    </w:p>
    <w:p>
      <w:pPr>
        <w:jc w:val="both"/>
        <w:ind w:left="660" w:firstLine="482"/>
        <w:spacing w:after="0" w:line="266" w:lineRule="auto"/>
        <w:tabs>
          <w:tab w:leader="none" w:pos="193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Swingline Exposure and LC Exposure of such Defaulting Lender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pacing w:after="0" w:line="175" w:lineRule="exact"/>
        <w:rPr>
          <w:rFonts w:ascii="Times New Roman" w:cs="Times New Roman" w:eastAsia="Times New Roman" w:hAnsi="Times New Roman"/>
          <w:sz w:val="18"/>
          <w:szCs w:val="18"/>
          <w:color w:val="auto"/>
        </w:rPr>
      </w:pPr>
    </w:p>
    <w:p>
      <w:pPr>
        <w:jc w:val="both"/>
        <w:ind w:left="660" w:firstLine="482"/>
        <w:spacing w:after="0" w:line="258" w:lineRule="auto"/>
        <w:tabs>
          <w:tab w:leader="none" w:pos="194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clause (i) above cannot, or can only partially, be effected, the Borrowers shall within five (5) Business Days following notice by the Administrative Agent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such Swingline Exposure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4" w:name="page95"/>
    <w:bookmarkEnd w:id="94"/>
    <w:p>
      <w:pPr>
        <w:jc w:val="both"/>
        <w:ind w:left="660" w:firstLine="482"/>
        <w:spacing w:after="0" w:line="266" w:lineRule="auto"/>
        <w:tabs>
          <w:tab w:leader="none" w:pos="202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Borrowers cash collateralize any portion of such Defaulting Lender’s LC Exposure pursuant to clause (ii) above, the Borrowers shall not be required to pay any fees to such Defaulting Lender pursuant to Section 2.12(c) with respect to such Defaulting Lender’s LC Exposure during the period such Defaulting Lender’s LC Exposure is cash collateralized;</w:t>
      </w:r>
    </w:p>
    <w:p>
      <w:pPr>
        <w:spacing w:after="0" w:line="175" w:lineRule="exact"/>
        <w:rPr>
          <w:rFonts w:ascii="Times New Roman" w:cs="Times New Roman" w:eastAsia="Times New Roman" w:hAnsi="Times New Roman"/>
          <w:sz w:val="18"/>
          <w:szCs w:val="18"/>
          <w:color w:val="auto"/>
        </w:rPr>
      </w:pPr>
    </w:p>
    <w:p>
      <w:pPr>
        <w:ind w:left="660" w:right="20" w:firstLine="482"/>
        <w:spacing w:after="0" w:line="282" w:lineRule="auto"/>
        <w:tabs>
          <w:tab w:leader="none" w:pos="184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Exposure of the non-Defaulting Lenders is reallocated pursuant to clause (i) above, then the fees payable to the Lenders pursuant to Sections 2.12(a) and 2.12(c) shall be adjusted in accordance with such non-Defaulting Lenders’ Applicable Percentages; and</w:t>
      </w:r>
    </w:p>
    <w:p>
      <w:pPr>
        <w:spacing w:after="0" w:line="161" w:lineRule="exact"/>
        <w:rPr>
          <w:rFonts w:ascii="Times New Roman" w:cs="Times New Roman" w:eastAsia="Times New Roman" w:hAnsi="Times New Roman"/>
          <w:sz w:val="18"/>
          <w:szCs w:val="18"/>
          <w:color w:val="auto"/>
        </w:rPr>
      </w:pPr>
    </w:p>
    <w:p>
      <w:pPr>
        <w:ind w:left="1780" w:hanging="638"/>
        <w:spacing w:after="0"/>
        <w:tabs>
          <w:tab w:leader="none" w:pos="17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Defaulting Lender’s LC Exposure is neither reallocated nor cash collateralized pursuant to clause (i) or</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5" w:lineRule="auto"/>
        <w:tabs>
          <w:tab w:leader="none" w:pos="93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without prejudice to any rights or remedies of the Issuing Bank or any other Lender hereunder, all letter of credit fees payable under Section 2.12(c) with respect to such Defaulting Lender’s LC Exposure shall be payable to the Issuing Bank until and to the extent that such LC Exposure is reallocated and/or cash collateralized; and</w:t>
      </w:r>
    </w:p>
    <w:p>
      <w:pPr>
        <w:spacing w:after="0" w:line="186" w:lineRule="exact"/>
        <w:rPr>
          <w:sz w:val="20"/>
          <w:szCs w:val="20"/>
          <w:color w:val="auto"/>
        </w:rPr>
      </w:pPr>
    </w:p>
    <w:p>
      <w:pPr>
        <w:jc w:val="both"/>
        <w:ind w:firstLine="656"/>
        <w:spacing w:after="0" w:line="258" w:lineRule="auto"/>
        <w:tabs>
          <w:tab w:leader="none" w:pos="125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such Lender is a Defaulting Lender, the Issuing Bank shall not be required to issue, amend, renew, extend or increase any Letter of Credit, unless it is satisfied that the related exposure and such Defaulting Lender’s then outstanding LC Exposure will be 100% covered by the Commitments of the non-Defaulting Lenders and/or cash collateral will be provided by the Borrowers in accordance with Section 2.20(d), and LC Exposure related to any newly issued or increased Letter of Credit shall be allocated among non-Defaulting Lenders in a manner consistent with Section 2.20(d)(i) (and such Defaulting Lender shall not participate therein).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(i) a Bankruptcy Event or a Bail-In Action with respect to a Lender Parent shall occur following the date hereof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shall have entered into arrangements with the Borrowers or such Lender, satisfactory to the Issuing Bank to defease any risk to it in respect of such Lender hereunder.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each of the Administrative Agent, the Borrowers and the Issuing Bank agrees that a Defaulting Lender has adequately remedied all matters that caused such Lender to be a Defaulting Lender, then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Returned Payments</w:t>
      </w:r>
      <w:r>
        <w:rPr>
          <w:rFonts w:ascii="Times New Roman" w:cs="Times New Roman" w:eastAsia="Times New Roman" w:hAnsi="Times New Roman"/>
          <w:sz w:val="18"/>
          <w:szCs w:val="18"/>
          <w:color w:val="auto"/>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Banking Services and Swap Agreements</w:t>
      </w:r>
      <w:r>
        <w:rPr>
          <w:rFonts w:ascii="Times New Roman" w:cs="Times New Roman" w:eastAsia="Times New Roman" w:hAnsi="Times New Roman"/>
          <w:sz w:val="18"/>
          <w:szCs w:val="18"/>
          <w:color w:val="auto"/>
        </w:rPr>
        <w:t>. Each Lender or Affiliate thereof providing Banking Services for, or having Swap Agreements with, any Loan Party shall deliver to the Administrative Agent, promptly after entering into such Banking Services or Swap Agreements, written notice setting forth the aggregate amount of all Banking Services Obligations and Swap Agreement Obligations of such Loan Party to such Lender or Affiliate (whether matured or unmatured, absolute or contingent). In addition, each such Lender or Affiliate thereof shall deliver to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Section 2.18(b) and which tier of the waterfall, contained in Section 2.18(b), such Banking Services Obligations and/or Swap Agreement Obligations will be placed. For the avoidance of doubt, so long as JPMCB or its Affiliate is the Administrative Agent, neither JPMCB nor any of its Affiliates providing Banking Services for, or having Swap Agreements with, any Loan Party shall be required to provide any notice described in this Section 2.22 in respect of such Banking Services or Swap Agreements.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Loan Party represents and warrants to the Lenders that:</w:t>
      </w:r>
    </w:p>
    <w:p>
      <w:pPr>
        <w:spacing w:after="0" w:line="225"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xml:space="preserve"> Each Loan Party and each Subsidiary is duly organized or formed,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and is in good standing, in every juris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diction where such qualification is required.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xml:space="preserve">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Subsidiary, (c) will not violate or result in a default under any indenture, agreement or other instrument binding upon any Loan Party or any Subsidiary or the assets of any Loan Party or any Subsidiary, or give rise to a right thereunder to require any payment to be made by any Loan Party or any Subsidiary, and (d) will not result in the creation or imposition of, or the requirement to create, any Lien on any asset of any Loan Party or any Subsidiary, except Liens created pursuant to the Loan Documents.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 xml:space="preserve"> (a) The Company has heretofore furnished to the Lenders its consolidated balance sheet and statements of income, stockholders equity and cash flows (i) as of and for the fiscal year ended March 31, 2020, reported on by Moss Adams LLP, independent public accountants, (ii) as of and for the fiscal month and the portion of the fiscal year ended February 28, 2021, certi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fied by a Financial Officer and (iii) a draft of the consolidated balance sheet and statements of income, stockholders equity and cash flows of the Company for the fiscal year ended March 31, 2021. Such financial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ments present fairly, in all material respects, the financial position and results of operations and cash flows of the Company and its consolidated Subsidiaries as of such dates and for such periods in accordance with GAAP, subject to normal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audit adjustments (all of which, when taken as a whole, would not be materially adverse) and the absence of footnotes in the case of the statements referred to in clause (ii) and (iii) above.</w:t>
      </w:r>
    </w:p>
    <w:p>
      <w:pPr>
        <w:spacing w:after="0" w:line="198" w:lineRule="exact"/>
        <w:rPr>
          <w:sz w:val="20"/>
          <w:szCs w:val="20"/>
          <w:color w:val="auto"/>
        </w:rPr>
      </w:pPr>
    </w:p>
    <w:p>
      <w:pPr>
        <w:ind w:left="1280" w:hanging="624"/>
        <w:spacing w:after="0"/>
        <w:tabs>
          <w:tab w:leader="none" w:pos="12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change or condition has occurred that has had, or could reasonably be expected to have, a Material Adverse Effect, since March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31, 2020.</w:t>
      </w:r>
    </w:p>
    <w:p>
      <w:pPr>
        <w:spacing w:after="0" w:line="207"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xml:space="preserve"> (a) As of the date of this Agreement,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Each of the Loan Parties and each of its Subsidiar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ies has good and indefeasible title to, or valid leasehold interests in, all of its real and personal property, free of all Liens other than those permitted by Section 6.02.</w:t>
      </w:r>
    </w:p>
    <w:p>
      <w:pPr>
        <w:spacing w:after="0" w:line="200" w:lineRule="exact"/>
        <w:rPr>
          <w:sz w:val="20"/>
          <w:szCs w:val="20"/>
          <w:color w:val="auto"/>
        </w:rPr>
      </w:pPr>
    </w:p>
    <w:p>
      <w:pPr>
        <w:jc w:val="both"/>
        <w:ind w:firstLine="656"/>
        <w:spacing w:after="0" w:line="261" w:lineRule="auto"/>
        <w:tabs>
          <w:tab w:leader="none" w:pos="135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and each Subsidiary owns, or is licensed to use, all trademarks, tradenames, copyrights, patents and other intellectual property necessary to its business as currently conducted, a correct and complete list of which, as of the date of this Agreement, is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and the use thereof by each Loan Party and each Subsidiary does not infringe in any material respect upon the rights of any other Person, and each Loan Party’s and each Subsidiary’s rights thereto are not subject to any licensing agreement or similar arrangement.</w:t>
      </w:r>
    </w:p>
    <w:p>
      <w:pPr>
        <w:spacing w:after="0" w:line="180"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 xml:space="preserve"> (a) There are no actions, suits or proceedings by or before any arbitrator or Governmental Authority pending against or, to the knowledge of any Loan Party, threatened against or affecting any Loan Party or any Subsidiary (i) as to which there is a reasonable possi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bility of an adverse determination and that, if adversely deter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mined, could reasonably be expected, individually or in the aggregate, to result in a Material Adverse Effect (other than the Disclosed Matters) or (ii) that involve any Loan Document or the Transactions.</w:t>
      </w:r>
    </w:p>
    <w:p>
      <w:pPr>
        <w:spacing w:after="0" w:line="200" w:lineRule="exact"/>
        <w:rPr>
          <w:sz w:val="20"/>
          <w:szCs w:val="20"/>
          <w:color w:val="auto"/>
        </w:rPr>
      </w:pPr>
    </w:p>
    <w:p>
      <w:pPr>
        <w:jc w:val="both"/>
        <w:ind w:firstLine="656"/>
        <w:spacing w:after="0" w:line="256" w:lineRule="auto"/>
        <w:tabs>
          <w:tab w:leader="none" w:pos="129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Disclosed Matters (i) no Loan Party or any Subsidiary has received notice of any claim with respect to any Environmental Liability or knows of any basis for any Environmental Liability and (ii) except with respect to any other matters that, individually or in the aggregate, could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25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has been no change in the status of the Disclosed Matters that, individually or in the aggregate, has resulted in, or could reasonably be expected to result in a Material Adverse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 No Default.</w:t>
      </w:r>
      <w:r>
        <w:rPr>
          <w:rFonts w:ascii="Times New Roman" w:cs="Times New Roman" w:eastAsia="Times New Roman" w:hAnsi="Times New Roman"/>
          <w:sz w:val="18"/>
          <w:szCs w:val="18"/>
          <w:color w:val="auto"/>
        </w:rPr>
        <w:t xml:space="preserve"> Except where the failure to do so, individually or in the aggregate, could not reasonably be expected to result in a Material Adverse Effect, each Loan Party and each Subsidiary is in compliance with (a) all Requirements of Law applicable to it or its property and (b) all indentures, agreements and other instruments binding upon it or its property. No Default has occurred and is continuing.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xml:space="preserve"> No Loan Party or any Subsidiary is an “investment company” as defined in, or subject to regulation under, the Investment Company Act of 1940.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Each Loan Party and each Subsidiary has timely filed (taking into account extensions) or caused to be filed all income and other material Tax returns required to have been filed and has paid or caused to be paid all income and other material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be expected to result in a Material Adverse Effect.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by more than $50,000 the fair market value of the assets of such Plan, and the present value of all accumulated benefit obligations of all underfunded Plans (based on the assumptions used for purposes of Statement of Financial Accounting Standards No. 87 or subsequent recodification thereof, as applicable) did not, as of the date of the most recent financial statements reflecting such amounts, exceed by more than $50,000 the fair market value of the assets of all such underfunded Plans.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 The Loan Parties have disclosed to the Lenders all agreements, instruments and corporate or other restrictions to which any Loan Party or any Subsidiary is subject, and all other matters known to it, that, individually or in the aggregate, could reasonably be expected to result in a Material Adverse Effect. None of the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w:t>
      </w:r>
    </w:p>
    <w:p>
      <w:pPr>
        <w:spacing w:after="0" w:line="192" w:lineRule="exact"/>
        <w:rPr>
          <w:sz w:val="20"/>
          <w:szCs w:val="20"/>
          <w:color w:val="auto"/>
        </w:rPr>
      </w:pPr>
    </w:p>
    <w:p>
      <w:pPr>
        <w:ind w:firstLine="656"/>
        <w:spacing w:after="0" w:line="282" w:lineRule="auto"/>
        <w:tabs>
          <w:tab w:leader="none" w:pos="13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to the best knowledge of any Borrower, the information included in the Beneficial Ownership Certification provided on or prior to the Effective Date to any Lender in connection with this Agreement is true and correct in all respects.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Material Agreements</w:t>
      </w:r>
      <w:r>
        <w:rPr>
          <w:rFonts w:ascii="Times New Roman" w:cs="Times New Roman" w:eastAsia="Times New Roman" w:hAnsi="Times New Roman"/>
          <w:sz w:val="18"/>
          <w:szCs w:val="18"/>
          <w:color w:val="auto"/>
        </w:rPr>
        <w:t xml:space="preserve">. All material agreements and contracts to which any Loan Party is a party or is bound as of the date of this Agreement are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No Loan Party is in default in the performance, observance or fulfillment of any of the obligations, covenants or conditions contained in (a) any material agreement to which it is a party or (b) any agreement or instrument evidencing or governing Indebtedness, in each case which could reasonably be expected to result in a Material Adverse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 Immediately after the consummation of the Transactions to occur on the Effective Date, (i) the fair value of the assets of each Loan Party, at a fair valuation, will exceed its debts and liabilities, subordinated, contingent or otherwise; (ii) the present fair saleable value of the property of each Loan Party will be greater than the amount that will be required to pay the probable liability of its debts and other liabilities, subordinated, contingent or otherwise, as such debts and other liabilities become absolute and matured; (iii) each Loan Party will be able to pay its debts and liabilities, subordinated, contingent or otherwise, as such debts and liabilities become absolute and matured; and (iv) no Loan Party will have unreasonably small capital with which to conduct the business in which it is engaged as such business is now conducted and is proposed to be conducted after the Effective Date.</w:t>
      </w:r>
    </w:p>
    <w:p>
      <w:pPr>
        <w:spacing w:after="0" w:line="189" w:lineRule="exact"/>
        <w:rPr>
          <w:sz w:val="20"/>
          <w:szCs w:val="20"/>
          <w:color w:val="auto"/>
        </w:rPr>
      </w:pPr>
    </w:p>
    <w:p>
      <w:pPr>
        <w:jc w:val="both"/>
        <w:ind w:firstLine="656"/>
        <w:spacing w:after="0" w:line="266" w:lineRule="auto"/>
        <w:tabs>
          <w:tab w:leader="none" w:pos="128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Insurance. Schedule 3.14</w:t>
      </w:r>
      <w:r>
        <w:rPr>
          <w:rFonts w:ascii="Times New Roman" w:cs="Times New Roman" w:eastAsia="Times New Roman" w:hAnsi="Times New Roman"/>
          <w:sz w:val="18"/>
          <w:szCs w:val="18"/>
          <w:color w:val="auto"/>
        </w:rPr>
        <w:t xml:space="preserve"> sets forth a description of all insurance maintained by or on behalf of the Loan Parties and their Subsidiaries as of the Effective Date. As of the Effective Date, all premiums in respect of such insurance have been paid. Each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83"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Capitalization and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xml:space="preserve"> sets forth as of the Effective Date (a) a correct and complete list of the name and relationship to the Company of each and all of the Company’s Subsidiaries, (b) a true and complete listing of each class of each Borrower’s authorized Equity Interests, all of which issued Equity Interests are validly issued, outstanding, fully paid and non-assessable, and owned beneficially and of record by the Persons identified on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and (c) the type of entity of the Company and each of its Subsidiaries. All of the issued and outstanding Equity Interests owned by any Loan Party have been (to the extent such concepts are relevant with respect to such ownership interests) duly authorized and issued and are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As of the Effective Date, there are no outstanding commitments or other obligations of any Loan Party to issue, and no options, warrants or other rights of any Person to acquire, any shares of any class of capital stock or other equity interests of any Loan Party.</w:t>
      </w:r>
    </w:p>
    <w:p>
      <w:pPr>
        <w:spacing w:after="0" w:line="20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xml:space="preserve"> The provisions of this Agreement and the other Loan Documents create legal and valid Liens on all of the Collateral in favor of the Administrative Agent, for the benefit of the Secured Parties, and such Liens constitute perfected and continuing Liens on the Collateral,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and (b) Liens perfected only by possession (including possession of any certificate of title) to the extent the Administrative Agent has not obtained or does not maintain possession of such Collateral.</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 As of the Effective Date, there are no strikes, lockouts or slowdowns against any Loan Party or any Subsidiary pending or, to the knowledge of any Loan Party, threatened. The hours worked by and payments made to employees of the Loan Parties and their Subsidiaries have not been in violation of the Fair Labor Standards Act or any other applicable Federal, state, local or foreign law dealing with such matters.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have been used and will be used, whether directly or indirectly as set forth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5.08.</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No Burdensome Restrictions</w:t>
      </w:r>
      <w:r>
        <w:rPr>
          <w:rFonts w:ascii="Times New Roman" w:cs="Times New Roman" w:eastAsia="Times New Roman" w:hAnsi="Times New Roman"/>
          <w:sz w:val="18"/>
          <w:szCs w:val="18"/>
          <w:color w:val="auto"/>
        </w:rPr>
        <w:t>. No Loan Party is subject to any Burdensome Restrictions except Burdensome Restrictions permitted under Section 6.10.</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None of (a) any Loan Party, any Subsidiary or any of their respective directors, officers or, to the knowledge of any such Loan Party or Subsidiary,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Common Enterprise</w:t>
      </w:r>
      <w:r>
        <w:rPr>
          <w:rFonts w:ascii="Times New Roman" w:cs="Times New Roman" w:eastAsia="Times New Roman" w:hAnsi="Times New Roman"/>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Borrowers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EEA Financial Institutions</w:t>
      </w:r>
      <w:r>
        <w:rPr>
          <w:rFonts w:ascii="Times New Roman" w:cs="Times New Roman" w:eastAsia="Times New Roman" w:hAnsi="Times New Roman"/>
          <w:sz w:val="18"/>
          <w:szCs w:val="18"/>
          <w:color w:val="auto"/>
        </w:rPr>
        <w:t>. No Loan Party is an EEA Financial Institution.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Plan Assets; Prohibited Transactions</w:t>
      </w:r>
      <w:r>
        <w:rPr>
          <w:rFonts w:ascii="Times New Roman" w:cs="Times New Roman" w:eastAsia="Times New Roman" w:hAnsi="Times New Roman"/>
          <w:sz w:val="18"/>
          <w:szCs w:val="18"/>
          <w:color w:val="auto"/>
        </w:rPr>
        <w:t>. No Loan Party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0" w:name="page101"/>
    <w:bookmarkEnd w:id="10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obligations of the Lenders to amend and restate the Existing Credit Agreement in the form of this Agreement, and the obligation to make Loans and of the Issuing Bank to issue Letters of Credit hereunder shall not become effective until the date on which each of the following conditions is satisfied (or waived in accordance with Section 9.02):</w:t>
      </w:r>
    </w:p>
    <w:p>
      <w:pPr>
        <w:spacing w:after="0" w:line="176" w:lineRule="exact"/>
        <w:rPr>
          <w:sz w:val="20"/>
          <w:szCs w:val="20"/>
          <w:color w:val="auto"/>
        </w:rPr>
      </w:pPr>
    </w:p>
    <w:p>
      <w:pPr>
        <w:jc w:val="both"/>
        <w:ind w:left="660" w:firstLine="644"/>
        <w:spacing w:after="0" w:line="257" w:lineRule="auto"/>
        <w:tabs>
          <w:tab w:leader="none" w:pos="192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 and Other Loan Documents</w:t>
      </w:r>
      <w:r>
        <w:rPr>
          <w:rFonts w:ascii="Times New Roman" w:cs="Times New Roman" w:eastAsia="Times New Roman" w:hAnsi="Times New Roman"/>
          <w:sz w:val="18"/>
          <w:szCs w:val="18"/>
          <w:color w:val="auto"/>
        </w:rPr>
        <w:t>. The Administrative Agent (or its counsel) shall have received (i) from each party hereto a counterpart of this Agreement signed on behalf of such party (which, subject to Section 9.06(b), may include any Electronic Signatures transmitted by facsimile, emailed pdf. or any other electronic means that reproduces an image of an actual executed signature page), (ii) either</w:t>
      </w:r>
    </w:p>
    <w:p>
      <w:pPr>
        <w:spacing w:after="0" w:line="1"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6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 of each other Loan Document signed on behalf of each party thereto or (B) written evidence satisfactory to the Administrative Agent (which may include facsimile or other electronic transmission of a signed signature page thereof) that each such party has signed a counterpart of such Loan Document and (iii)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and a customary legal opinion of the Loan Parties' counsel, addressed to the Administrative Agent, the Issuing Bank and the Lenders, all in form and substance satisfactory to the Administrative Agent and its counsel.</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12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and Projections</w:t>
      </w:r>
      <w:r>
        <w:rPr>
          <w:rFonts w:ascii="Times New Roman" w:cs="Times New Roman" w:eastAsia="Times New Roman" w:hAnsi="Times New Roman"/>
          <w:sz w:val="18"/>
          <w:szCs w:val="18"/>
          <w:color w:val="auto"/>
        </w:rPr>
        <w:t>. The Lenders shall have received (i) audited consolidated financial statements of the Company for the fiscal years ending March 2018, March 2019, March 2020 (ii) to the extent available as of the Effective Date, a draft of the consolidated financial statements of the Company for the fiscal year ending March 2021, (iii) unaudited interim consolidated financial statements of the Company for each fiscal month ended after the date of the latest applicable financial statements delivered pursuant to clause (i) of this paragraph and on or prior to February 28, 2021, and such financial statements shall not, in the reasonable judgment of the Administrative Agent, reflect any material adverse change in the consolidated financial condition of the Company, as reflected in the audited, consolidated financial statements described in clause (i) of this paragraph and (iv) satisfactory projections for the fiscal years of the Company ending March 2022 and March 2023.</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18" w:lineRule="exact"/>
        <w:tabs>
          <w:tab w:leader="none" w:pos="204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Certificates; Certified Certificate of Incorporation; Good Standing Certificates</w:t>
      </w:r>
      <w:r>
        <w:rPr>
          <w:rFonts w:ascii="Times New Roman" w:cs="Times New Roman" w:eastAsia="Times New Roman" w:hAnsi="Times New Roman"/>
          <w:sz w:val="18"/>
          <w:szCs w:val="18"/>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each Borrower, its Financial Officers, and (C) contain appropriate attachments, including the certificate or articles of incorporation or organization of each Loan Party certified by the relevant authority of the jurisdiction of organization of such Loan Party and a true and correct copy of its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or operating, management or partnership agreement, or other organizational or governing documents, and (ii) a good standing certificate for each Loan Party from its jurisdiction of organization or the substantive equivalent available in the jurisdiction of organization for each Loan Party from the appropriate governmental officer in such jurisdiction.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jc w:val="both"/>
        <w:ind w:left="-460" w:firstLine="644"/>
        <w:spacing w:after="0" w:line="261" w:lineRule="auto"/>
        <w:tabs>
          <w:tab w:leader="none" w:pos="10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Certificate</w:t>
      </w:r>
      <w:r>
        <w:rPr>
          <w:rFonts w:ascii="Times New Roman" w:cs="Times New Roman" w:eastAsia="Times New Roman" w:hAnsi="Times New Roman"/>
          <w:sz w:val="18"/>
          <w:szCs w:val="18"/>
          <w:color w:val="auto"/>
        </w:rPr>
        <w:t>. The Administrative Agent shall have received a certificate, signed by a Financial Officer of the Company, dated as of the Effective Date (i) stating that no Default has occurred and is continuing, (ii) stating that the representations and warranties contained in the Loan Documents are true and correct as of such date, and (iii) certifying as to any other factual matters as may be reasonably requested by the Administrative Agent.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2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and the Administrative Agent shall have received all fees required to be paid, and all expenses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Representative to the Administrative Agent on or before the Effective Date.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8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the results of a recent lien search in each jurisdiction where the Loan Parties are organized and where the assets of the Loan Parties are located, and such search shall reveal no Liens on any of the assets of the Loan Parties except for Liens permitted by Section 6.02 or discharged on or prior to the Effective Date pursuant to a pay-off letter or other documentation satisfactory to the Administrative Agent.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6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The Administrative Agent shall have received satisfactory pay-off letters for all existing Indebtedness to be repaid from the proceeds of the initial Borrowing, confirming that all Liens upon any of the property of the Loan Parties constituting Collateral will be terminated concurrently with such payment and all letters of credit issued or guaranteed as part of such Indebtedness shall have been cash collateralized or supported by a Letter of Credit.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1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Account</w:t>
      </w:r>
      <w:r>
        <w:rPr>
          <w:rFonts w:ascii="Times New Roman" w:cs="Times New Roman" w:eastAsia="Times New Roman" w:hAnsi="Times New Roman"/>
          <w:sz w:val="18"/>
          <w:szCs w:val="18"/>
          <w:color w:val="auto"/>
        </w:rPr>
        <w:t>. The Administrative Agent shall have received a notice setting forth the deposit accounts of the Borrowers (the “</w:t>
      </w:r>
      <w:r>
        <w:rPr>
          <w:rFonts w:ascii="Times New Roman" w:cs="Times New Roman" w:eastAsia="Times New Roman" w:hAnsi="Times New Roman"/>
          <w:sz w:val="18"/>
          <w:szCs w:val="18"/>
          <w:u w:val="single" w:color="auto"/>
          <w:color w:val="auto"/>
        </w:rPr>
        <w:t>Funding Accounts</w:t>
      </w:r>
      <w:r>
        <w:rPr>
          <w:rFonts w:ascii="Times New Roman" w:cs="Times New Roman" w:eastAsia="Times New Roman" w:hAnsi="Times New Roman"/>
          <w:sz w:val="18"/>
          <w:szCs w:val="18"/>
          <w:color w:val="auto"/>
        </w:rPr>
        <w:t>”) to which the Administrative Agent is authorized by the Borrowers to transfer the proceeds of any Borrowings requested or authorized pursuant to this Agreement.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List</w:t>
      </w:r>
      <w:r>
        <w:rPr>
          <w:rFonts w:ascii="Times New Roman" w:cs="Times New Roman" w:eastAsia="Times New Roman" w:hAnsi="Times New Roman"/>
          <w:sz w:val="18"/>
          <w:szCs w:val="18"/>
          <w:color w:val="auto"/>
        </w:rPr>
        <w:t>. The Administrative Agent shall have received a true and complete customer list for each Borrower and its Subsidiaries, which list shall state the customer’s name, mailing address and phone number and shall be certified as true and correct by a Financial Officer of the Borrower Representative.</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0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Access and Control Agreements</w:t>
      </w:r>
      <w:r>
        <w:rPr>
          <w:rFonts w:ascii="Times New Roman" w:cs="Times New Roman" w:eastAsia="Times New Roman" w:hAnsi="Times New Roman"/>
          <w:sz w:val="18"/>
          <w:szCs w:val="18"/>
          <w:color w:val="auto"/>
        </w:rPr>
        <w:t>. The Administrative Agent shall have received (i) each Collateral Access Agreement required to be provided pursuant to Section 4.13 of the Security Agreement, (ii) each Deposit Account Control Agreement required to be provided pursuant to Section 4.14 of the Security Agreement and (iii) a control agreement acceptable to Administrative Agent in its Permitted Discretion, executed by StoneX Financial Inc. (the “</w:t>
      </w:r>
      <w:r>
        <w:rPr>
          <w:rFonts w:ascii="Times New Roman" w:cs="Times New Roman" w:eastAsia="Times New Roman" w:hAnsi="Times New Roman"/>
          <w:sz w:val="18"/>
          <w:szCs w:val="18"/>
          <w:u w:val="single" w:color="auto"/>
          <w:color w:val="auto"/>
        </w:rPr>
        <w:t>Commodities Intermediary</w:t>
      </w:r>
      <w:r>
        <w:rPr>
          <w:rFonts w:ascii="Times New Roman" w:cs="Times New Roman" w:eastAsia="Times New Roman" w:hAnsi="Times New Roman"/>
          <w:sz w:val="18"/>
          <w:szCs w:val="18"/>
          <w:color w:val="auto"/>
        </w:rPr>
        <w:t>”) with respect to Account #462-24461 maintained with the Commodities Intermediary (the “</w:t>
      </w:r>
      <w:r>
        <w:rPr>
          <w:rFonts w:ascii="Times New Roman" w:cs="Times New Roman" w:eastAsia="Times New Roman" w:hAnsi="Times New Roman"/>
          <w:sz w:val="18"/>
          <w:szCs w:val="18"/>
          <w:u w:val="single" w:color="auto"/>
          <w:color w:val="auto"/>
        </w:rPr>
        <w:t>Commodities Intermediary Account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2" w:name="page103"/>
    <w:bookmarkEnd w:id="102"/>
    <w:p>
      <w:pPr>
        <w:ind w:left="1300" w:hanging="656"/>
        <w:spacing w:after="0"/>
        <w:tabs>
          <w:tab w:leader="none" w:pos="13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Administrative Agent shall have received a solvency certificate signed by a Financial Officer dated the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ind w:firstLine="644"/>
        <w:spacing w:after="0" w:line="282" w:lineRule="auto"/>
        <w:tabs>
          <w:tab w:leader="none" w:pos="134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The Administrative Agent shall have received a Borrowing Base Certificate which calculates the Borrowing Base as of a recent date determined by the Administrative Agent.</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19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Availability</w:t>
      </w:r>
      <w:r>
        <w:rPr>
          <w:rFonts w:ascii="Times New Roman" w:cs="Times New Roman" w:eastAsia="Times New Roman" w:hAnsi="Times New Roman"/>
          <w:sz w:val="18"/>
          <w:szCs w:val="18"/>
          <w:color w:val="auto"/>
        </w:rPr>
        <w:t>. After giving effect to all Borrowings to be made on the Effective Date, the issuance of any Letters of Credit on the Effective Date and the payment of all fees and expenses due hereunder, and with all of the Loan Parties’ indebtedness, liabilities, and obligations current, the Excess Availability shall not be less than $20,000,000.</w:t>
      </w:r>
    </w:p>
    <w:p>
      <w:pPr>
        <w:spacing w:after="0" w:line="175" w:lineRule="exact"/>
        <w:rPr>
          <w:rFonts w:ascii="Times New Roman" w:cs="Times New Roman" w:eastAsia="Times New Roman" w:hAnsi="Times New Roman"/>
          <w:sz w:val="18"/>
          <w:szCs w:val="18"/>
          <w:color w:val="auto"/>
        </w:rPr>
      </w:pPr>
    </w:p>
    <w:p>
      <w:pPr>
        <w:jc w:val="both"/>
        <w:ind w:firstLine="644"/>
        <w:spacing w:after="0" w:line="258" w:lineRule="auto"/>
        <w:tabs>
          <w:tab w:leader="none" w:pos="144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Equity Interests; Stock Powers; Pledged Notes</w:t>
      </w:r>
      <w:r>
        <w:rPr>
          <w:rFonts w:ascii="Times New Roman" w:cs="Times New Roman" w:eastAsia="Times New Roman" w:hAnsi="Times New Roman"/>
          <w:sz w:val="18"/>
          <w:szCs w:val="18"/>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128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Each document (including any Uniform Commercial Code financing statement) required by the Collateral Documents or under law or requested by the Administrative Agent in its sole discretion to be filed, registered or recorded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Section 6.02), shall be in proper form for filing, registration or recordation.</w:t>
      </w:r>
    </w:p>
    <w:p>
      <w:pPr>
        <w:spacing w:after="0" w:line="183" w:lineRule="exact"/>
        <w:rPr>
          <w:rFonts w:ascii="Times New Roman" w:cs="Times New Roman" w:eastAsia="Times New Roman" w:hAnsi="Times New Roman"/>
          <w:sz w:val="18"/>
          <w:szCs w:val="18"/>
          <w:color w:val="auto"/>
        </w:rPr>
      </w:pPr>
    </w:p>
    <w:p>
      <w:pPr>
        <w:jc w:val="both"/>
        <w:ind w:firstLine="644"/>
        <w:spacing w:after="0" w:line="266" w:lineRule="auto"/>
        <w:tabs>
          <w:tab w:leader="none" w:pos="128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Unless required to be delivered by a later date pursuant to Section 5.16, the Administrative Agent shall have received evidence of insurance coverage in form, scope, and substance reasonably satisfactory to the Administrative Agent and otherwise in compliance with the terms of Section 5.10 hereof and Section 4.12 of the Security Agreement.</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125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If a Letter of Credit is requested to be issued on the Effective Date, the Administrative Agent shall have received a properly completed letter of credit application (whether standalone or pursuant to a master agreement, as applicable). The Borrowers shall have executed the Issuing Bank’s master agreement for the issuance of commercial Letters of Credit.</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136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Administrative Agent shall have received a properly completed and signed IRS Form W-8 or W-9, as applicable, for each Loan Party.</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4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Structure</w:t>
      </w:r>
      <w:r>
        <w:rPr>
          <w:rFonts w:ascii="Times New Roman" w:cs="Times New Roman" w:eastAsia="Times New Roman" w:hAnsi="Times New Roman"/>
          <w:sz w:val="18"/>
          <w:szCs w:val="18"/>
          <w:color w:val="auto"/>
        </w:rPr>
        <w:t>. The corporate structure, capital structure and other material debt instruments, material accounts and governing documents of the Borrowers and their Affiliates shall be acceptable to the Administrative Agent in its sole discretion.</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Field Examination</w:t>
      </w:r>
      <w:r>
        <w:rPr>
          <w:rFonts w:ascii="Times New Roman" w:cs="Times New Roman" w:eastAsia="Times New Roman" w:hAnsi="Times New Roman"/>
          <w:sz w:val="18"/>
          <w:szCs w:val="18"/>
          <w:color w:val="auto"/>
        </w:rPr>
        <w:t>. The Administrative Agent or its designee shall have conducted, at the sole cost and expense of the Lenders, a field examination of the Borrower’s Accounts, Inventory and related working capital matters and of the Borrowers’ related data processing and other systems, the results of which shall be satisfactory to the Administrative Agent in its sole discretion. The Loan Parties shall have no obligation to reimburse the Administrative Agent or the Lenders for the cost of such field examination notwithstanding Section 4.01(e).</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03" w:name="page104"/>
    <w:bookmarkEnd w:id="103"/>
    <w:p>
      <w:pPr>
        <w:ind w:left="660" w:firstLine="644"/>
        <w:spacing w:after="0" w:line="282" w:lineRule="auto"/>
        <w:tabs>
          <w:tab w:leader="none" w:pos="192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Due Diligence</w:t>
      </w:r>
      <w:r>
        <w:rPr>
          <w:rFonts w:ascii="Times New Roman" w:cs="Times New Roman" w:eastAsia="Times New Roman" w:hAnsi="Times New Roman"/>
          <w:sz w:val="18"/>
          <w:szCs w:val="18"/>
          <w:color w:val="auto"/>
        </w:rPr>
        <w:t>. The Administrative Agent and its counsel shall have completed all legal due diligence, the results of which shall be satisfactory to Administrative Agent in its sole discretion.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10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The Administrative Agent shall have received an appraisal of the Borrowers’ Inventory from one or more firms satisfactory to the Administrative Agent, which appraisal shall be satisfactory to the Administrative Agent in its sole discretion.</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203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 Etc</w:t>
      </w:r>
      <w:r>
        <w:rPr>
          <w:rFonts w:ascii="Times New Roman" w:cs="Times New Roman" w:eastAsia="Times New Roman" w:hAnsi="Times New Roman"/>
          <w:sz w:val="18"/>
          <w:szCs w:val="18"/>
          <w:color w:val="auto"/>
        </w:rPr>
        <w:t>. (i) The Administrative Agent shall have received, at least five (5) days prior to the Effective Date, all documentation and other information regarding the Borrowers requested in connection with applicable “know your customer” and anti-money laundering rules and regulations, including the USA PATRIOT Act, to the extent requested in writing of the Borrowers at least ten (10) days prior to the Effective Date, and (ii) to the extent any Borrower qualifies as a “legal entity customer” under the Beneficial Ownership Regulation, at least five (5) days prior to the Effective Date, any Lender that has requested, in a written notice to the Borrowers at least ten (10) days prior to the Effective Date, a Beneficial Ownership Certification in relation to each Borrower shall have received such Beneficial Ownership Certification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execution and delivery by such Lender of its signature page to this Agreement, the condition set forth in this clause (ii) shall be deemed to be satisfied).</w:t>
      </w:r>
    </w:p>
    <w:p>
      <w:pPr>
        <w:spacing w:after="0" w:line="191" w:lineRule="exact"/>
        <w:rPr>
          <w:rFonts w:ascii="Times New Roman" w:cs="Times New Roman" w:eastAsia="Times New Roman" w:hAnsi="Times New Roman"/>
          <w:sz w:val="18"/>
          <w:szCs w:val="18"/>
          <w:color w:val="auto"/>
        </w:rPr>
      </w:pPr>
    </w:p>
    <w:p>
      <w:pPr>
        <w:ind w:left="660" w:firstLine="644"/>
        <w:spacing w:after="0" w:line="282" w:lineRule="auto"/>
        <w:tabs>
          <w:tab w:leader="none" w:pos="194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Administrative Agent shall have received such other documents as the Administrative Agent, the Issuing Bank, any Lender or their respective counsel may have reasonably requested.</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Administrative Agent shall notify the Borrowers, the Lenders and the Issuing Bank of the Effective Date, and such notice shall be conclusive and binding. Notwithstanding the foregoing, the obligations of the Lenders to make Loans and of the Issuing Bank to issue Letters of Credit hereunder shall not become effective unless each of the foregoing conditions is satisfied (or waived pursuant to Section 9.02) at or prior to 2:00 p.m., Chicago time, on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date of this Agreement (and, in the event such conditions are not so satisfied or waived, the Commitments may be terminated at such time by written notice to Borrower Representative delivered by Administrative Agent.).</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xml:space="preserve"> The obligation of each Lender to make a Loan on the occasion of any Borrowing, and of the Issuing Bank to issue, amend or extend any Letter of Credit, is subject to the satisfaction of the following conditions:</w:t>
      </w:r>
    </w:p>
    <w:p>
      <w:pPr>
        <w:spacing w:after="0" w:line="162" w:lineRule="exact"/>
        <w:rPr>
          <w:sz w:val="20"/>
          <w:szCs w:val="20"/>
          <w:color w:val="auto"/>
        </w:rPr>
      </w:pPr>
    </w:p>
    <w:p>
      <w:pPr>
        <w:jc w:val="both"/>
        <w:ind w:left="660" w:firstLine="644"/>
        <w:spacing w:after="0" w:line="261" w:lineRule="auto"/>
        <w:tabs>
          <w:tab w:leader="none" w:pos="197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Loan Parties set forth in the Loan Documents shall be true and correct with the same effect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only as of such specified date).</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95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or extension of such Letter of Credit, as applicable, (i) no Default shall have occurred and be continuing and (ii) no Protective Advance shall be outstanding.</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any Borrowing or the issuance of any Letter of Credit, Availability shall not be less than zero.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ind w:left="1940" w:hanging="636"/>
        <w:spacing w:after="0"/>
        <w:tabs>
          <w:tab w:leader="none" w:pos="19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shall have occurred and no condition shall exist which has or could be reasonably expected to have a Material Adverse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Borrowing and each issuance, amendment or extension of a Letter of Credit shall be deemed to constitute a representation and warranty by the Borrowers on the date thereof as to the matters specified in paragraphs (a), (b), (c) and (d) of this Section.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failure to satisfy the conditions precedent set forth in paragraphs (a) or (b) of this Section, unless otherwise directed by the Required Lenders, the Administrative Agent may, but shall have no obligation to, continue to make Loans and an Issuing Bank may, but shall have no obligation to, issue, amend or extend, or cause to be issued, amended or extended, any Letter of Credit for the ratable account and risk of Lenders from time to time if the Administrative Agent believes that making such Loans or issuing, amending or extending, or causing the issuance, amendment or extension of, any such Letter of Credit is in the best interests of the Lenders.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Until all of the Secured Obligations have been Paid in Full, each Loan Party executing this Agreement covenants and agrees, jointly and severally with all of the other Loan Parties, with the Lenders that: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Borrowing Base and Other Information.</w:t>
      </w:r>
      <w:r>
        <w:rPr>
          <w:rFonts w:ascii="Times New Roman" w:cs="Times New Roman" w:eastAsia="Times New Roman" w:hAnsi="Times New Roman"/>
          <w:sz w:val="18"/>
          <w:szCs w:val="18"/>
          <w:color w:val="auto"/>
        </w:rPr>
        <w:t xml:space="preserve"> The Borrowers will furnish to the Administrative Agent and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jc w:val="both"/>
        <w:ind w:left="660" w:firstLine="644"/>
        <w:spacing w:after="0" w:line="254" w:lineRule="auto"/>
        <w:tabs>
          <w:tab w:leader="none" w:pos="191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5 days after the date on which such financial statements are required to be filed with the SEC for such fiscal year (after giving effect to any permitted extensions) (or, if such financial statements are not required to be filed with the SEC, on or before the date that is 90 days after the end of each such fiscal year) the audited consolidated balance sheet of the Company and its Subsidiaries and related statements of operations, stockholders' equity and cash flows as of the end of and for each fiscal year of the Company,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18" w:lineRule="exact"/>
        <w:tabs>
          <w:tab w:leader="none" w:pos="191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5 days after the date on which such financial statements are required to be filed with the SEC for such fiscal quarter (after giving effect to any permitted extensions) (or, if such financial statements are not required to be filed with the SEC, on or before the date that is 45 days after the end of each such fiscal quarter), the consolidated balance sheet of the Company and its Subsidiaries and related statements of operations, stockholders' equity and cash flows as of the end of and for each fiscal quarter of the Company and the then elapsed portion of such fiscal year, setting forth in each case in comparative form the figures for the corresponding period or periods of (or, in the case of the balance sheet, as of the end of) the previous fiscal year, all certified by a Finan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cial Officer of the Borrower Representative as presenting fairly in all material respects the financial condition and results of operations of the Company and its consolidated Subsidiaries on a consolidated basis in accordance with GAAP consis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tently applied, subject to normal year-end audit adjustments and the absence of footnotes;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jc w:val="both"/>
        <w:ind w:left="-460" w:firstLine="644"/>
        <w:spacing w:after="0" w:line="222" w:lineRule="exact"/>
        <w:tabs>
          <w:tab w:leader="none" w:pos="81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end of each fiscal month of the Company, the consolidated balance sheet of the Company and its Subsidiaries and related statements of operations, stockholders' equity and cash flows as of the end of and for such fiscal month and the then elapsed portion of the fiscal year, setting forth in each case in comparative form the figures for the corresponding period or periods of (or, in the case of the balance sheet, as of the end of) the previous fiscal year, all certified by a Finan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cial Officer of the Borrower Representative as presenting fairly in all material respects the financial condition and results of operations of the Company and its consolidated Subsidiaries on a consolidated basis in accordance with GAAP consis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tently applied, subject to normal year-end audit adjustments and the absence of footnotes;</w:t>
      </w:r>
    </w:p>
    <w:p>
      <w:pPr>
        <w:spacing w:after="0" w:line="182" w:lineRule="exact"/>
        <w:rPr>
          <w:rFonts w:ascii="Times New Roman" w:cs="Times New Roman" w:eastAsia="Times New Roman" w:hAnsi="Times New Roman"/>
          <w:sz w:val="18"/>
          <w:szCs w:val="18"/>
          <w:color w:val="auto"/>
        </w:rPr>
      </w:pPr>
    </w:p>
    <w:p>
      <w:pPr>
        <w:jc w:val="both"/>
        <w:ind w:left="-460" w:firstLine="644"/>
        <w:spacing w:after="0" w:line="219" w:lineRule="exact"/>
        <w:tabs>
          <w:tab w:leader="none" w:pos="84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delivery of financial statements under clause (a), (b) or (c) above, a Compliance Certificate (i) certifying, in the case of the financial statements delivered under clause (b) or (c), as presenting fairly in all material respects the financial condition and results of operations of the Company and its consolidated Subsidiaries on a consolidated basis in accordance with GAAP consis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98"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79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8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 later than 30 days following the end of each fiscal year of the Company, a copy of the plan and forecast (including a projected consolidated and consolidating balance sheet, income statement and cash flow statement) of the Company for each month of the upcoming fiscal year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in form reasonably satisfactory to the Administrative Agent;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2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but in any event within 20 days of the end of each calendar month, as of the period then ended, a Borrowing Base Certificate and supporting information in connection therewith, together with any additional reports with respect to the Borrowing Base as the Administrative Agent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 during the sixty (60) day period following the First Amendment Effective Date, to the extent required by the Administrative Agent and (B) at any time that Availability is less than the greater of (1) 15% of the Aggregate Revolving Commitment or (2) $6,000,000, in each case, Borrowers shall deliver the reports set forth in this clause (g) on a weekly basis within 3 Business Days of the end of each calendar week;</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6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20 days of the end of each calendar month and at such other times as may be requested by the Administrative Agent, as of the period then ended, all delivered electronically in a text formatted file acceptable to the Administrative Agent:</w:t>
      </w:r>
    </w:p>
    <w:p>
      <w:pPr>
        <w:spacing w:after="0" w:line="176" w:lineRule="exact"/>
        <w:rPr>
          <w:sz w:val="20"/>
          <w:szCs w:val="20"/>
          <w:color w:val="auto"/>
        </w:rPr>
      </w:pPr>
    </w:p>
    <w:p>
      <w:pPr>
        <w:jc w:val="both"/>
        <w:ind w:left="180" w:firstLine="652"/>
        <w:spacing w:after="0" w:line="266" w:lineRule="auto"/>
        <w:tabs>
          <w:tab w:leader="none" w:pos="1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detailed aging of the Borrowers’ Accounts, including all invoices aged by invoice date and due date (with an explanation of the terms offered), prepared in a manner reasonably acceptable to the Administrative Agent, together with a summary specifying the name, address, and balance due for each Account Debtor;</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6" w:name="page107"/>
    <w:bookmarkEnd w:id="106"/>
    <w:p>
      <w:pPr>
        <w:jc w:val="both"/>
        <w:ind w:left="180" w:firstLine="652"/>
        <w:spacing w:after="0" w:line="254" w:lineRule="auto"/>
        <w:tabs>
          <w:tab w:leader="none" w:pos="170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detailing the Borrowers’ Inventory, in form satisfactory to the Administrative Agent, (1) by location (showing Inventory in transit, any Inventory located with a third party under any consignment, bailee arrangement, or warehouse agreement), by class (raw material, work-in-process and finished goods), by product type, and by volume on hand, which Inventory shall be valued at the lower of cost (determined on a weighted average cost basis) or market and adjusted for Reserves as the Administrative Agent has previously indicated to the Borrower Representative are deemed by the Administrative Agent to be appropriate, and (2) including a report of any variances or other results of Inventory counts performed by the Borrowers since the last Inventory schedule (including information regarding sales or other reductions, additions, returns, credits issued by Borrowers and complaints and claims made against the Borrowers);</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619"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worksheet of calculations prepared by the Borrowers to determine Eligible Accounts and Eligible Inventory, such worksheets detailing the Accounts and Inventory excluded from Eligible Accounts and Eligible Inventory and the reason for such exclusion;</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4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Borrowers’ Accounts and Inventory between (A) the amounts shown in the Borrowers’ general ledger and financial statements and the reports delivered pursuant to clauses (i) and (ii) above and (B) the amounts and dates shown in the reports delivered pursuant to clauses (i) and (ii) above and the Borrowing Base Certificate delivered pursuant to clause (g) above as of such date; and</w:t>
      </w:r>
    </w:p>
    <w:p>
      <w:pPr>
        <w:spacing w:after="0" w:line="179" w:lineRule="exact"/>
        <w:rPr>
          <w:rFonts w:ascii="Times New Roman" w:cs="Times New Roman" w:eastAsia="Times New Roman" w:hAnsi="Times New Roman"/>
          <w:sz w:val="18"/>
          <w:szCs w:val="18"/>
          <w:color w:val="auto"/>
        </w:rPr>
      </w:pPr>
    </w:p>
    <w:p>
      <w:pPr>
        <w:ind w:left="1440" w:hanging="608"/>
        <w:spacing w:after="0"/>
        <w:tabs>
          <w:tab w:leader="none" w:pos="14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loan balance per the Borrowers’ general ledger to the loan balance under this Agreement;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3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20 days of the end of each calendar month and at such other times as may be requested by the Administrative Agent, as of the month then ended, a schedule and aging of the Borrowers’ accounts payable, delivered electronically in a text formatted file acceptable to the Administrative Agent;</w:t>
      </w:r>
    </w:p>
    <w:p>
      <w:pPr>
        <w:spacing w:after="0" w:line="175" w:lineRule="exact"/>
        <w:rPr>
          <w:rFonts w:ascii="Times New Roman" w:cs="Times New Roman" w:eastAsia="Times New Roman" w:hAnsi="Times New Roman"/>
          <w:sz w:val="18"/>
          <w:szCs w:val="18"/>
          <w:color w:val="auto"/>
        </w:rPr>
      </w:pPr>
    </w:p>
    <w:p>
      <w:pPr>
        <w:ind w:left="760" w:hanging="576"/>
        <w:spacing w:after="0"/>
        <w:tabs>
          <w:tab w:leader="none" w:pos="7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Administrative Agent’s request:</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32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invoices issued by the Borrowers in connection with any Accounts, credit memos, shipping and delivery documents, and other information related thereto;</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25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purchase orders, invoices, and shipping and delivery documents in connection with any Inventory or Equipment purchased by any Loan Party; and</w:t>
      </w:r>
    </w:p>
    <w:p>
      <w:pPr>
        <w:spacing w:after="0" w:line="161" w:lineRule="exact"/>
        <w:rPr>
          <w:rFonts w:ascii="Times New Roman" w:cs="Times New Roman" w:eastAsia="Times New Roman" w:hAnsi="Times New Roman"/>
          <w:sz w:val="18"/>
          <w:szCs w:val="18"/>
          <w:color w:val="auto"/>
        </w:rPr>
      </w:pPr>
    </w:p>
    <w:p>
      <w:pPr>
        <w:ind w:left="1280" w:hanging="448"/>
        <w:spacing w:after="0"/>
        <w:tabs>
          <w:tab w:leader="none" w:pos="12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detailing the balance of all intercompany accounts of the Loan Parties;</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373"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updated customer list for each Borrower and its Subsidiaries, which list shall state the customer’s name, mailing address and phone number, delivered electronically in a text formatted file acceptable to the Administrative Agent and certified as true and correct by a Financial Officer of the Borrower Representative.</w:t>
      </w:r>
    </w:p>
    <w:p>
      <w:pPr>
        <w:spacing w:after="0" w:line="175"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7" w:name="page108"/>
    <w:bookmarkEnd w:id="107"/>
    <w:p>
      <w:pPr>
        <w:jc w:val="both"/>
        <w:ind w:firstLine="644"/>
        <w:spacing w:after="0" w:line="222" w:lineRule="exact"/>
        <w:tabs>
          <w:tab w:leader="none" w:pos="128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other materials filed by any Loan Party or any Subsidiary with the SEC, or any Govern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mental Authority succeeding to any or all of the functions of the SEC, or with any national securities exchange, as the case may be; and</w:t>
      </w:r>
    </w:p>
    <w:p>
      <w:pPr>
        <w:spacing w:after="0" w:line="199" w:lineRule="exact"/>
        <w:rPr>
          <w:rFonts w:ascii="Times New Roman" w:cs="Times New Roman" w:eastAsia="Times New Roman" w:hAnsi="Times New Roman"/>
          <w:sz w:val="18"/>
          <w:szCs w:val="18"/>
          <w:color w:val="auto"/>
        </w:rPr>
      </w:pPr>
    </w:p>
    <w:p>
      <w:pPr>
        <w:jc w:val="both"/>
        <w:ind w:firstLine="644"/>
        <w:spacing w:after="0" w:line="266" w:lineRule="auto"/>
        <w:tabs>
          <w:tab w:leader="none" w:pos="131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request therefor by the Administrative Agent or any Lender, copies of (i) any documents described in Section 101(k)(1) of ERISA that any Borrower or any ERISA Affiliate may request with respect to any Multiemployer Plan and (ii) any notices described in Section 101(l)(1) of ERISA that any Borrower or any ERISA Affiliate may request with respect to any Multiemployer Plan;</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133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Administrative Agent, as soon as possible and in any event within twenty (20) Business Days of filing thereof, copies of all U.S. federal income tax returns filed by any Loan Party with the U.S. Internal Revenue Service.</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32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thereof by any Borrower or any Subsidiary, copies of each notice or other correspondence received from the SEC (or comparable agency in any applicable non-U.S. jurisdiction) concerning any investigation or possible investigation or other inquiry by the SEC or such other agency regarding financial or other operational results of any Borrower or any Subsidiary thereof;</w:t>
      </w:r>
    </w:p>
    <w:p>
      <w:pPr>
        <w:spacing w:after="0" w:line="175" w:lineRule="exact"/>
        <w:rPr>
          <w:rFonts w:ascii="Times New Roman" w:cs="Times New Roman" w:eastAsia="Times New Roman" w:hAnsi="Times New Roman"/>
          <w:sz w:val="18"/>
          <w:szCs w:val="18"/>
          <w:color w:val="auto"/>
        </w:rPr>
      </w:pPr>
    </w:p>
    <w:p>
      <w:pPr>
        <w:jc w:val="both"/>
        <w:ind w:firstLine="644"/>
        <w:spacing w:after="0" w:line="261" w:lineRule="auto"/>
        <w:tabs>
          <w:tab w:leader="none" w:pos="131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and to the extent requested, copies of any detailed audit reports, management letters or recommendations submitted to the board of directors (or the audit committee of the board of directors) of any Borrower by independent accountants in connection with the accounts or books of such Borrower or any Subsidiary, or any audit of any of them as the Administrative Agent or any Lender (through the Administrative Agent) may reasonably request.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Section 5.01(a), (b) or (l)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a Borrower’s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upon written request by the Administrative Agent (or any Lender through the Administrative Agent) to the Borrower Representative, the Borrower Representative shall deliver paper copies of such documents to the Administrative Agent or such Lender until a written request to cease delivering paper copies is given by the Administrative Agent or such Lender and (B) the Borrower Representative shall notify the Administrative Agent and each Lender (by fax or through Electronic Systems) of the posting of any such documents and provide to the Administrative Agent through Electronic Systems electronic versions (i.e., soft copies) of such documents. The Administrative Agent shall have no obligation to request the delivery of or to maintain paper copies of the documents referred to above, and in any event shall have no responsibility to monitor compliance by any Borrower with any such request by a Lender for delivery, and each Lender shall be solely responsible for timely accessing posted documents or requesting delivery of paper copies of such documents to it and maintaining its copies of such documents.</w:t>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108" w:name="page109"/>
    <w:bookmarkEnd w:id="108"/>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The Company represents and warrants that each of it, and its Controlling and Controlled entities, in each case, if any (collectively with the Borrowers, the “</w:t>
      </w:r>
      <w:r>
        <w:rPr>
          <w:rFonts w:ascii="Times New Roman" w:cs="Times New Roman" w:eastAsia="Times New Roman" w:hAnsi="Times New Roman"/>
          <w:sz w:val="18"/>
          <w:szCs w:val="18"/>
          <w:u w:val="single" w:color="auto"/>
          <w:color w:val="auto"/>
        </w:rPr>
        <w:t>Relevant Entities</w:t>
      </w:r>
      <w:r>
        <w:rPr>
          <w:rFonts w:ascii="Times New Roman" w:cs="Times New Roman" w:eastAsia="Times New Roman" w:hAnsi="Times New Roman"/>
          <w:sz w:val="18"/>
          <w:szCs w:val="18"/>
          <w:color w:val="auto"/>
        </w:rPr>
        <w:t>”), either (i) has no SEC registered or unregistered, publicly traded securities outstanding, or (ii) files its financial statements with the SEC and/or makes its financial statements available to potential holders of its securities, and, accordingly, the Company hereby (A) authorizes the Administrative Agent to make the financial statements to be provided under Section 5.01(a) and (b) above (collectively or individually, as the context requires,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along with the Loan Documents, available to Public-Siders and</w:t>
      </w:r>
    </w:p>
    <w:p>
      <w:pPr>
        <w:spacing w:after="0" w:line="3" w:lineRule="exact"/>
        <w:rPr>
          <w:sz w:val="20"/>
          <w:szCs w:val="20"/>
          <w:color w:val="auto"/>
        </w:rPr>
      </w:pPr>
    </w:p>
    <w:p>
      <w:pPr>
        <w:jc w:val="both"/>
        <w:ind w:left="660" w:hanging="4"/>
        <w:spacing w:after="0" w:line="252" w:lineRule="auto"/>
        <w:tabs>
          <w:tab w:leader="none" w:pos="95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at the time such Financial Statements are provided hereunder, they shall already have been made available to holders of any such securities. The Company will not request that any other material be posted to Public-Siders without expressly representing and warranting to the Administrative Agent in writing that such materials do not constitute material non-public information within the meaning of the federal securities laws or that the Relevant Entities have no outstanding SEC registered or unregistered, publicly traded securities. Notwithstanding anything herein to the contrary, in no event shall the Company request that the Administrative Agent make available to Public-Siders budgets or any certificates, reports or calculations with respect to the Borrowers’ compliance with the covenants contained herein or with respect to the Borrowing Base.</w:t>
      </w:r>
    </w:p>
    <w:p>
      <w:pPr>
        <w:spacing w:after="0" w:line="1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xml:space="preserve"> The Borrowers will furnish to the Administrative Agent and each Lender prompt (but in any event within any time period that may be specified below) written notice of the following:</w:t>
      </w:r>
    </w:p>
    <w:p>
      <w:pPr>
        <w:spacing w:after="0" w:line="162" w:lineRule="exact"/>
        <w:rPr>
          <w:sz w:val="20"/>
          <w:szCs w:val="20"/>
          <w:color w:val="auto"/>
        </w:rPr>
      </w:pPr>
    </w:p>
    <w:p>
      <w:pPr>
        <w:ind w:left="1260" w:hanging="604"/>
        <w:spacing w:after="0"/>
        <w:tabs>
          <w:tab w:leader="none" w:pos="12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obtaining knowledge thereof, the occurrence of any Default;</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29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following receipt, receipt of any notice of any investigation by a Governmental Authority or any litigation or Proceeding commenced or threatened against any Loan Party or any Subsidiary that (i) seeks damages in excess of $100,000, (ii) seeks injunctive relief,</w:t>
      </w:r>
    </w:p>
    <w:p>
      <w:pPr>
        <w:jc w:val="both"/>
        <w:ind w:firstLine="8"/>
        <w:spacing w:after="0" w:line="250" w:lineRule="auto"/>
        <w:tabs>
          <w:tab w:leader="none" w:pos="32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asserted or instituted against any Plan, its fiduciaries or its assets, (iv) alleges criminal misconduct by any Loan Party or any Subsidiary, (v) alleges the violation of, or seeks to impose remedies under, any Environmental Law or related Requirement of Law, or seeks to impose Environmental Liability,</w:t>
      </w:r>
    </w:p>
    <w:p>
      <w:pPr>
        <w:ind w:right="20" w:firstLine="8"/>
        <w:spacing w:after="0" w:line="260" w:lineRule="auto"/>
        <w:tabs>
          <w:tab w:leader="none" w:pos="31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asserts liability on the part of any Loan Party or any Subsidiary in excess of $100,000 in respect of any Tax, fee, assessment, or other governmental charge, or (vii) involves any product recall;</w:t>
      </w:r>
    </w:p>
    <w:p>
      <w:pPr>
        <w:spacing w:after="0" w:line="181" w:lineRule="exact"/>
        <w:rPr>
          <w:rFonts w:ascii="Times New Roman" w:cs="Times New Roman" w:eastAsia="Times New Roman" w:hAnsi="Times New Roman"/>
          <w:sz w:val="18"/>
          <w:szCs w:val="18"/>
          <w:color w:val="auto"/>
        </w:rPr>
      </w:pPr>
    </w:p>
    <w:p>
      <w:pPr>
        <w:ind w:firstLine="656"/>
        <w:spacing w:after="0" w:line="282" w:lineRule="auto"/>
        <w:tabs>
          <w:tab w:leader="none" w:pos="125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obtaining knowledge thereof, any Lien (other than Permitted Encumbrances) or claim made or asserted against any of the Collateral;</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1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obtaining knowledge thereof, any loss, damage, or destruction to the Collateral in the amount of $100,000 or more, whether or not covered by insurance;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68"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of receipt thereof, any and all default notices received under or with respect to any leased location or public warehouse where Collateral is located;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21"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the execution thereof, all material amendments to any Material Agreement, together with a copy of each such amendment;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5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after the execution thereof, any Loan Party entering into a Swap Agreement or an amendment thereto, together with copies of all agreements evidencing such Swap Agreement or amendment;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7"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obtaining knowledge thereof, the occurrence of any ERISA Event that, alone or together with any other ERISA Events that have occurred, could reasonably be expected to result in liability of the Loan Parties and their Subsidiaries in an aggregate amount exceeding $100,000;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9" w:name="page110"/>
    <w:bookmarkEnd w:id="109"/>
    <w:p>
      <w:pPr>
        <w:ind w:firstLine="656"/>
        <w:spacing w:after="0" w:line="282" w:lineRule="auto"/>
        <w:tabs>
          <w:tab w:leader="none" w:pos="129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the implementation thereof, any material change in accounting or financial reporting practices by any Borrower or any Subsidiary;</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2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obtaining knowledge thereof, any other development that results, or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7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the occurrence thereof, any change in the information provided in the Beneficial Ownership Certification delivered to such Lender that would result in a change to the list of beneficial owners identified in such certification; and</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following the formation or acquisition thereof, any Subsidiary is formed or acquired after the date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notice delivered under this Section (i) shall be in writing, (ii) shall contain a heading or a reference line that reads “Notice under Section 5.02 of Amended and Restated Credit Agreement dated May 19, 2021” and (iii) shall be accompanied by a statement of a Financial Officer or other executive officer of the Borrower Representative setting forth the details of the event or development requiring such notice and any action taken or proposed to be taken with respect thereto.</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Each Loan Party will, and will cause each Subsidiary to, (a) do or cause to be done all things necessary to maintain its legal existence, (b) except where the failure to do so could not reasonably be expected to result in a Material Adverse Effect, do all things necessary to maintain and preserve the rights, qualifications, licenses, permits, franchises, governmental authorizations, intellectual property rights, licenses and permits material to the conduct of its business, and all requisite authority to conduct its business in each jurisdiction in which its business is currently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 and (c) carry on and conduct its business in substantially the same manner and in substantially the same fields of enterprise as it is presently conducted.</w:t>
      </w:r>
    </w:p>
    <w:p>
      <w:pPr>
        <w:spacing w:after="0" w:line="18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Each Loan Party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ate proceedings, (b) such Loan Party or Subsidiary has set aside on its books adequate reserves with respect thereto in accordance with GAAP and (c) the failure to make payment pending such contest could not reasonably be expected to result in a Material Adverse Effect.</w:t>
      </w: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xml:space="preserve"> . Each Loan Party will, and will cause each Subsidiary to, keep and maintain all property material to the conduct of its business in good working order and condition, ordinary wear and tear excepted.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xml:space="preserve">. Each Loan Party will, and will cause each Subsidiary to,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any Lender or any consultants, accountants, lawyers, agents and appraisers retained by the Administrative Agent), upon reasonable prior notice, to visit and inspect its properties, to conduct at such Loan Party’s premises field examinations of such Loan Party’s assets, liabilities, books and records, including examining and making extracts from its books and records, and to discuss its affairs, finances and condition with its officers and independent accountants (and hereby authorizes the Administrative Agent and each Lender to contact its independent accountants directly) and to provide contact information for each bank where each Loan Party has a depository and/or securities account and each such Loan Party hereby authorizes the Administrative Agent and each Lender to contact the bank(s) in order to request bank statements and/or balances, all at such reasonable times and as often as reasonably requested. Each Loan Party acknowledges that the Administrative Agent, after exercising its rights of inspection, may prepare and distribute to the Lenders certain Reports pertaining to each Loan Party’s assets for internal use by the Administrative Agent and the Lenders. The Loan Parties shall be responsible for the costs and expenses of one (1) field examination during any 12-month period and one (1) additional field examination (for the total of two (2) such field examinations during any 12-month period) conducted at any time after Availability falls below the greater of (i) $6,000,000 and (ii)15% of the Aggregate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shall be responsible for the costs and expenses of all field examinations conducted while an Event of Default has occurred and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the Loan Parties shall not be responsible for the costs and expenses of the initial field examination conducted in connection with entering into this Agreement.</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 and Material Contractual Obligations.</w:t>
      </w:r>
      <w:r>
        <w:rPr>
          <w:rFonts w:ascii="Times New Roman" w:cs="Times New Roman" w:eastAsia="Times New Roman" w:hAnsi="Times New Roman"/>
          <w:sz w:val="18"/>
          <w:szCs w:val="18"/>
          <w:color w:val="auto"/>
        </w:rPr>
        <w:t xml:space="preserve"> Each Loan Party will, and will cause each Subsidiary to, (a) comply with each Requirement of Law applicable to it or its property (including without limitation Environmental Laws) except, in each case, where the failure to do so, individually or in the aggregate, could not reasonably be expected to result in a Material Adverse Effect, and (b) perform in all material respects its obligations under material agreements to which it is a party, except, in each case,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and applicable Sanctions.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jc w:val="both"/>
        <w:ind w:left="660" w:firstLine="644"/>
        <w:spacing w:after="0" w:line="258" w:lineRule="auto"/>
        <w:tabs>
          <w:tab w:leader="none" w:pos="168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Loans and the Letters of Credit will be used only (i) to repay certain indebtedness of the Company existing prior to the Effective Date, (ii) to finance certain Capital Expenditures related to the businesses in which the Loan Parties are engaged on the Effective Date and (iii) other working capital and general organizational purposes in the ordinary course of business. No part of the proceeds of any Loan and no Letter of Credit will be used, whether directly or indirectly, (i) for any purpose that entails a violation of any of the regulations of the Federal Reserve Board, including Regulations T, U and X or (ii) to make any Acquisition other than Permitted Acquisitions.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3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request any Borrowing or Letter of Credit, and no Borrower shall use, and each Borrower shall procure that its Subsidiaries and its and their respective directors, officers, employees and agents shall not use, the proceeds of any Borrowing or Letter of Credit</w:t>
      </w:r>
    </w:p>
    <w:p>
      <w:pPr>
        <w:jc w:val="both"/>
        <w:ind w:left="660" w:hanging="4"/>
        <w:spacing w:after="0" w:line="253" w:lineRule="auto"/>
        <w:tabs>
          <w:tab w:leader="none" w:pos="87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Accuracy of Information</w:t>
      </w:r>
      <w:r>
        <w:rPr>
          <w:rFonts w:ascii="Times New Roman" w:cs="Times New Roman" w:eastAsia="Times New Roman" w:hAnsi="Times New Roman"/>
          <w:sz w:val="18"/>
          <w:szCs w:val="18"/>
          <w:color w:val="auto"/>
        </w:rPr>
        <w:t xml:space="preserve">.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Borrowers on the date thereof as to the matters specified in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Loan Parties will only ensure that such information was prepared in good faith based upon assumptions believed to be reasonable at the time.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Loan Party will, and will cause each Subsidiary to, maintain with financially sound and reputable carriers having a financial strength rating of at least A- by A.M. Best Company (a) insurance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Administrative Agent, information in reasonable detail as to the insurance so maintained.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Casualty and Condemnation.</w:t>
      </w:r>
      <w:r>
        <w:rPr>
          <w:rFonts w:ascii="Times New Roman" w:cs="Times New Roman" w:eastAsia="Times New Roman" w:hAnsi="Times New Roman"/>
          <w:sz w:val="18"/>
          <w:szCs w:val="18"/>
          <w:color w:val="auto"/>
        </w:rPr>
        <w:t xml:space="preserve"> The Borrowers will (a)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Subject to the limitations below, at the request of the Administrative Agent, the Borrowers will provide the Administrative Agent with appraisals or updates thereof of the Inventory and/or Equipment of the Loan Parties from an appraiser selected and engaged by the Administrative Agent, and prepared on a basis satisfactory to the Administrative Agent in its Permitted Discretion, such appraisals and updates to include, without limitation, information required by any applicable Requirement of Law. The Loan Parties shall be obligated to arrange or facilitate, and shall be responsible for the costs and expenses of, up to one (1) Inventory and one (1) Equipment appraisal during any calendar year, and one (1) additional Inventory and one (1) additional Equipment appraisal (for the total of two (2) such Inventory and such Equipment appraisals during any calendar year) during any calendar year during which Availability falls below the greater of (i) $6,000,000 and (ii) 15% of the Aggregate Revolving Commitment. Additionally, there shall be no limitation on the number or frequency of Inventory and/or Equipment appraisals if an Event of Default has occurred and is continuing, and the Loan Parties shall be responsible for the costs and expenses of any such appraisals conducted while an Event of Default has occurred and is continuing. Notwithstanding the foregoing, an appraisal of the Equipment of the Loan Parties shall be required as a condition to the inclusion thereof in the Borrowing Base, but no appraisal of Equipment shall be required unless and until the Borrowers elect to so include such Equipment in the Borrowing Base.</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Depository Banks</w:t>
      </w:r>
      <w:r>
        <w:rPr>
          <w:rFonts w:ascii="Times New Roman" w:cs="Times New Roman" w:eastAsia="Times New Roman" w:hAnsi="Times New Roman"/>
          <w:sz w:val="18"/>
          <w:szCs w:val="18"/>
          <w:color w:val="auto"/>
        </w:rPr>
        <w:t>. Each Borrower and each Subsidiary will maintain the Administrative Agent as its principal depository bank, including for the maintenance of operating, administrative, cash management, collection activity and other deposit accounts for the conduct of its business. Additionally, the Administrative Agent shall be the principal provider of other Banking Services to the Borrowers and their Subsidiaries.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Additional Collateral; Further Assurances</w:t>
      </w:r>
      <w:r>
        <w:rPr>
          <w:rFonts w:ascii="Times New Roman" w:cs="Times New Roman" w:eastAsia="Times New Roman" w:hAnsi="Times New Roman"/>
          <w:sz w:val="18"/>
          <w:szCs w:val="18"/>
          <w:color w:val="auto"/>
        </w:rPr>
        <w:t>. (a) Subject to applicable Requirement of Law, each Loan Party will cause each Domestic Subsidiary formed or acquired after the date of this Agreement to become a Loan Party by executing a Joinder Agreement. In connection therewith, the Administrative Agent shall have received all documentation and other information regarding such newly formed or acquired Domestic Subsidiaries as may be required to comply with the applicable “know your customer” rules and regulations, including the USA Patriot Act.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which constitutes Collateral.</w:t>
      </w:r>
    </w:p>
    <w:p>
      <w:pPr>
        <w:spacing w:after="0" w:line="189" w:lineRule="exact"/>
        <w:rPr>
          <w:sz w:val="20"/>
          <w:szCs w:val="20"/>
          <w:color w:val="auto"/>
        </w:rPr>
      </w:pPr>
    </w:p>
    <w:p>
      <w:pPr>
        <w:jc w:val="both"/>
        <w:ind w:firstLine="656"/>
        <w:spacing w:after="0" w:line="266" w:lineRule="auto"/>
        <w:tabs>
          <w:tab w:leader="none" w:pos="132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will cause 100% of the issued and outstanding Equity Interests of each of its Domestic Subsidiaries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367"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each Loan Party will, and will cause each Domestic Subsidiary to, execute and deliver, or cause to be executed and delivered, to the Administrative Agent such documents, agreements and instruments, and will take or cause to be taken such further actions (including the filing and recording of financing statements, fixture filings and other documents and such other actions or deliveries of the type required by Section 4.01, as applicable), which may be required by any Requirement of Law or which the Administrative Agent may, from time to time, request in its sole discretion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31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material assets are acquired by any Loan Party after the Effective Date (other than real property and other than assets constituting Collateral under the Security Agreement that become subject to the Lien under the Security Agreement upon acquisition thereof), the Borrower Representative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requested by the Administrative Agent in its sole discretion to grant and perfect such Liens, including actions described in paragraph</w:t>
      </w:r>
    </w:p>
    <w:p>
      <w:pPr>
        <w:spacing w:after="0" w:line="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all at the expense of the Loan Parties.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Merger of Subsidiary</w:t>
      </w:r>
      <w:r>
        <w:rPr>
          <w:rFonts w:ascii="Times New Roman" w:cs="Times New Roman" w:eastAsia="Times New Roman" w:hAnsi="Times New Roman"/>
          <w:sz w:val="18"/>
          <w:szCs w:val="18"/>
          <w:color w:val="auto"/>
        </w:rPr>
        <w:t>. Within sixty (60) days after the Effective Date, Borrowers shall deliver to the Administrative Agent a plan of merger and certificate of merger, satisfactory to Administrative Agent in its Permitted Discretion, filed with and accepted by the Secretary of State of the state of Texas and giving effect to the merger of Friedman/Decatur L.L.C., an Alabama limited liability company, with and into the Company, with the Company being the surviving entity following the effectiveness of such merger.</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Within twenty (20) days after the Effective Date, or such longer period as may be agreed to by the Administrative Agent in its Permitted Discretion, Borrowers shall deliver to the Administrative Agent all endorsements necessary to comply with the provisions of Section 4.12(b) of the Security Agreement, in each case, in form and substance satisfactory to the Administrative Agent in its Permitted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Until all of the Secured Obligations have been Paid in Full, each Loan Party executing this Agreement covenants and agrees, jointly and severally with all of the other Loan Parties, with the Lenders that: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No Loan Party will, nor will it permit any Subsidiary to, create, incur, assume or suffer to exist any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w:t>
      </w:r>
    </w:p>
    <w:p>
      <w:pPr>
        <w:spacing w:after="0" w:line="207" w:lineRule="exact"/>
        <w:rPr>
          <w:sz w:val="20"/>
          <w:szCs w:val="20"/>
          <w:color w:val="auto"/>
        </w:rPr>
      </w:pPr>
    </w:p>
    <w:p>
      <w:pPr>
        <w:ind w:left="1260" w:hanging="604"/>
        <w:spacing w:after="0"/>
        <w:tabs>
          <w:tab w:leader="none" w:pos="12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Obligations;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date hereof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any extensions, renewals, refinancings and replacements of any such Indebtedness in accordance with clause (f)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6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Borrower to any Subsidiary and of any Subsidiary to any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Indebtedness of any Subsidiary that is not a Loan Party to any Borrower or any other Loan Party shall be subject to Section 6.04 and (ii) Indebtedness of any Loan Party to any Subsidiary that is not a Loan Party shall be subordinated to the Secured Obligations on terms reasonably satisfactory to the Administrative Agent;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any Borrower of Indebtedness of any Subsidiary and by any Subsidiary of Indebtedness of any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Indebtedness so Guaranteed is permitted by this Section 6.01, (ii) Guarantees by any Borrower or any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0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$8,000,000 at any time outstanding;</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50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which represents extensions, renewals, refinancing or replacements (such Indebtedness being so extended, renewed, refinanced or replaced being referred to herein as the “</w:t>
      </w:r>
      <w:r>
        <w:rPr>
          <w:rFonts w:ascii="Times New Roman" w:cs="Times New Roman" w:eastAsia="Times New Roman" w:hAnsi="Times New Roman"/>
          <w:sz w:val="18"/>
          <w:szCs w:val="18"/>
          <w:u w:val="single" w:color="auto"/>
          <w:color w:val="auto"/>
        </w:rPr>
        <w:t>Refinance Indebtedness</w:t>
      </w:r>
      <w:r>
        <w:rPr>
          <w:rFonts w:ascii="Times New Roman" w:cs="Times New Roman" w:eastAsia="Times New Roman" w:hAnsi="Times New Roman"/>
          <w:sz w:val="18"/>
          <w:szCs w:val="18"/>
          <w:color w:val="auto"/>
        </w:rPr>
        <w:t>”) of any of the Indebtedness described in clauses (b), (e), (i), (j) and (k) hereof (such Indebtedness being referred to herein as the “</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other than fees and interests are not less favorable to the obligor thereunder than the original terms of such Original Indebtedness and (vi) if such Original Indebtedness was subordinated in right of payment to the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ind w:firstLine="656"/>
        <w:spacing w:after="0" w:line="282" w:lineRule="auto"/>
        <w:tabs>
          <w:tab w:leader="none" w:pos="131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21"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in respect of performance bonds, bid bonds, appeal bonds, surety bonds and similar obligations, in each case provided in the ordinary course of business;</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Indebtedness in an aggregate principal amount not exceeding $5,000,000 at any time outstanding;</w:t>
      </w:r>
    </w:p>
    <w:p>
      <w:pPr>
        <w:spacing w:after="0" w:line="225" w:lineRule="exact"/>
        <w:rPr>
          <w:rFonts w:ascii="Times New Roman" w:cs="Times New Roman" w:eastAsia="Times New Roman" w:hAnsi="Times New Roman"/>
          <w:sz w:val="18"/>
          <w:szCs w:val="18"/>
          <w:color w:val="auto"/>
        </w:rPr>
      </w:pPr>
    </w:p>
    <w:p>
      <w:pPr>
        <w:jc w:val="both"/>
        <w:ind w:firstLine="656"/>
        <w:spacing w:after="0" w:line="257" w:lineRule="auto"/>
        <w:tabs>
          <w:tab w:leader="none" w:pos="1263"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Subsidiary after the date hereof in connection with a Permitted Acquisition or that is assumed by a Borrower in connection with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exists at the time such Permitted Acquisition is consummated and is not created in contemplation of or in connection therewith and (ii) the aggregate principal amount of Indebtedness permitted by clause</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2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together with any Refinance Indebtedness in respect thereof permitted by Section 6.01(f) (it being understood that Indebtedness under clause (i) above shall constitute “Original Indebtedness” for purposes of Section 6.01(f)), shall not exceed $10,000,000 at any time outstanding;</w:t>
      </w:r>
    </w:p>
    <w:p>
      <w:pPr>
        <w:spacing w:after="0" w:line="18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in an aggregate principal amount not exceeding $5,000,000 at any time outstanding.</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No Loan Party will, nor will it permit any Subsidiary to, create, incur, assume or permit to exist any Lien on any property or asset now owned or hereafter acquired by it, or assign or sell any income or revenues (including Accounts) or rights in respect of any thereof, except:</w:t>
      </w:r>
    </w:p>
    <w:p>
      <w:pPr>
        <w:spacing w:after="0" w:line="162" w:lineRule="exact"/>
        <w:rPr>
          <w:sz w:val="20"/>
          <w:szCs w:val="20"/>
          <w:color w:val="auto"/>
        </w:rPr>
      </w:pPr>
    </w:p>
    <w:p>
      <w:pPr>
        <w:ind w:left="1900" w:hanging="596"/>
        <w:spacing w:after="0"/>
        <w:tabs>
          <w:tab w:leader="none" w:pos="19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any Loan Document;</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or asset of any Borrower or any Subsidiary existing on the date hereof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of such Borrower or Subsidiary or any other Borrower or Subsidiary and</w:t>
      </w:r>
    </w:p>
    <w:p>
      <w:pPr>
        <w:ind w:left="660" w:hanging="4"/>
        <w:spacing w:after="0" w:line="260" w:lineRule="auto"/>
        <w:tabs>
          <w:tab w:leader="none" w:pos="93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shall secure only those obligations which it secures on the date hereof, and extensions, renewals and replacements thereof that do not increase the outstanding principal amount thereof;</w:t>
      </w:r>
    </w:p>
    <w:p>
      <w:pPr>
        <w:spacing w:after="0" w:line="18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3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fixed or capital assets acquired, constructed or improved by any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80% of the cost of acquiring, constructing or improving such fixed or capital assets and (iv) such Liens shall not apply to any other property or assets of such Borrower or Subsidiary or any other Borrower or Subsidiary;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jc w:val="both"/>
        <w:ind w:left="660" w:firstLine="644"/>
        <w:spacing w:after="0" w:line="219" w:lineRule="exact"/>
        <w:tabs>
          <w:tab w:leader="none" w:pos="195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(other than Accounts and Inventory) prior to the acquisition thereof by any Borrower or any Subsidiary or existing on any property or asset (other than Accounts and Inventory) of any Person that becomes a Loan Party after the date hereof prior to the time such Person becomes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tion or such Person becoming a Loan Party, as the case may be, (ii) such Lien shall not apply to any other property or assets of the Loan Party and (iii) such Lien shall secure only those obligations which it secures on the date of such acquisition or the date such Person becomes a Loan Party, as the case may be, and extensions, renewals and replacements thereof that do not increase the outstanding principal amount thereof;</w:t>
      </w:r>
    </w:p>
    <w:p>
      <w:pPr>
        <w:spacing w:after="0" w:line="174" w:lineRule="exact"/>
        <w:rPr>
          <w:rFonts w:ascii="Times New Roman" w:cs="Times New Roman" w:eastAsia="Times New Roman" w:hAnsi="Times New Roman"/>
          <w:sz w:val="18"/>
          <w:szCs w:val="18"/>
          <w:color w:val="auto"/>
        </w:rPr>
      </w:pPr>
    </w:p>
    <w:p>
      <w:pPr>
        <w:ind w:left="660" w:firstLine="644"/>
        <w:spacing w:after="0" w:line="239" w:lineRule="exact"/>
        <w:tabs>
          <w:tab w:leader="none" w:pos="200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collecting bank arising in the ordinary course of business under Section 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210 of the UCC in effect in the relevant jurisdiction covering only the items being collected upon;</w:t>
      </w:r>
    </w:p>
    <w:p>
      <w:pPr>
        <w:spacing w:after="0" w:line="198"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Sale and Leaseback Transactions permitted by Section 6.06;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4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Subsidiary that is not a Loan Party in favor of any Borrower or another Loan Party in respect of Indebtedness owed by such Subsidiary.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none of the Liens permitted pursuant to this Section 6.02 may at any time attach to any Loan Party’s (1) Accounts, other than those permitted under clause (a) of the definition of Permitted Encumbrances and clause (a) above and (2) Inventory, other than those permitted under clauses (a) and (b) of the definition of Permitted Encumbrances and clause (a) above.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xml:space="preserve"> (a) No Loan Party will, nor will it permit any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with respect to an acquisition of assets or Equity Interests of another Person in connection with a Permitted Acquisition, any Person may merge into a Borrower in a transaction in which the surviving entity is a Borrower, (ii) any Person may merge into any Subsidiary in a transaction in which the surviving entity is a Subsidiary and, if any party to such merger is a Loan Party, such surviving entity is a Loan Party or becomes a Loan Party concurrently with such merger and (iii) any Subsidiary may liquidate or dissolve if the Borrower which owns such Subsidiary determines in good faith that such liquidation or dissolution is in the best interests of such Borrower and is not materially disadvantageous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involving a Person that is not a wholly owned Subsidiary immediately prior to such merger shall not be permitted unless also permitted by Section 6.04.</w:t>
      </w:r>
    </w:p>
    <w:p>
      <w:pPr>
        <w:spacing w:after="0" w:line="194" w:lineRule="exact"/>
        <w:rPr>
          <w:sz w:val="20"/>
          <w:szCs w:val="20"/>
          <w:color w:val="auto"/>
        </w:rPr>
      </w:pPr>
    </w:p>
    <w:p>
      <w:pPr>
        <w:jc w:val="both"/>
        <w:ind w:firstLine="656"/>
        <w:spacing w:after="0" w:line="261" w:lineRule="auto"/>
        <w:tabs>
          <w:tab w:leader="none" w:pos="133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Section 5.14 and the other further assurances obligations set forth in the Loan Documents and become a Loan Party under this Agreement and the other Loan Documents.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engage to any material extent in any business other than businesses of the type conducted by the Borrowers and their Subsidiaries on the date hereof and businesses reasonably related thereto.</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change its fiscal year from the basis in effect on the Effective Date.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No Loan Party will, nor will it permit any Subsidiary to, form any subsidiary after the Effective Date, or purchase, hold or acquire (including pursuant to any merger with any Person that was not a Loan Party and a wholly owned Subsidiary prior to such merger) any evidences of Indebtedness or Equity Interests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ind w:left="-460" w:firstLine="644"/>
        <w:spacing w:after="0" w:line="282" w:lineRule="auto"/>
        <w:tabs>
          <w:tab w:leader="none" w:pos="84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subject to control agreements in favor of the Administrative Agent for the benefit of the Secured Parties or otherwise subject to a perfected security interest in favor of the Administrative Agent for the benefit of the Secured Parties;</w:t>
      </w:r>
    </w:p>
    <w:p>
      <w:pPr>
        <w:spacing w:after="0" w:line="161"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existence on the date hereof and described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79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Borrowers and their Subsidiaries in Equity Interests in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Equity Interests held by a Loan Party shall be pledged pursuant to the Security Agreement (provided that the foregoing shall not be applicable to Equity Interests of a Foreign Subsidiary) and (ii) the aggregate amount of investments by Loan Parties in Subsidiaries that are not Loan Parties (together with outstanding intercompany loans permitted under clause (ii) to the proviso to Section 6.04(d) and outstanding Guarantees permitted under the proviso to Section 6.04(e)) shall not exceed $1,000,000 at any time outstanding (in each case determined without regard to any write-downs or write-offs);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after giving effect to such investment, the Loan Parties would fail to comply with clause (ii) of the above proviso, such investment shall be permitted under this Section 6.04(c) if the Payment Condition is satisfied with respect thereto;</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103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advances made by any Loan Party to any Subsidiary and made by any Subsidiary to a Loan Party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loans and advances made by a Loan Party shall be evidenced by a promissory note pledged pursuant to the Security Agreement and (ii) the amount of such loans and advances made by Loan Parties to Subsidiaries that are not Loan Parties (together with outstanding investments permitted under clause (ii) to the proviso to Section 6.04(c) and outstanding Guarantees permitted under the proviso to Section 6.04(e)) shall not exceed $1,000,000 at any time outstanding (in each case determined without regard to any write-downs or write-offs);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after giving effect to such loan or advance, the Loan Parties would fail to comply with clause (ii) of the above proviso, such loan or advance shall be permitted under this Section 6.04(d) if the Payment Condition is satisfied with respect thereto;</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0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constituting Indebtedness permitted by Section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of Subsidiaries that are not Loan Parties that is Guaranteed by any Loan Party (together with outstanding investments permitted under clause (ii) to the proviso to Section 6.04(c) and outstanding intercompany loans permitted under clause (ii) to the proviso to Section 6.04(d)) shall not exceed $1,000,000 at any time outstanding (in each case determined without regard to any write-downs or write-offs);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after giving effect to such guarantee, the Loan Parties would fail to comply with the above proviso, such guarantee shall be permitted under this Section 6.04(e) if the Payment Condition is satisfied with respect thereto;</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4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made by a Loan Party to its employees on an arms-length basis in the ordinary course of business consistent with past practices for travel and entertainment expenses, relocation costs and similar purposes up to a maximum of $50,000 in the aggregate at any one time outstanding;</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17" w:name="page118"/>
    <w:bookmarkEnd w:id="117"/>
    <w:p>
      <w:pPr>
        <w:ind w:left="660" w:firstLine="644"/>
        <w:spacing w:after="0" w:line="282" w:lineRule="auto"/>
        <w:tabs>
          <w:tab w:leader="none" w:pos="202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Swap Agreements permitted by Section 6.07;</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1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Person existing at the time such Person becomes a Subsidiary of a Borrower or consolidates or merges with a Borrower or any of the Subsidiaries (including in connection with a Permitted Acquisition) so long as such investments were not made in contemplation of such Person becoming a Subsidiary or of such merger;</w:t>
      </w:r>
    </w:p>
    <w:p>
      <w:pPr>
        <w:spacing w:after="0" w:line="17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Dispositions permitted by Section 6.05;</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deposits described in clauses (c) and (d) of the definition of the term “Permitted Encumbrances”; and</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xml:space="preserve"> No Loan Party will, nor will it permit any Subsidiary to, Dispose of any asset (other than real property), including any Equity Interest owned by it, nor will any Borrower permit any Subsidiary to issue any additional Equity Interest in such Subsidiary (other than to another Borrower or another Subsidiary in compliance with Section 6.04), except:</w:t>
      </w:r>
    </w:p>
    <w:p>
      <w:pPr>
        <w:spacing w:after="0" w:line="176" w:lineRule="exact"/>
        <w:rPr>
          <w:sz w:val="20"/>
          <w:szCs w:val="20"/>
          <w:color w:val="auto"/>
        </w:rPr>
      </w:pPr>
    </w:p>
    <w:p>
      <w:pPr>
        <w:ind w:left="660" w:right="20" w:firstLine="644"/>
        <w:spacing w:after="0" w:line="282" w:lineRule="auto"/>
        <w:tabs>
          <w:tab w:leader="none" w:pos="191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 Inventory in the ordinary course of business and (ii) used, obsolete, worn out or surplus equipment or property in the ordinary course of business;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2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assets to any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Dispositions involving a Subsidiary that is not a Loan Party shall be made in compliance with Section 6.09;</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Accounts in connection with the compromise, settlement or collection thereof;</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Permitted Investments and other investments permitted by Section 6.04 (other than other than Equity Interests in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w:t>
      </w:r>
    </w:p>
    <w:p>
      <w:pPr>
        <w:spacing w:after="0" w:line="206"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and Leaseback Transactions permitted by Section 6.06;</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10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resulting from any casualty or other insured damage to, or any taking under power of eminent domain or by condemnation or similar proceeding of, any property or asset of any Borrower or any Subsidiary;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assets (other than Equity Interests in a Subsidiary unless all Equity Interests in such Subsidiary are sold) that are not permitted by any other clause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fair market value of all assets Disposed of in reliance upon this paragraph (g) shall not exceed $1,000,000 during any fiscal year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Dispositions permitted hereby (other than those permitted by paragraphs (b) and (f) above) shall be made for fair value and for at least 75% cash consideration.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xml:space="preserve"> No Loan Party will, nor will it permit any Subsidiary to, enter into any arrangement, directly or indirectly, whereby it shall sell or transfer any property (other than real property)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except for any such sale of any fixed or capital assets by any Borrower or any Subsidiary that is made for cash consideration in an amount not less than the fair value of such fixed or capital asset and is consummated within 90 days after such Borrower or such Subsidiary acquires or completes the construction of such fixed or capital asset.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xml:space="preserve"> No Loan Party will, nor will it permit any Subsidiary to, enter into any Swap Agreement, except (a) Swap Agreements entered into to hedge or mitigate risks to which any Borrower or any Subsidiary has actual exposure (other than those in respect of Equity Interests of any Borrower or any of its Subsidiaries), and (b) Swap Agreements entered into in order to effectively cap, collar or exchange interest rates (from floating to fixed rates, from one floating rate to another floating rate or otherwise) with respect to any interest-bearing liability or investment of any Borrower or any Subsidiary.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 xml:space="preserve"> (a) No Loan Party will, nor will it permit any Subsidiary to, declare or make, or agree to declare or make, directly or indirectly, any Restricted Payment, or incur any obligation (contingent or otherwise) to do so, except (i) the Borrowers may declare and pay dividends with respect to its common stock payable solely in additional shares of its common stock, and, with respect to its preferred stock, payable solely in additional shares of such preferred stock or in shares of its common stock, (ii) Subsidiaries may declare and pay dividends ratably with respect to their Equity Interests, (iii) the Borrowers may make Restricted Payments, not exceeding $500,000 during any fiscal year of the Company, pursuant to and in accordance with stock option plans or other benefit plans for management or employees of the Borrowers and their Subsidiaries and (iv) the Borrowers may make other Restricted Payments subject to the satisfaction of the Payment Condition with respect to any such Restricted Payment.</w:t>
      </w:r>
    </w:p>
    <w:p>
      <w:pPr>
        <w:spacing w:after="0" w:line="192" w:lineRule="exact"/>
        <w:rPr>
          <w:sz w:val="20"/>
          <w:szCs w:val="20"/>
          <w:color w:val="auto"/>
        </w:rPr>
      </w:pPr>
    </w:p>
    <w:p>
      <w:pPr>
        <w:jc w:val="both"/>
        <w:ind w:firstLine="656"/>
        <w:spacing w:after="0" w:line="261" w:lineRule="auto"/>
        <w:tabs>
          <w:tab w:leader="none" w:pos="1414"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7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Indebtedness created under the Loan Documents;</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2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as and when due in respect of any Indebtedness permitted under Section 6.01, other than payments in respect of the Subordinated Indebtedness prohibited by the subordination provisions thereof;</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of Indebtedness to the extent permitted by Section 6.01; and</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2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secured Indebtedness that becomes due as a result of the voluntary sale or transfer of the property or assets securing such Indebtedness to the extent such sale or transfer is permitted by the terms of Section 6.05.</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any Loan Parties not involving any other Affiliate, (c) any investment permitted by Sections 6.04(c) or 6.04(d), (d) any Indebtedness permitted under Section 6.01(c), (e) any Restricted Payment permitted by Section 6.08, (f) loans or advances to employees permitted under Section 6.04, (g) the payment of reasonable fees to directors of any Borrower or any Subsidiary who are not employees of such Borrower or Subsidiary, and compensation and employee benefit arrangements paid to, and indemnities provided for the benefit of, directors, officers or employees of the Borrowers or their Subsidiaries in the ordinary course of business and (h) any issuances of securities or other payments, awards or grants in cash, securities or otherwise pursuant to, or the funding of, employment agreements, stock options and stock ownership plans approved by a Borrower’s board of directors.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Subsidiary to create, incur or permit to exist any Lien upon any of its property or assets, or (b) the ability of any Subsidiary to pay dividends or other distributions with respect to any of its Equity Interests or to make or repay loans or advances to any Borrower or any other Subsidiary or to Guarantee Indebtedness of any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foregoing shall not apply to restrictions and conditions imposed by any Requirement of Law or by any Loan Document, (ii) the foregoing shall not apply to restrictions and conditions existing on the date hereof identified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that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and other contracts restricting the assignment thereof.</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xml:space="preserve"> No Loan Party will, nor will it permit any Subsidiary to, amend, modify or waive any of its rights under (a) any agreement relating to any Subordinated Indebtedness or (b) its charter, articles or certificate of incorporation or organization, by-laws, operating, management or partnership agreement or other organizational or governing documents, to the extent any such amendment, modification or waiver would be adverse to the Lenders.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130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The Borrowers will not permit the Fixed Charge Coverage Ratio, as of the end of any calendar month, to be less than 1.10 to 1.00 for the trailing twelve month period then ending.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w:t>
      </w:r>
    </w:p>
    <w:p>
      <w:pPr>
        <w:spacing w:after="0" w:line="225" w:lineRule="exact"/>
        <w:rPr>
          <w:sz w:val="20"/>
          <w:szCs w:val="20"/>
          <w:color w:val="auto"/>
        </w:rPr>
      </w:pPr>
    </w:p>
    <w:p>
      <w:pPr>
        <w:ind w:firstLine="656"/>
        <w:spacing w:after="0" w:line="282" w:lineRule="auto"/>
        <w:tabs>
          <w:tab w:leader="none" w:pos="125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jc w:val="both"/>
        <w:ind w:firstLine="656"/>
        <w:spacing w:after="0" w:line="266" w:lineRule="auto"/>
        <w:tabs>
          <w:tab w:leader="none" w:pos="130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fail to pay any interest on any Loan or any fee or any other amount (other than an amount referred to in clause (a) of this Article) payable under this Agreement or any other Loan Document, when and as the same shall become due and payable, and such failure continues unremedied for a period of three (3) Business Days;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1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observe or perform any covenant, condition or agreement contained in Section 5.02(a), 5.03(a) (with respect to a Loan Party’s existence) or 5.08 or in Article VI;</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5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observe or perform any covenant, condition or agreement contained in this Agreement (other than those which constitute a default under another Section of this Article), or any other Loan Document, and such failure shall continue unremedied for a period of (i) 5 days after the earlier of any Loan Party’s knowledge of such breach or notice thereof from the Administrative Agent (which notice will be given at the request of any Lender) if such breach relates to terms or provisions of Section 5.01, 5.02 (other than Section 5.02(a)), 5.03, 5.04, 5.06, 5.10, 5.11 or 5.13 of this Agreement or (ii) 30 days after the earlier of any Loan Party’s knowledge of such breach or notice thereof from the Administrative Agent (which notice will be given at the request of any Lender) if such breach relates to terms or provisions of any other Section of this Agreement or any other Loan Document;</w:t>
      </w:r>
    </w:p>
    <w:p>
      <w:pPr>
        <w:spacing w:after="0" w:line="188"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secured Indebtedness that becomes due as a result of the voluntary sale or transfer of the property or assets securing such Indebtedness to the extent such sale or transfer is permitted by Section 6.05;</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Subsidiary or for a substantial part of its assets, and, in any such case, such proceeding or petition shall continue undismissed for sixty</w:t>
      </w:r>
    </w:p>
    <w:p>
      <w:pPr>
        <w:spacing w:after="0" w:line="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an order or decree approving or ordering any of the foregoing shall be entered;</w:t>
      </w:r>
    </w:p>
    <w:p>
      <w:pPr>
        <w:spacing w:after="0" w:line="206" w:lineRule="exact"/>
        <w:rPr>
          <w:rFonts w:ascii="Times New Roman" w:cs="Times New Roman" w:eastAsia="Times New Roman" w:hAnsi="Times New Roman"/>
          <w:sz w:val="18"/>
          <w:szCs w:val="18"/>
          <w:color w:val="auto"/>
        </w:rPr>
      </w:pPr>
    </w:p>
    <w:p>
      <w:pPr>
        <w:jc w:val="both"/>
        <w:ind w:firstLine="656"/>
        <w:spacing w:after="0" w:line="222" w:lineRule="exact"/>
        <w:tabs>
          <w:tab w:leader="none" w:pos="134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cial for such Loan Party or Subsidiary or for a substan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tial part of its assets, (iv) file an answer admit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ting the material allegations of a petition filed against it in any such proceeding, (v) make a general assignment for the benefit of creditors or (vi) take any action for the purpose of effecting any of the fore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ind w:right="20" w:firstLine="656"/>
        <w:spacing w:after="0" w:line="282" w:lineRule="auto"/>
        <w:tabs>
          <w:tab w:leader="none" w:pos="123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Subsidiary shall become unable, admit in writing its inability, or publicly declare its intention not to, or fail generally to pay its debts as they become due;</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0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one or more judgments for the payment of money in an aggregate amount in excess of $3,000,000 shall be rendered against any Loan Party, any Subsidiary or any combination thereof and the same shall remain undischarged for a period of thirty (30) consecutive days during which execution shall not be effectively stayed, or any action shall be legally taken by a judgment creditor to attach or levy upon any assets of any Loan Party or Subsidiary to enforce any such judgment; or (ii) any Loan Party or Subsidiary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28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 as defined in the Security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Guaranty shall fail to remain in full force or effect or any action shall be taken to discontinue or to assert the invalidity or unenforceability of the Loan Guaranty, or any Loan Guarantor shall fail to comply in any material respect with any of the terms or provisions of the Loan Guaranty to which it is a party, or any Loan Guarantor shall deny that it has any further liability under the Loan Guaranty to which it is a party, or shall give notice to such effect, including, but not limited to notice of termination delivered pursuant to Section 10.08;</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Document shall fail to remain in full force or effect or any action shall be taken to discontinue or to assert the invalidity or unenforceability of any Collateral Document;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or</w:t>
      </w:r>
    </w:p>
    <w:p>
      <w:pPr>
        <w:spacing w:after="0" w:line="179"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is criminally indicted or convicted under any law that may reasonably be expected to have a Material Adverse Effect;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jc w:val="both"/>
        <w:spacing w:after="0" w:line="217" w:lineRule="exact"/>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Borrowers described in clause (h) or (i) of this Article), and at any time thereafter during the continuance of such event, the Administrative Agent may, and at the request of the Required Lenders shall, by notice to the Borrower Representative, take any or all of the following actions, at the same or different times: (i) terminate the Commitments whereupon the Commitments shall terminate immediately, (ii) declare the Loans then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(including, for the avoidance of doubt, any break funding payments) and other obligations of the Borrowers accrued hereunder and under any other Loan Document, shall become due and payable immediately, in each case without presentment, demand, protest or other notice of any kind, all of which are hereby waived by the Borrowers, and (iii) require cash collateral for the LC Exposure in accordance with Section 2.06(j) hereof; and in the case of any event with respect to the Borrowers described in clause (h) or (i) of this Article, the Commitments shall automatically terminate and the principal of the Loans then outstanding and the cash collateral for the LC Exposure, together with accrued interest thereon and all fees (including, for the avoidance of doubt, any break funding payments) and other obligations of the Borrowers accrued hereunder and under any other Loan Documents, shall automatically become due and payable, in each case without present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Authorization and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31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3" w:name="page124"/>
    <w:bookmarkEnd w:id="123"/>
    <w:p>
      <w:pPr>
        <w:jc w:val="both"/>
        <w:ind w:firstLine="656"/>
        <w:spacing w:after="0" w:line="252" w:lineRule="auto"/>
        <w:tabs>
          <w:tab w:leader="none" w:pos="154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20" w:lineRule="exact"/>
        <w:rPr>
          <w:rFonts w:ascii="Times New Roman" w:cs="Times New Roman" w:eastAsia="Times New Roman" w:hAnsi="Times New Roman"/>
          <w:sz w:val="18"/>
          <w:szCs w:val="18"/>
          <w:color w:val="auto"/>
        </w:rPr>
      </w:pPr>
    </w:p>
    <w:p>
      <w:pPr>
        <w:jc w:val="both"/>
        <w:ind w:firstLine="656"/>
        <w:spacing w:after="0" w:line="266" w:lineRule="auto"/>
        <w:tabs>
          <w:tab w:leader="none" w:pos="125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66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assume and shall not be deemed to have assumed any obligation or duty or any other relationship as the agent, fiduciary or trustee of or for any Lender, Issuing Bank, any other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91" w:lineRule="exact"/>
        <w:rPr>
          <w:rFonts w:ascii="Times New Roman" w:cs="Times New Roman" w:eastAsia="Times New Roman" w:hAnsi="Times New Roman"/>
          <w:sz w:val="18"/>
          <w:szCs w:val="18"/>
          <w:color w:val="auto"/>
        </w:rPr>
      </w:pPr>
    </w:p>
    <w:p>
      <w:pPr>
        <w:ind w:left="660" w:firstLine="644"/>
        <w:spacing w:after="0" w:line="282" w:lineRule="auto"/>
        <w:tabs>
          <w:tab w:leader="none" w:pos="173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1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 agent except to the extent that a court of competent jurisdiction determines in a final and non-appealable judgment that the Administrative Agent acted with gross negligence or willful misconduct in the selection of such sub-agent.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4" w:name="page125"/>
    <w:bookmarkEnd w:id="124"/>
    <w:p>
      <w:pPr>
        <w:ind w:firstLine="656"/>
        <w:spacing w:after="0" w:line="282" w:lineRule="auto"/>
        <w:tabs>
          <w:tab w:leader="none" w:pos="137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6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83" w:lineRule="exact"/>
        <w:rPr>
          <w:rFonts w:ascii="Times New Roman" w:cs="Times New Roman" w:eastAsia="Times New Roman" w:hAnsi="Times New Roman"/>
          <w:sz w:val="18"/>
          <w:szCs w:val="18"/>
          <w:color w:val="auto"/>
        </w:rPr>
      </w:pPr>
    </w:p>
    <w:p>
      <w:pPr>
        <w:jc w:val="both"/>
        <w:ind w:left="660" w:right="20" w:firstLine="644"/>
        <w:spacing w:after="0" w:line="261" w:lineRule="auto"/>
        <w:tabs>
          <w:tab w:leader="none" w:pos="187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179"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89" w:lineRule="exact"/>
        <w:rPr>
          <w:sz w:val="20"/>
          <w:szCs w:val="20"/>
          <w:color w:val="auto"/>
        </w:rPr>
      </w:pPr>
    </w:p>
    <w:p>
      <w:pPr>
        <w:jc w:val="both"/>
        <w:ind w:firstLine="656"/>
        <w:spacing w:after="0" w:line="258" w:lineRule="auto"/>
        <w:tabs>
          <w:tab w:leader="none" w:pos="126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are solely for the benefit of the Administrative Agent, the Lenders and the Issuing Banks, and, except solely to the extent of the Borrowers’ right to consent pursuant to and subject to the conditions set forth in this Article, no Borrower nor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Reliance, Limitation of Liability, Etc.</w:t>
      </w:r>
    </w:p>
    <w:p>
      <w:pPr>
        <w:spacing w:after="0" w:line="225" w:lineRule="exact"/>
        <w:rPr>
          <w:sz w:val="20"/>
          <w:szCs w:val="20"/>
          <w:color w:val="auto"/>
        </w:rPr>
      </w:pPr>
    </w:p>
    <w:p>
      <w:pPr>
        <w:jc w:val="both"/>
        <w:ind w:firstLine="656"/>
        <w:spacing w:after="0" w:line="253" w:lineRule="auto"/>
        <w:tabs>
          <w:tab w:leader="none" w:pos="12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facsimile, emailed pdf. or any other electronic means that reproduces an image of an actual executed signature page) or for any failure of any Loan Party to perform its obligations hereunder or thereunder.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5" w:name="page126"/>
    <w:bookmarkEnd w:id="125"/>
    <w:p>
      <w:pPr>
        <w:jc w:val="both"/>
        <w:ind w:firstLine="656"/>
        <w:spacing w:after="0" w:line="253" w:lineRule="auto"/>
        <w:tabs>
          <w:tab w:leader="none" w:pos="138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Representative, or (ii) notice of any Default or Event of Default unless and until written notice thereof (stating that it is a “notice of Default” or a “notice of an Event of Default”) is given to the Administrative Agent by the Borrower Representative, a Lender or the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50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Posting of Communications.</w:t>
      </w:r>
    </w:p>
    <w:p>
      <w:pPr>
        <w:spacing w:after="0" w:line="225" w:lineRule="exact"/>
        <w:rPr>
          <w:sz w:val="20"/>
          <w:szCs w:val="20"/>
          <w:color w:val="auto"/>
        </w:rPr>
      </w:pPr>
    </w:p>
    <w:p>
      <w:pPr>
        <w:jc w:val="both"/>
        <w:ind w:right="20" w:firstLine="656"/>
        <w:spacing w:after="0" w:line="266" w:lineRule="auto"/>
        <w:tabs>
          <w:tab w:leader="none" w:pos="124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that the Administrative Agent may, but shall not be obligated to, make any Communications available to the Lenders and the Issuing Bank by posting the Communications on IntraLinks™, DebtDomain, SyndTrak, ClearPar or any other electronic system chosen by the Administrative Agent to be its electronic transmission system (the “Approved Electronic Platform”).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6" w:name="page127"/>
    <w:bookmarkEnd w:id="126"/>
    <w:p>
      <w:pPr>
        <w:jc w:val="both"/>
        <w:ind w:firstLine="656"/>
        <w:spacing w:after="0" w:line="254" w:lineRule="auto"/>
        <w:tabs>
          <w:tab w:leader="none" w:pos="138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 and each Borrower hereby approves distribution of the Communications through the Approved Electronic Platform and understands and assumes the risks of such distribution.</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5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Issuing Bank by means of electronic communications pursuant to this Section, including through an Approved Electronic Platform.</w:t>
      </w:r>
    </w:p>
    <w:p>
      <w:pPr>
        <w:spacing w:after="0" w:line="176" w:lineRule="exact"/>
        <w:rPr>
          <w:sz w:val="20"/>
          <w:szCs w:val="20"/>
          <w:color w:val="auto"/>
        </w:rPr>
      </w:pPr>
    </w:p>
    <w:p>
      <w:pPr>
        <w:jc w:val="both"/>
        <w:ind w:firstLine="656"/>
        <w:spacing w:after="0" w:line="258" w:lineRule="auto"/>
        <w:tabs>
          <w:tab w:leader="none" w:pos="146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7" w:name="page128"/>
    <w:bookmarkEnd w:id="127"/>
    <w:p>
      <w:pPr>
        <w:jc w:val="both"/>
        <w:ind w:firstLine="656"/>
        <w:spacing w:after="0" w:line="266" w:lineRule="auto"/>
        <w:tabs>
          <w:tab w:leader="none" w:pos="140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Issuing Bank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6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Administrative Agent, any Lender or Issuing Bank to give any notice or other communication pursuant to any Loan Document in any other manner specified in such Loan Document.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The Administrative Agent Individually</w:t>
      </w:r>
      <w:r>
        <w:rPr>
          <w:rFonts w:ascii="Times New Roman" w:cs="Times New Roman" w:eastAsia="Times New Roman" w:hAnsi="Times New Roman"/>
          <w:sz w:val="18"/>
          <w:szCs w:val="18"/>
          <w:color w:val="auto"/>
        </w:rPr>
        <w:t>.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127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resign at any time by giving 30 days’ prior written notice thereof to the Lenders, the Issuing Bank and the Borrower Representative, whether or not a successor Administrative Agent has been appointed. Upon any such resignation, (i) the Administrative Agent may appoint one of its Affiliates as a successor Administrative Agent and (ii) if the Administrative Agent has not appointed one of its Affiliates as a successor Administrative Agent within 10 days of such resignation pursuant to clause (i) above,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(other than if the Administrative Agent appoints one of its Affiliates as a successor Administrative Agent pursuant to clause (i) above),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8" w:name="page129"/>
    <w:bookmarkEnd w:id="128"/>
    <w:p>
      <w:pPr>
        <w:jc w:val="both"/>
        <w:ind w:firstLine="656"/>
        <w:spacing w:after="0" w:line="217" w:lineRule="exact"/>
        <w:tabs>
          <w:tab w:leader="none" w:pos="141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Borrowers, whereupon, on the date of effectiveness of such resignation stated in such notice, (i) the retiring Administrative Agent shall be discharged from its duties and obligations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Acknowledgements of Lenders and Issuing Bank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17" w:lineRule="exact"/>
        <w:tabs>
          <w:tab w:leader="none" w:pos="13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jc w:val="both"/>
        <w:ind w:firstLine="656"/>
        <w:spacing w:after="0" w:line="252" w:lineRule="auto"/>
        <w:tabs>
          <w:tab w:leader="none" w:pos="131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a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25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as determined by Administrative Agent in its sole discretion to grant and perfect a Lien on such Collateral in favor of the Administrative Agent on behalf of the Secured Parties.</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0" w:name="page131"/>
    <w:bookmarkEnd w:id="130"/>
    <w:p>
      <w:pPr>
        <w:jc w:val="both"/>
        <w:ind w:firstLine="656"/>
        <w:spacing w:after="0" w:line="256" w:lineRule="auto"/>
        <w:tabs>
          <w:tab w:leader="none" w:pos="136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Credit Bidding.</w:t>
      </w:r>
      <w:r>
        <w:rPr>
          <w:rFonts w:ascii="Times New Roman" w:cs="Times New Roman" w:eastAsia="Times New Roman" w:hAnsi="Times New Roman"/>
          <w:sz w:val="18"/>
          <w:szCs w:val="18"/>
          <w:color w:val="auto"/>
        </w:rPr>
        <w:t xml:space="preserv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w:t>
      </w:r>
    </w:p>
    <w:p>
      <w:pPr>
        <w:spacing w:after="0" w:line="9" w:lineRule="exact"/>
        <w:rPr>
          <w:sz w:val="20"/>
          <w:szCs w:val="20"/>
          <w:color w:val="auto"/>
        </w:rPr>
      </w:pPr>
    </w:p>
    <w:p>
      <w:pPr>
        <w:jc w:val="both"/>
        <w:ind w:firstLine="8"/>
        <w:spacing w:after="0" w:line="251" w:lineRule="auto"/>
        <w:tabs>
          <w:tab w:leader="none" w:pos="33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1" w:name="page132"/>
    <w:bookmarkEnd w:id="131"/>
    <w:p>
      <w:pPr>
        <w:ind w:left="660"/>
        <w:spacing w:after="0"/>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Certain ERISA Matters.</w:t>
      </w:r>
    </w:p>
    <w:p>
      <w:pPr>
        <w:spacing w:after="0" w:line="225" w:lineRule="exact"/>
        <w:rPr>
          <w:sz w:val="20"/>
          <w:szCs w:val="20"/>
          <w:color w:val="auto"/>
        </w:rPr>
      </w:pPr>
    </w:p>
    <w:p>
      <w:pPr>
        <w:jc w:val="both"/>
        <w:ind w:firstLine="656"/>
        <w:spacing w:after="0" w:line="261" w:lineRule="auto"/>
        <w:tabs>
          <w:tab w:leader="none" w:pos="104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any Borrower or any other Loan Party, that at least one of the following is and will be true:</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57"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17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028"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2103"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40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any Borrower or any other Loan Party, that none of the Administrative Agent, any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2" w:name="page133"/>
    <w:bookmarkEnd w:id="132"/>
    <w:p>
      <w:pPr>
        <w:jc w:val="both"/>
        <w:ind w:firstLine="656"/>
        <w:spacing w:after="0" w:line="254" w:lineRule="auto"/>
        <w:tabs>
          <w:tab w:leader="none" w:pos="132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JPMCB has adopted internal policies and procedures that address requirements placed on federally regulated lenders under the National Flood Insurance Reform Act of 1994 and related legislation (the “</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facsimile, as follows:</w:t>
      </w:r>
    </w:p>
    <w:p>
      <w:pPr>
        <w:spacing w:after="0" w:line="176" w:lineRule="exact"/>
        <w:rPr>
          <w:sz w:val="20"/>
          <w:szCs w:val="20"/>
          <w:color w:val="auto"/>
        </w:rPr>
      </w:pPr>
    </w:p>
    <w:p>
      <w:pPr>
        <w:ind w:left="1800" w:hanging="658"/>
        <w:spacing w:after="0"/>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to the Borrower Representative at:</w:t>
      </w:r>
    </w:p>
    <w:p>
      <w:pPr>
        <w:spacing w:after="0" w:line="252" w:lineRule="exact"/>
        <w:rPr>
          <w:rFonts w:ascii="Times New Roman" w:cs="Times New Roman" w:eastAsia="Times New Roman" w:hAnsi="Times New Roman"/>
          <w:sz w:val="18"/>
          <w:szCs w:val="18"/>
          <w:color w:val="auto"/>
        </w:rPr>
      </w:pPr>
    </w:p>
    <w:p>
      <w:pPr>
        <w:ind w:left="1800" w:right="700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Friedman Industries, Incorporated 1121 Judson Road Suite 124, Longview, TX</w:t>
      </w:r>
    </w:p>
    <w:p>
      <w:pPr>
        <w:spacing w:after="0" w:line="1"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Alex LaRue</w:t>
      </w:r>
    </w:p>
    <w:p>
      <w:pPr>
        <w:spacing w:after="0" w:line="36"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903 758 2265</w:t>
      </w:r>
    </w:p>
    <w:p>
      <w:pPr>
        <w:spacing w:after="0" w:line="252" w:lineRule="exact"/>
        <w:rPr>
          <w:rFonts w:ascii="Times New Roman" w:cs="Times New Roman" w:eastAsia="Times New Roman" w:hAnsi="Times New Roman"/>
          <w:sz w:val="18"/>
          <w:szCs w:val="18"/>
          <w:color w:val="auto"/>
        </w:rPr>
      </w:pPr>
    </w:p>
    <w:p>
      <w:pPr>
        <w:ind w:left="1800" w:hanging="658"/>
        <w:spacing w:after="0" w:line="282"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JPMCB in its capacity as an Issuing Bank or the Swingline Lender, to JPMorgan Chase Bank, N.A. at:</w:t>
      </w:r>
    </w:p>
    <w:p>
      <w:pPr>
        <w:spacing w:after="0" w:line="161" w:lineRule="exact"/>
        <w:rPr>
          <w:rFonts w:ascii="Times New Roman" w:cs="Times New Roman" w:eastAsia="Times New Roman" w:hAnsi="Times New Roman"/>
          <w:sz w:val="18"/>
          <w:szCs w:val="18"/>
          <w:color w:val="auto"/>
        </w:rPr>
      </w:pPr>
    </w:p>
    <w:p>
      <w:pPr>
        <w:jc w:val="both"/>
        <w:ind w:left="1800" w:right="73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Bank, N.A. 2200 Ross Avenue, 9th Floor Dallas, TX 75201</w:t>
      </w:r>
    </w:p>
    <w:p>
      <w:pPr>
        <w:spacing w:after="0" w:line="1"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Timothy J. Whitefoot</w:t>
      </w:r>
    </w:p>
    <w:p>
      <w:pPr>
        <w:spacing w:after="0" w:line="36"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214 965 4731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3" w:name="page134"/>
    <w:bookmarkEnd w:id="133"/>
    <w:p>
      <w:pPr>
        <w:ind w:left="1800" w:hanging="658"/>
        <w:spacing w:after="0"/>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or Issuing Bank, to it at its address or facsimile number set forth in its Administrative Questionnaire.</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(A) sent by hand or overnight courier service, or mailed by certified or registered mail, shall be deemed to have been given when received, (B) sent by facsimile shall be deemed to have been given when 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normal business hours of the recipient, such notice or communication shall be deemed to have been given at the opening of business on the next Business Day of the recipient, or (C) delivered through Electronic Systems or Approved Electronic Platforms, as applicable, to the extent provided in paragraph (b) below shall be effective as provided in such paragraph.</w:t>
      </w:r>
    </w:p>
    <w:p>
      <w:pPr>
        <w:spacing w:after="0" w:line="183" w:lineRule="exact"/>
        <w:rPr>
          <w:sz w:val="20"/>
          <w:szCs w:val="20"/>
          <w:color w:val="auto"/>
        </w:rPr>
      </w:pPr>
    </w:p>
    <w:p>
      <w:pPr>
        <w:jc w:val="both"/>
        <w:ind w:firstLine="656"/>
        <w:spacing w:after="0" w:line="252" w:lineRule="auto"/>
        <w:tabs>
          <w:tab w:leader="none" w:pos="134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any Borrower, any Loan Party, the Lenders and the Issuing Banks hereunder may be delivered or furnished by using Electronic Systems or Approved Electronic Platforms, as applicable, or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Article II unless otherwise agreed by the Administrative Agent and the applicable Lender. Each of the Administrative Agent and the Borrower Representative (on behalf of the Loan Parties) may, in its discretion, agree to accept notices and other communications to it hereunder by Electronic Systems or Approved Electronic Platforms, as applicable,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97" w:lineRule="exact"/>
        <w:rPr>
          <w:rFonts w:ascii="Times New Roman" w:cs="Times New Roman" w:eastAsia="Times New Roman" w:hAnsi="Times New Roman"/>
          <w:sz w:val="18"/>
          <w:szCs w:val="18"/>
          <w:color w:val="auto"/>
        </w:rPr>
      </w:pPr>
    </w:p>
    <w:p>
      <w:pPr>
        <w:ind w:right="20" w:firstLine="656"/>
        <w:spacing w:after="0" w:line="282" w:lineRule="auto"/>
        <w:tabs>
          <w:tab w:leader="none" w:pos="124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facsimile number or e-mail address for notices and other communications hereunder by notice to the other parties hereto.</w:t>
      </w:r>
    </w:p>
    <w:p>
      <w:pPr>
        <w:spacing w:after="0" w:line="162"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 xml:space="preserve">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jc w:val="both"/>
        <w:ind w:firstLine="656"/>
        <w:spacing w:after="0" w:line="251" w:lineRule="auto"/>
        <w:tabs>
          <w:tab w:leader="none" w:pos="132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the first sentence of Section 2.09(f) (with respect to any commitment increase) and subject to Section 2.14(c), (d) and (e) and Section 9.02(e) below, neither this Agreement nor any other Loan Document nor any provision hereof or thereof may be waived, amended or modified except (i) in the case of this Agreement, pursuant to an agreement or agreements in writing entered into by the Borrowers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(A) increase the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or modification of the financial covenants in this Agreement (or any defined term used therein) shall not constitute a reduction in the rate of interest or fees for purposes of this clause (B)), (C)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(D) change Section 2.09(c) or Section 2.18(b) or (d) in a manner that would alter the ratable reduction of Commitments or the manner in which payments are shared, without the written consent of each Lender (other than any Defaulting Lender), (E) increase the advance rates set forth in the definition of Borrowing Base or add new categories of eligible assets, without the written consent of the Required Revolving Lenders, (F) 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(G) release any Loan Guarantor from its obligation under its Loan Guaranty (except as otherwise permitted herein or in the other Loan Documents), without the written consent of each Lender (other than any Defaulting Lender), or (H) except as provided in clause (c) of this Section or in any Collateral Document, release all or substantially all of the Collateral without the written consent of each Lender (other than any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(it being understood that any amendment to Section 2.20 shall require the consent of the Administrative Agent, the Issuing Bank and the Swingline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or modify the provisions of Section 2.06 without the prior written consent of the Administrative Agent and the Issuing Banks. The Administrative Agent may also amend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Borrowers and the requisite number or percentage in interest of each affected Class of Lenders that would be required to consent thereto under this Section if such Class of Lenders were the only Class of Lenders hereunder at the time.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jc w:val="both"/>
        <w:ind w:firstLine="656"/>
        <w:spacing w:after="0" w:line="252" w:lineRule="auto"/>
        <w:tabs>
          <w:tab w:leader="none" w:pos="125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and the Issuing Bank hereby irrevocably authorize the Administrative Agent,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sold or disposed of by a Loan Party in compliance with the terms of this Agreement (and the Administrative Agent may rely conclusively on any certificate of such Loan Party certifying that the sale or disposition is made in compliance with the terms of this Agreement, without further inquiry), and to the extent that the property being sold or disposed of constitutes 100% of the Equity Interests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discretion, release its Liens on Collateral valued in the aggregate not in excess of $1,000,000 during any calendar year without the prior written authorization of the Required Lenders (it being agreed that the Administrative Agent may rely conclusively on one or more certificates of the Borrowers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14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Borrowers may elect to replace a Non-Consenting Lender as a Lender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Borrowers,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36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Administrative Agent may, with the consent of the Borrower Representative only, amend, modify or supplement this Agreement or any of the other Loan Documents to cure any ambiguity, omission, mistake, defect or inconsistency.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6" w:name="page137"/>
    <w:bookmarkEnd w:id="136"/>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Limitation of Liability; Indemnity; Etc.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Loan Parties shall, jointly and severally, pay all (i)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Administrative Agent and its Affiliates, including the reasonable fees, charges and disbursements of counsel for the Administrative Agent, in connection with the syndication and distribution (including, without limitation, via the internet or through any Electronic System or Approved Electronic Platform) of the credit facilities provided for herein, the preparation and administration of the Loan Documents and any amendments, modifications or waivers of the provi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sions of the Loan Documents (whether or not the transactions contemplated hereby or thereby shall be consummated), (ii) reasonable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200" w:lineRule="exact"/>
        <w:rPr>
          <w:sz w:val="20"/>
          <w:szCs w:val="20"/>
          <w:color w:val="auto"/>
        </w:rPr>
      </w:pPr>
    </w:p>
    <w:p>
      <w:pPr>
        <w:ind w:left="1960" w:hanging="656"/>
        <w:spacing w:after="0"/>
        <w:tabs>
          <w:tab w:leader="none" w:pos="1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5.12, appraisals and insurance reviews;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5.06, field examinations and the preparation of Reports based on the fees charged by a third party retained by the Administrative Agent or the internally allocated fees for each Person employed by the Administrative Agent with respect to each field examination;</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6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checks regarding senior management and/or key investors, as deemed necessary or appropriate in the sole discretion of the Administrative Agent;</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23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fees and other charges for (1) lien and title searches and title insurance and (2) filing financing statements and continuations, and other actions to perfect, protect, and continue the Administrative Agent’s Liens;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sums paid or incurred to take any action required of any Loan Party under the Loan Documents that such Loan Party fails to pay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take; and</w:t>
      </w:r>
    </w:p>
    <w:p>
      <w:pPr>
        <w:spacing w:after="0" w:line="206"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1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forwarding loan proceeds, collecting checks and other items of payment, and establishing and maintaining the accounts and lock boxes, and costs and expenses of preserving and protecting the Collateral.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foregoing fees, costs and expenses may be charged to the Borrowers as Revolving Loans or to another deposit account, all as described in Section 2.18(c).</w:t>
      </w:r>
    </w:p>
    <w:p>
      <w:pPr>
        <w:spacing w:after="0" w:line="162" w:lineRule="exact"/>
        <w:rPr>
          <w:sz w:val="20"/>
          <w:szCs w:val="20"/>
          <w:color w:val="auto"/>
        </w:rPr>
      </w:pPr>
    </w:p>
    <w:p>
      <w:pPr>
        <w:jc w:val="both"/>
        <w:ind w:firstLine="656"/>
        <w:spacing w:after="0" w:line="253" w:lineRule="auto"/>
        <w:tabs>
          <w:tab w:leader="none" w:pos="139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extent permitted by applicable law (i) neither any Borrower nor any Loan Party shall assert, and each Borrower and each Loan Party hereby waives, any claim against the Administrative Agent, any Arranger, any Issuing Bank and any Lender, and any Related Party of any of the foregoing Persons (each such Person being called a “</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9.03(b) shall relieve any Borrower or any Loan Party of any obligation it may have to indemnify an Indemnitee, as provided in Section 9.03(c), against any special, indirect, consequential or punitive damages asserted against such Indemnitee by a third party.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7" w:name="page138"/>
    <w:bookmarkEnd w:id="137"/>
    <w:p>
      <w:pPr>
        <w:jc w:val="both"/>
        <w:ind w:firstLine="656"/>
        <w:spacing w:after="0" w:line="252" w:lineRule="auto"/>
        <w:tabs>
          <w:tab w:leader="none" w:pos="130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Loan Parties shall, jointly and severally, indemnify the Administrative Agent, each Arranger, the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Liabilities and related expenses, including the fees, charges and disbursements of any counsel for any Indemnitee (but excluding Taxes, which shall be governed exclusively by Section 2.17, and Excluded Taxes),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or (iv)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the gross negligence or willful misconduct of such Indemnitee. WITHOUT LIMITATION OF THE FOREGOING, IT IS THE INTENTION OF EACH LOAN PARTY AND EACH LOAN PARTY AGREES THAT THE FOREGOING INDEMNITIES SHALL APPLY TO EACH INDEMNITEE WITH RESPECT TO LOSSES, CLAIMS, DAMAGES, PENALTIES, LIABILITIES AND RELATED EXPENSES (INCLUDING, WITHOUT LIMITATION, ALL EXPENSES OF LITIGATION OR PREPARATION THEREFOR), WHICH IN WHOLE OR IN PART ARE CAUSED BY OR ARISE OUT OF THE NEGLIGENCE OF SUCH (AND/OR ANY OTHER) INDEMNITEE. This Section 9.03(c) shall not apply with respect to Taxes other than any Taxes that represent losses or damages arising from any non-Tax claim.</w:t>
      </w:r>
    </w:p>
    <w:p>
      <w:pPr>
        <w:spacing w:after="0" w:line="190" w:lineRule="exact"/>
        <w:rPr>
          <w:rFonts w:ascii="Times New Roman" w:cs="Times New Roman" w:eastAsia="Times New Roman" w:hAnsi="Times New Roman"/>
          <w:sz w:val="18"/>
          <w:szCs w:val="18"/>
          <w:color w:val="auto"/>
        </w:rPr>
      </w:pPr>
    </w:p>
    <w:p>
      <w:pPr>
        <w:jc w:val="both"/>
        <w:ind w:firstLine="656"/>
        <w:spacing w:after="0" w:line="217" w:lineRule="exact"/>
        <w:tabs>
          <w:tab w:leader="none" w:pos="128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Reimbursement</w:t>
      </w:r>
      <w:r>
        <w:rPr>
          <w:rFonts w:ascii="Times New Roman" w:cs="Times New Roman" w:eastAsia="Times New Roman" w:hAnsi="Times New Roman"/>
          <w:sz w:val="18"/>
          <w:szCs w:val="18"/>
          <w:color w:val="auto"/>
        </w:rPr>
        <w:t>. Each Lender severally agrees to pay any amount required to be paid by any Loan Party under paragraphs (a), (b) or (c) of this Section 9.03 to the Administrative Agent, each Issuing Bank and the Swingline Lender, and each Related Party of any of the foregoing Persons (each, an “</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xml:space="preserve">”) (to the extent not reimbursed by a Loan Party and without limiting the obligation of any Loan Party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Lender shall be liable for the payment of any portion of such Liabilities, costs, expenses or disbursements that are found by a final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appealable decision of a court of competent jurisdiction to have resulted primarily from such Agent-Related Person’s gross negligence or willful misconduct. The agreements in this Section shall survive the termination of this Agreement and the Payment in Full of the Secured Obligations.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8" w:name="page139"/>
    <w:bookmarkEnd w:id="138"/>
    <w:p>
      <w:pPr>
        <w:ind w:left="1260" w:hanging="604"/>
        <w:spacing w:after="0"/>
        <w:tabs>
          <w:tab w:leader="none" w:pos="12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9.03 shall be payable promptly after written demand therefor.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(a) 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spacing w:after="0" w:line="176" w:lineRule="exact"/>
        <w:rPr>
          <w:sz w:val="20"/>
          <w:szCs w:val="20"/>
          <w:color w:val="auto"/>
        </w:rPr>
      </w:pPr>
    </w:p>
    <w:p>
      <w:pPr>
        <w:jc w:val="both"/>
        <w:ind w:left="1460" w:firstLine="654"/>
        <w:spacing w:after="0" w:line="258" w:lineRule="auto"/>
        <w:tabs>
          <w:tab w:leader="none" w:pos="284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shall be deemed to have consented to any such assignment of all or a portion of the Revolving Loans and Commitments unless it shall object thereto by written notice to the Administrative Agent within five (5) Business Days after having received notice thereof,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consent of the Borrower Representative shall be required for an assignment to a Lender, an Affiliate of a Lender, an Approved Fund or, if an Event of Default has occurred and is continuing, any other assignee;</w:t>
      </w:r>
    </w:p>
    <w:p>
      <w:pPr>
        <w:spacing w:after="0" w:line="183" w:lineRule="exact"/>
        <w:rPr>
          <w:rFonts w:ascii="Times New Roman" w:cs="Times New Roman" w:eastAsia="Times New Roman" w:hAnsi="Times New Roman"/>
          <w:sz w:val="18"/>
          <w:szCs w:val="18"/>
          <w:color w:val="auto"/>
        </w:rPr>
      </w:pPr>
    </w:p>
    <w:p>
      <w:pPr>
        <w:ind w:left="2760" w:hanging="646"/>
        <w:spacing w:after="0"/>
        <w:tabs>
          <w:tab w:leader="none" w:pos="27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w:t>
      </w:r>
    </w:p>
    <w:p>
      <w:pPr>
        <w:spacing w:after="0" w:line="225" w:lineRule="exact"/>
        <w:rPr>
          <w:rFonts w:ascii="Times New Roman" w:cs="Times New Roman" w:eastAsia="Times New Roman" w:hAnsi="Times New Roman"/>
          <w:sz w:val="18"/>
          <w:szCs w:val="18"/>
          <w:color w:val="auto"/>
        </w:rPr>
      </w:pPr>
    </w:p>
    <w:p>
      <w:pPr>
        <w:ind w:left="2760" w:hanging="646"/>
        <w:spacing w:after="0"/>
        <w:tabs>
          <w:tab w:leader="none" w:pos="27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Bank.</w:t>
      </w:r>
    </w:p>
    <w:p>
      <w:pPr>
        <w:spacing w:after="0" w:line="225" w:lineRule="exact"/>
        <w:rPr>
          <w:rFonts w:ascii="Times New Roman" w:cs="Times New Roman" w:eastAsia="Times New Roman" w:hAnsi="Times New Roman"/>
          <w:sz w:val="18"/>
          <w:szCs w:val="18"/>
          <w:color w:val="auto"/>
        </w:rPr>
      </w:pPr>
    </w:p>
    <w:p>
      <w:pPr>
        <w:ind w:left="2080" w:hanging="614"/>
        <w:spacing w:after="0"/>
        <w:tabs>
          <w:tab w:leader="none" w:pos="2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rFonts w:ascii="Times New Roman" w:cs="Times New Roman" w:eastAsia="Times New Roman" w:hAnsi="Times New Roman"/>
          <w:sz w:val="18"/>
          <w:szCs w:val="18"/>
          <w:color w:val="auto"/>
        </w:rPr>
      </w:pPr>
    </w:p>
    <w:p>
      <w:pPr>
        <w:jc w:val="both"/>
        <w:ind w:left="1460" w:firstLine="654"/>
        <w:spacing w:after="0" w:line="256" w:lineRule="auto"/>
        <w:tabs>
          <w:tab w:leader="none" w:pos="2785"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(such consent not to be unreasonably withheld or delayed)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Representative shall be required if an Event of Default has occurred and is continuing;</w:t>
      </w:r>
    </w:p>
    <w:p>
      <w:pPr>
        <w:spacing w:after="0" w:line="187" w:lineRule="exact"/>
        <w:rPr>
          <w:rFonts w:ascii="Times New Roman" w:cs="Times New Roman" w:eastAsia="Times New Roman" w:hAnsi="Times New Roman"/>
          <w:sz w:val="18"/>
          <w:szCs w:val="18"/>
          <w:color w:val="auto"/>
        </w:rPr>
      </w:pPr>
    </w:p>
    <w:p>
      <w:pPr>
        <w:ind w:left="1460" w:firstLine="654"/>
        <w:spacing w:after="0" w:line="282" w:lineRule="auto"/>
        <w:tabs>
          <w:tab w:leader="none" w:pos="2753"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9" w:name="page140"/>
    <w:bookmarkEnd w:id="139"/>
    <w:p>
      <w:pPr>
        <w:jc w:val="both"/>
        <w:ind w:left="1460" w:firstLine="654"/>
        <w:spacing w:after="0" w:line="261" w:lineRule="auto"/>
        <w:tabs>
          <w:tab w:leader="none" w:pos="302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79" w:lineRule="exact"/>
        <w:rPr>
          <w:rFonts w:ascii="Times New Roman" w:cs="Times New Roman" w:eastAsia="Times New Roman" w:hAnsi="Times New Roman"/>
          <w:sz w:val="18"/>
          <w:szCs w:val="18"/>
          <w:color w:val="auto"/>
        </w:rPr>
      </w:pPr>
    </w:p>
    <w:p>
      <w:pPr>
        <w:jc w:val="both"/>
        <w:ind w:left="1460" w:firstLine="654"/>
        <w:spacing w:after="0" w:line="258" w:lineRule="auto"/>
        <w:tabs>
          <w:tab w:leader="none" w:pos="279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Section 9.04(b), the terms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have the following meanings: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or its Lender Parent, (c) a holding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or (d) a Loan Party or a Subsidiary or other Affiliate of a Loan Party.</w:t>
      </w:r>
    </w:p>
    <w:p>
      <w:pPr>
        <w:spacing w:after="0" w:line="189" w:lineRule="exact"/>
        <w:rPr>
          <w:sz w:val="20"/>
          <w:szCs w:val="20"/>
          <w:color w:val="auto"/>
        </w:rPr>
      </w:pPr>
    </w:p>
    <w:p>
      <w:pPr>
        <w:jc w:val="both"/>
        <w:ind w:left="660" w:firstLine="1292"/>
        <w:spacing w:after="0" w:line="219" w:lineRule="exact"/>
        <w:tabs>
          <w:tab w:leader="none" w:pos="269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98"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68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0" w:name="page141"/>
    <w:bookmarkEnd w:id="140"/>
    <w:p>
      <w:pPr>
        <w:jc w:val="both"/>
        <w:ind w:left="660" w:firstLine="1292"/>
        <w:spacing w:after="0" w:line="253" w:lineRule="auto"/>
        <w:tabs>
          <w:tab w:leader="none" w:pos="258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1247"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or notice to, the Borrowers, the Administrative Agent, the Issuing Bank or the Swingline Lender,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other than a Loan Party or a Subsidiary or other Affiliate of a Loan Party in all or a portion of such Lender’s rights and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Bank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Borrowers agree that each Participant shall be entitled to the benefits of Sections 2.15, 2.16 and 2.17 (subject to the requirements and limitations therein, including the requirements under Section 2.17(f) and (g) (it being understood that the documentation required under Section 2.17(f) shall be delivered to the participating Lender and the information and documentation required under Section 2.17(g) will be delivered to the Borrowers and the Administrative Agent))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1" w:name="page142"/>
    <w:bookmarkEnd w:id="14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Section 2.18(b)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“Participant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0" w:lineRule="exact"/>
        <w:rPr>
          <w:sz w:val="20"/>
          <w:szCs w:val="20"/>
          <w:color w:val="auto"/>
        </w:rPr>
      </w:pPr>
    </w:p>
    <w:p>
      <w:pPr>
        <w:jc w:val="both"/>
        <w:ind w:firstLine="656"/>
        <w:spacing w:after="0" w:line="261" w:lineRule="auto"/>
        <w:tabs>
          <w:tab w:leader="none" w:pos="145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w:t>
      </w:r>
    </w:p>
    <w:p>
      <w:pPr>
        <w:spacing w:after="0" w:line="1" w:lineRule="exact"/>
        <w:rPr>
          <w:sz w:val="20"/>
          <w:szCs w:val="20"/>
          <w:color w:val="auto"/>
        </w:rPr>
      </w:pPr>
    </w:p>
    <w:p>
      <w:pPr>
        <w:jc w:val="both"/>
        <w:ind w:firstLine="8"/>
        <w:spacing w:after="0" w:line="253" w:lineRule="auto"/>
        <w:tabs>
          <w:tab w:leader="none" w:pos="27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2" w:name="page143"/>
    <w:bookmarkEnd w:id="142"/>
    <w:p>
      <w:pPr>
        <w:jc w:val="both"/>
        <w:ind w:firstLine="656"/>
        <w:spacing w:after="0" w:line="251" w:lineRule="auto"/>
        <w:tabs>
          <w:tab w:leader="none" w:pos="134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that is an Electronic Signature transmitted by facsimile,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facsimile,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facsimile,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 THIS WRITTEN AGREEMENT REPRESENTS THE FINAL AGREEMENT BETWEEN THE PARTIES AND MAY NOT BE CONTRADICTED BY EVIDENCE OF PRIOR, CONTEMPORANEOUS, OR SUBSEQUENT ORAL AGREEMENTS OF THE PARTIES. THERE ARE NO UNWRITTEN ORAL AGREEMENTS BETWEEN THE PARTIES.</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3" w:name="page144"/>
    <w:bookmarkEnd w:id="14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the Issuing Bank or any such Affiliate, to or for the credit or the account of any Loan Party against any and all of the Secured Obligations held by such Lender, the Issuing Bank or their respective Affiliates, irrespective of whether or not such Lender, the Issuing Bank or their respective Affiliates shall have made any demand under the Loan Documents and although such obligations may be contingent or unmatured or are owed to a branch office or Affiliate of such Lender or the Issuing Bank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 xml:space="preserve"> (a) The Loan Documents (other than those containing a contrary express choice of law provision) shall be governed by and construed in accordance with the internal laws of the State of New York, but giving effect to federal laws applicable to national banks.</w:t>
      </w:r>
    </w:p>
    <w:p>
      <w:pPr>
        <w:spacing w:after="0" w:line="176" w:lineRule="exact"/>
        <w:rPr>
          <w:sz w:val="20"/>
          <w:szCs w:val="20"/>
          <w:color w:val="auto"/>
        </w:rPr>
      </w:pPr>
    </w:p>
    <w:p>
      <w:pPr>
        <w:jc w:val="both"/>
        <w:ind w:firstLine="656"/>
        <w:spacing w:after="0" w:line="261" w:lineRule="auto"/>
        <w:tabs>
          <w:tab w:leader="none" w:pos="130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79" w:lineRule="exact"/>
        <w:rPr>
          <w:rFonts w:ascii="Times New Roman" w:cs="Times New Roman" w:eastAsia="Times New Roman" w:hAnsi="Times New Roman"/>
          <w:sz w:val="18"/>
          <w:szCs w:val="18"/>
          <w:color w:val="auto"/>
        </w:rPr>
      </w:pPr>
    </w:p>
    <w:p>
      <w:pPr>
        <w:jc w:val="both"/>
        <w:ind w:firstLine="656"/>
        <w:spacing w:after="0" w:line="220" w:lineRule="exact"/>
        <w:tabs>
          <w:tab w:leader="none" w:pos="135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submits, for itself and its property, to the exclusive jurisdiction of any U.S. federal or New York state court sitting in New York, New York,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ties in the courts of any jurisdiction.</w:t>
      </w:r>
    </w:p>
    <w:p>
      <w:pPr>
        <w:spacing w:after="0" w:line="180" w:lineRule="exact"/>
        <w:rPr>
          <w:rFonts w:ascii="Times New Roman" w:cs="Times New Roman" w:eastAsia="Times New Roman" w:hAnsi="Times New Roman"/>
          <w:sz w:val="18"/>
          <w:szCs w:val="18"/>
          <w:color w:val="auto"/>
        </w:rPr>
      </w:pPr>
    </w:p>
    <w:p>
      <w:pPr>
        <w:jc w:val="both"/>
        <w:ind w:firstLine="656"/>
        <w:spacing w:after="0" w:line="220" w:lineRule="exact"/>
        <w:tabs>
          <w:tab w:leader="none" w:pos="133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irrevocably and unconditionally waives, to the fullest extent it may legally and effectively do so, any objection which it may now or here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4" w:name="page145"/>
    <w:bookmarkEnd w:id="144"/>
    <w:p>
      <w:pPr>
        <w:ind w:firstLine="656"/>
        <w:spacing w:after="0" w:line="282" w:lineRule="auto"/>
        <w:tabs>
          <w:tab w:leader="none" w:pos="134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62"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MENT BY, AMONG OTHER THINGS, THE MUTUAL WAIVERS AND CERTIFICATIONS IN THIS SECTION.</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Representative (h) to the extent such Information (i) becomes publicly available other than as a result of a breach of this Section or (ii) becomes available to the Administrative Agent, the Issuing Bank or any Lender on a non-confidential basis from a source other than the Borrowers, or (i) on a confidential basis to (1) any rating agency in connection with rating any Borrower or its Subsidiaries or the credit facilities provided for herein or (2) the CUSIP Service Bureau or any similar agency in connection with the issuance and monitoring of identification numbers with respect to the credit facilities provided for herein.</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Borrowers relating to the Borrowers or their business, other than any such information that is available to the Administrative Agent, the Issuing Bank or any Lender on a non-confidential basis prior to disclosure by the Borrowers and other than information pertaining to this Agreement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5" w:name="page146"/>
    <w:bookmarkEnd w:id="145"/>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THIS SECTION 9.12) FURNISHED TO IT PURSUANT TO THIS AGREEMENT MAY INCLUDE MATERIAL NON-PUBLIC INFORMATION CONCERNING THE COMPANY, AND ITS AFFILIATES,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COMPANY,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Several Obligations; Nonreliance; Violation of Law</w:t>
      </w:r>
      <w:r>
        <w:rPr>
          <w:rFonts w:ascii="Times New Roman" w:cs="Times New Roman" w:eastAsia="Times New Roman" w:hAnsi="Times New Roman"/>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6" w:name="page147"/>
    <w:bookmarkEnd w:id="1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3"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xml:space="preserve"> Notwithstanding anything herein to the contrary, if at any time the interest rate applicable to any Loan, together with all fees, charges and other amounts which are treated as interest on such Loan under appli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Marketing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Borrowers hereby authorize JPMCB and its affiliates (collectively, the “</w:t>
      </w:r>
      <w:r>
        <w:rPr>
          <w:rFonts w:ascii="Times New Roman" w:cs="Times New Roman" w:eastAsia="Times New Roman" w:hAnsi="Times New Roman"/>
          <w:sz w:val="18"/>
          <w:szCs w:val="18"/>
          <w:u w:val="single" w:color="auto"/>
          <w:color w:val="auto"/>
        </w:rPr>
        <w:t>JPMCB Parties</w:t>
      </w:r>
      <w:r>
        <w:rPr>
          <w:rFonts w:ascii="Times New Roman" w:cs="Times New Roman" w:eastAsia="Times New Roman" w:hAnsi="Times New Roman"/>
          <w:sz w:val="18"/>
          <w:szCs w:val="18"/>
          <w:color w:val="auto"/>
        </w:rPr>
        <w:t>”), at their respective sole expense, and without any prior approval by the Borrowers, to include any Borrower’s name and logo in advertising, marketing, tombstones, case studies and training materials, and to give such other publicity to this Agreement as the JPMCB Parties may from time to time determine in their sole discretion. The foregoing authorization shall remain in effect unless and until the Borrower Representative notifies JPMCB in writing that such authorization is revoked.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xml:space="preserve">. Notwithstanding anything to the contrary in any Loan Document or in any other agreement, arrangement or understanding among any such parties, each party hereto acknowledges that any liability of any </w:t>
      </w:r>
      <w:r>
        <w:rPr>
          <w:rFonts w:ascii="Times New Roman" w:cs="Times New Roman" w:eastAsia="Times New Roman" w:hAnsi="Times New Roman"/>
          <w:sz w:val="18"/>
          <w:szCs w:val="18"/>
          <w:u w:val="single" w:color="auto"/>
          <w:color w:val="auto"/>
        </w:rPr>
        <w:t>Affected</w:t>
      </w:r>
      <w:r>
        <w:rPr>
          <w:rFonts w:ascii="Times New Roman" w:cs="Times New Roman" w:eastAsia="Times New Roman" w:hAnsi="Times New Roman"/>
          <w:sz w:val="18"/>
          <w:szCs w:val="18"/>
          <w:color w:val="auto"/>
        </w:rPr>
        <w:t xml:space="preserve"> Financial Institution arising under any Loan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656"/>
        <w:spacing w:after="0" w:line="282" w:lineRule="auto"/>
        <w:tabs>
          <w:tab w:leader="none" w:pos="151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09"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7" w:name="page148"/>
    <w:bookmarkEnd w:id="147"/>
    <w:p>
      <w:pPr>
        <w:ind w:left="660" w:firstLine="644"/>
        <w:spacing w:after="0" w:line="282" w:lineRule="auto"/>
        <w:tabs>
          <w:tab w:leader="none" w:pos="209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No Fiduciary Duty, Etc.</w:t>
      </w:r>
      <w:r>
        <w:rPr>
          <w:rFonts w:ascii="Times New Roman" w:cs="Times New Roman" w:eastAsia="Times New Roman" w:hAnsi="Times New Roman"/>
          <w:sz w:val="18"/>
          <w:szCs w:val="18"/>
          <w:color w:val="auto"/>
        </w:rPr>
        <w:t>. (a)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spacing w:after="0" w:line="188" w:lineRule="exact"/>
        <w:rPr>
          <w:sz w:val="20"/>
          <w:szCs w:val="20"/>
          <w:color w:val="auto"/>
        </w:rPr>
      </w:pPr>
    </w:p>
    <w:p>
      <w:pPr>
        <w:jc w:val="both"/>
        <w:ind w:firstLine="656"/>
        <w:spacing w:after="0" w:line="255" w:lineRule="auto"/>
        <w:tabs>
          <w:tab w:leader="none" w:pos="129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Borrower and other companies with which any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3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8" w:name="page149"/>
    <w:bookmarkEnd w:id="14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u w:val="single" w:color="auto"/>
          <w:color w:val="auto"/>
        </w:rPr>
        <w:t>Joint and Several</w:t>
      </w:r>
      <w:r>
        <w:rPr>
          <w:rFonts w:ascii="Times New Roman" w:cs="Times New Roman" w:eastAsia="Times New Roman" w:hAnsi="Times New Roman"/>
          <w:sz w:val="18"/>
          <w:szCs w:val="18"/>
          <w:color w:val="auto"/>
        </w:rPr>
        <w:t>. Each Borrower hereby unconditionally and irrevocably agrees it is jointly and severally liable to the Administrative Agent, the Issuing Banks and the Lenders for the Secured Obligations. In furtherance thereof, each Borrower agrees that wherever in this Agreement it is provided that a Borrower is liable for a payment, such obligation is the joint and several obligation of each Borrower. Each Borrower acknowledges and agrees that its joint and several liability under this Agreement and the Loan Documents is absolute and unconditional and shall not in any manner be affected or impaired by any acts or omissions whatsoever by the Administrative Agent, any Issuing Bank, any Lender or any other Person. Each Borrower’s liability for the Secured Obligations shall not in any manner be impaired or affected by who receives or uses the proceeds of the credit extended hereunder or for what purposes such proceeds are used, and each Borrower waives notice of borrowing requests issued by, and loans or other extensions of credit made to, other Borrowers. Each Borrower hereby agrees not to exercise or enforce any right of exoneration, contribution, reimbursement, recourse or subrogation available to such Borrower against any party liable for payment under this Agreement and the Loan Documents unless and until the Administrative Agent, each Issuing Bank and each Lender have been paid in full and all of the Secured Obligations are satisfied and discharged following termination or expiration of all commitments of the Lenders to extend credit to the Borrowers. Each Borrower’s joint and several liability hereunder with respect to the Secured Obligations shall, to the fullest extent permitted by applicable law, be the unconditional liability of such Borrower irrespective of (i) the validity, enforceability, avoidance or subordination of any of the Secured Obligations or of any other document evidencing all or any part of the Secured Obligations, (ii) the absence of any attempt to collect any of the Secured Obligations from any other Loan Party or any Collateral or other security therefor, or the absence of any other action to enforce the same, (iii) the amendment, modification, waiver, consent, extension, forbearance or granting of any indulgence by the Administrative Agent or any Lender with respect to any provision of any instrument executed by any other Loan Party evidencing or securing the payment of any of the Secured Obligations, or any other agreement now or hereafter executed by any other Loan Party and delivered to the Administrative Agent, (iv) the failure by the Administrative Agent or any Lender to take any steps to perfect or maintain the perfected status of its Lien upon, or to preserve its rights to, any of the Collateral or other security for the payment or performance of any of the Secured Obligations or the Administrative Agent’s release of any Collateral or of its Liens upon any Collateral, (v) the release or compromise, in whole or in part, of the liability of any other Loan Party for the payment of any of the Secured Obligations, (vi) any increase in the amount of the Secured Obligations beyond any limits imposed herein or in the amount of any interest, fees or other charges payable in connection therewith, in each case, if consented to by any other Borrower, or any decrease in the same, or (vii) any other circumstance that might constitute a legal or equitable discharge or defense of any Loan Party. After the occurrence and during the continuance of any Event of Default, the Administrative Agent may proceed directly and at once, without notice to any Borrower, against any or all of Loan Parties to collect and recover all or any part of the Secured Obligations, without first proceeding against any other Loan Party or against any Collateral or other security for the payment or performance of any of the Secured Obligations, and each Borrower waives any provision that might otherwise require the Administrative Agent or the Lenders under applicable law to pursue or exhaust remedies against any Collateral or other Loan Party before pursuing such Borrower or its property. Each Borrower consents and agrees that neither the Administrative Agent nor any Lender shall be under any obligation to marshal any assets in favor of any Loan Party or against or in payment of any or all of the Secured Obligations.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9" w:name="page150"/>
    <w:bookmarkEnd w:id="14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9.23. </w:t>
      </w:r>
      <w:r>
        <w:rPr>
          <w:rFonts w:ascii="Times New Roman" w:cs="Times New Roman" w:eastAsia="Times New Roman" w:hAnsi="Times New Roman"/>
          <w:sz w:val="18"/>
          <w:szCs w:val="18"/>
          <w:u w:val="single" w:color="auto"/>
          <w:color w:val="auto"/>
        </w:rPr>
        <w:t>Renewal, Extension or Rearrangement</w:t>
      </w:r>
      <w:r>
        <w:rPr>
          <w:rFonts w:ascii="Times New Roman" w:cs="Times New Roman" w:eastAsia="Times New Roman" w:hAnsi="Times New Roman"/>
          <w:sz w:val="18"/>
          <w:szCs w:val="18"/>
          <w:color w:val="auto"/>
        </w:rPr>
        <w:t>. This Agreement amends and restates in its entirety the Existing Credit Agreement. This Agreement and the other Loan Documents govern the present relationship among the Loan Parties, Administrative Agent, the Lenders and the other Persons a signatory hereto. This Agreement, however, is in no way intended, nor shall it be construed, to affect, replace, impair or extinguish the creation, attachment, perfection or priority of the security interests in, and other Liens on, the Collateral, which security interests and other Liens each of the Loan Parties, by this Agreement, acknowledges, reaffirms and confirms to Administrative Agent and the Lenders. The Loan Parties agree that any outstanding commitment under the Existing Credit Agreement to make advances or otherwise extend credit or credit support to any Loan Party and each other obligation under the Existing Credit Agreement of any Person (other than a Loan Party) which is a party to the Existing Credit Agreement are hereby terminated.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Loan Guaranty.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and expenses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Guaranty of Payment</w:t>
      </w:r>
      <w:r>
        <w:rPr>
          <w:rFonts w:ascii="Times New Roman" w:cs="Times New Roman" w:eastAsia="Times New Roman" w:hAnsi="Times New Roman"/>
          <w:sz w:val="18"/>
          <w:szCs w:val="18"/>
          <w:color w:val="auto"/>
        </w:rPr>
        <w:t>. This Loan Guaranty is a guaranty of payment and not of collection. Each Loan Guarantor waives any right to require the Administrative Agent, the Issuing Bank or any Lender to sue any Borrower, any Loan Guarantor, any other guarantor of, or any other Person obligated for, all or any part of the Guaranteed Obligations (each, an “</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or otherwise to enforce its payment against any collateral securing all or any part of the Guaranteed Obligations.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No Discharge or Diminishment of Loan Guaranty</w:t>
      </w:r>
      <w:r>
        <w:rPr>
          <w:rFonts w:ascii="Times New Roman" w:cs="Times New Roman" w:eastAsia="Times New Roman" w:hAnsi="Times New Roman"/>
          <w:sz w:val="18"/>
          <w:szCs w:val="18"/>
          <w:color w:val="auto"/>
        </w:rPr>
        <w:t>. (a) Except as otherwise provided for herein, the obligations of each Loan Guarantor hereunder are unconditional and absolute and not subject to any reduction, limitation, impairment or termination for any reason (other than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0" w:name="page151"/>
    <w:bookmarkEnd w:id="150"/>
    <w:p>
      <w:pPr>
        <w:jc w:val="both"/>
        <w:ind w:firstLine="656"/>
        <w:spacing w:after="0" w:line="266" w:lineRule="auto"/>
        <w:tabs>
          <w:tab w:leader="none" w:pos="141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4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Payment in Full of the Guaranteed Obligations).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Defenses Waived</w:t>
      </w:r>
      <w:r>
        <w:rPr>
          <w:rFonts w:ascii="Times New Roman" w:cs="Times New Roman" w:eastAsia="Times New Roman" w:hAnsi="Times New Roman"/>
          <w:sz w:val="18"/>
          <w:szCs w:val="18"/>
          <w:color w:val="auto"/>
        </w:rPr>
        <w:t>.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Rights of Subrogation</w:t>
      </w:r>
      <w:r>
        <w:rPr>
          <w:rFonts w:ascii="Times New Roman" w:cs="Times New Roman" w:eastAsia="Times New Roman" w:hAnsi="Times New Roman"/>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1" w:name="page152"/>
    <w:bookmarkEnd w:id="15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Reinstatement; Stay of Acceleration</w:t>
      </w:r>
      <w:r>
        <w:rPr>
          <w:rFonts w:ascii="Times New Roman" w:cs="Times New Roman" w:eastAsia="Times New Roman" w:hAnsi="Times New Roman"/>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Each of the Lenders and the Issuing Bank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clause (o) of Article VII hereof as a result of any such notice of termination.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2" w:name="page153"/>
    <w:bookmarkEnd w:id="152"/>
    <w:p>
      <w:pPr>
        <w:ind w:left="66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05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Loan Guarantor shall make a payment under this Loan Guaranty (a “</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3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1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that the rights of contribution and indemnification hereunder shall constitute assets of the Loan Guarantor or Loan Guarantors to which such contribution and indemnification is owing.</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3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indemnifying Loan Guarantors against other Loan Guarantors under this Section 10.11 shall be exercisable upon the Payment in Full of the Guaranteed Obligations and the termination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Liability Cumulative</w:t>
      </w:r>
      <w:r>
        <w:rPr>
          <w:rFonts w:ascii="Times New Roman" w:cs="Times New Roman" w:eastAsia="Times New Roman" w:hAnsi="Times New Roman"/>
          <w:sz w:val="18"/>
          <w:szCs w:val="18"/>
          <w:color w:val="auto"/>
        </w:rPr>
        <w:t>.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Borrower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Appointment; Nature of Relationship</w:t>
      </w:r>
      <w:r>
        <w:rPr>
          <w:rFonts w:ascii="Times New Roman" w:cs="Times New Roman" w:eastAsia="Times New Roman" w:hAnsi="Times New Roman"/>
          <w:sz w:val="18"/>
          <w:szCs w:val="18"/>
          <w:color w:val="auto"/>
        </w:rPr>
        <w:t>. Friedman Industries, Incorporated is hereby appointed by each of the Borrowers as its contractual representative (herein referred to as the “</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 Revolving Loan, such amount shall not exceed Availability.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11.01.</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Employment of Agents</w:t>
      </w:r>
      <w:r>
        <w:rPr>
          <w:rFonts w:ascii="Times New Roman" w:cs="Times New Roman" w:eastAsia="Times New Roman" w:hAnsi="Times New Roman"/>
          <w:sz w:val="18"/>
          <w:szCs w:val="18"/>
          <w:color w:val="auto"/>
        </w:rPr>
        <w:t>. The Borrower Representative may execute any of its duties as the Borrower Representative hereunder and under any other Loan Document by or through authorized officers.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Each Borrower shall immediately notify the Borrower Representative of the occurrence of any Default or Event of Default hereunder referring to this Agreement describing such Default or Event of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Successor Borrower Representative</w:t>
      </w:r>
      <w:r>
        <w:rPr>
          <w:rFonts w:ascii="Times New Roman" w:cs="Times New Roman" w:eastAsia="Times New Roman" w:hAnsi="Times New Roman"/>
          <w:sz w:val="18"/>
          <w:szCs w:val="18"/>
          <w:color w:val="auto"/>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Execution of Loan Documents; Borrowing Base Certificate</w:t>
      </w:r>
      <w:r>
        <w:rPr>
          <w:rFonts w:ascii="Times New Roman" w:cs="Times New Roman" w:eastAsia="Times New Roman" w:hAnsi="Times New Roman"/>
          <w:sz w:val="18"/>
          <w:szCs w:val="18"/>
          <w:color w:val="auto"/>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Certificates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4" w:name="page155"/>
    <w:bookmarkEnd w:id="15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Each Borrower hereby agrees that such Borrower shall furnish promptly after each fiscal month to the Borrower Representative a copy of its Borrowing Base Certificate and any other certificate or report required hereunder or requested by the Borrower Representative on which the Borrower Representative shall rely to prepare the Borrowing Base Certificates and Compliance Certificate required pursuant to the provisions of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5" w:name="page156"/>
    <w:bookmarkEnd w:id="15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by their respective authorized officers as of the day and year first above written.</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Texas corporation</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 LaRue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6" w:name="page157"/>
    <w:bookmarkEnd w:id="156"/>
    <w:p>
      <w:pPr>
        <w:ind w:left="4520"/>
        <w:spacing w:after="0"/>
        <w:rPr>
          <w:sz w:val="20"/>
          <w:szCs w:val="20"/>
          <w:color w:val="auto"/>
        </w:rPr>
      </w:pPr>
      <w:r>
        <w:rPr>
          <w:rFonts w:ascii="Times New Roman" w:cs="Times New Roman" w:eastAsia="Times New Roman" w:hAnsi="Times New Roman"/>
          <w:sz w:val="18"/>
          <w:szCs w:val="18"/>
          <w:color w:val="auto"/>
        </w:rPr>
        <w:t>JPMORGAN CHASE BANK, N.A., individually and as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Administrative Agent, Issuing Bank and Swingline Lender</w:t>
      </w:r>
    </w:p>
    <w:p>
      <w:pPr>
        <w:spacing w:after="0" w:line="20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Timothy Whitefoot</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0" w:lineRule="exact"/>
        <w:rPr>
          <w:sz w:val="20"/>
          <w:szCs w:val="20"/>
          <w:color w:val="auto"/>
        </w:rPr>
      </w:pPr>
    </w:p>
    <w:p>
      <w:pPr>
        <w:spacing w:after="0" w:line="2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57" w:name="page158"/>
    <w:bookmarkEnd w:id="157"/>
    <w:p>
      <w:pPr>
        <w:ind w:left="4140"/>
        <w:spacing w:after="0"/>
        <w:rPr>
          <w:sz w:val="20"/>
          <w:szCs w:val="20"/>
          <w:color w:val="auto"/>
        </w:rPr>
      </w:pPr>
      <w:r>
        <w:rPr>
          <w:rFonts w:ascii="Times New Roman" w:cs="Times New Roman" w:eastAsia="Times New Roman" w:hAnsi="Times New Roman"/>
          <w:sz w:val="18"/>
          <w:szCs w:val="18"/>
          <w:color w:val="auto"/>
        </w:rPr>
        <w:t>COMMITMENT SCHEDULE</w:t>
      </w:r>
    </w:p>
    <w:p>
      <w:pPr>
        <w:sectPr>
          <w:pgSz w:w="11900" w:h="16838" w:orient="portrait"/>
          <w:cols w:equalWidth="0" w:num="1">
            <w:col w:w="9779"/>
          </w:cols>
          <w:pgMar w:left="680" w:top="580"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Revolving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-127000</wp:posOffset>
            </wp:positionV>
            <wp:extent cx="6920230" cy="17506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6920230" cy="1750695"/>
                    </a:xfrm>
                    <a:prstGeom prst="rect">
                      <a:avLst/>
                    </a:prstGeom>
                    <a:noFill/>
                  </pic:spPr>
                </pic:pic>
              </a:graphicData>
            </a:graphic>
          </wp:anchor>
        </w:drawing>
      </w:r>
    </w:p>
    <w:p>
      <w:pPr>
        <w:spacing w:after="0" w:line="223" w:lineRule="exact"/>
        <w:rPr>
          <w:sz w:val="20"/>
          <w:szCs w:val="20"/>
          <w:color w:val="auto"/>
        </w:rPr>
      </w:pPr>
    </w:p>
    <w:p>
      <w:pPr>
        <w:jc w:val="center"/>
        <w:ind w:right="2699"/>
        <w:spacing w:after="0"/>
        <w:rPr>
          <w:sz w:val="20"/>
          <w:szCs w:val="20"/>
          <w:color w:val="auto"/>
        </w:rPr>
      </w:pPr>
      <w:r>
        <w:rPr>
          <w:rFonts w:ascii="Times New Roman" w:cs="Times New Roman" w:eastAsia="Times New Roman" w:hAnsi="Times New Roman"/>
          <w:sz w:val="18"/>
          <w:szCs w:val="18"/>
          <w:color w:val="auto"/>
        </w:rPr>
        <w:t>$75,000,000</w:t>
      </w:r>
    </w:p>
    <w:p>
      <w:pPr>
        <w:spacing w:after="0" w:line="200" w:lineRule="exact"/>
        <w:rPr>
          <w:sz w:val="20"/>
          <w:szCs w:val="20"/>
          <w:color w:val="auto"/>
        </w:rPr>
      </w:pPr>
    </w:p>
    <w:p>
      <w:pPr>
        <w:sectPr>
          <w:pgSz w:w="11900" w:h="16838" w:orient="portrait"/>
          <w:cols w:equalWidth="0" w:num="2">
            <w:col w:w="5460" w:space="720"/>
            <w:col w:w="3599"/>
          </w:cols>
          <w:pgMar w:left="680" w:top="5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72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$75,000,000</w:t>
            </w:r>
          </w:p>
        </w:tc>
      </w:tr>
    </w:tbl>
    <w:p>
      <w:pPr>
        <w:spacing w:after="0" w:line="200" w:lineRule="exact"/>
        <w:rPr>
          <w:sz w:val="20"/>
          <w:szCs w:val="20"/>
          <w:color w:val="auto"/>
        </w:rPr>
      </w:pPr>
    </w:p>
    <w:p>
      <w:pPr>
        <w:spacing w:after="0" w:line="21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Commitment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79375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79"/>
          </w:cols>
          <w:pgMar w:left="680" w:top="580" w:right="1440" w:bottom="1440" w:gutter="0" w:footer="0" w:header="0"/>
          <w:type w:val="continuous"/>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0" w:lineRule="exact"/>
        <w:rPr>
          <w:sz w:val="20"/>
          <w:szCs w:val="20"/>
          <w:color w:val="auto"/>
        </w:rPr>
      </w:pPr>
    </w:p>
    <w:p>
      <w:pPr>
        <w:spacing w:after="0" w:line="241"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3" w:lineRule="exact"/>
        <w:rPr>
          <w:sz w:val="20"/>
          <w:szCs w:val="20"/>
          <w:color w:val="auto"/>
        </w:rPr>
      </w:pPr>
    </w:p>
    <w:p>
      <w:pPr>
        <w:jc w:val="both"/>
        <w:ind w:firstLine="972"/>
        <w:spacing w:after="0" w:line="252"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w:t>
      </w:r>
    </w:p>
    <w:p>
      <w:pPr>
        <w:spacing w:after="0" w:line="5" w:lineRule="exact"/>
        <w:rPr>
          <w:sz w:val="20"/>
          <w:szCs w:val="20"/>
          <w:color w:val="auto"/>
        </w:rPr>
      </w:pPr>
    </w:p>
    <w:p>
      <w:pPr>
        <w:ind w:firstLine="8"/>
        <w:spacing w:after="0" w:line="260" w:lineRule="auto"/>
        <w:tabs>
          <w:tab w:leader="none" w:pos="217"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81" w:lineRule="exact"/>
        <w:rPr>
          <w:sz w:val="20"/>
          <w:szCs w:val="20"/>
          <w:color w:val="auto"/>
        </w:rPr>
      </w:pPr>
    </w:p>
    <w:p>
      <w:pPr>
        <w:ind w:left="460" w:hanging="452"/>
        <w:spacing w:after="0"/>
        <w:tabs>
          <w:tab w:leader="none" w:pos="4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2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-264795</wp:posOffset>
            </wp:positionV>
            <wp:extent cx="32061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1367790</wp:posOffset>
            </wp:positionH>
            <wp:positionV relativeFrom="paragraph">
              <wp:posOffset>17145</wp:posOffset>
            </wp:positionV>
            <wp:extent cx="32061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460" w:hanging="452"/>
        <w:spacing w:after="0"/>
        <w:tabs>
          <w:tab w:leader="none" w:pos="4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w:t>
      </w:r>
    </w:p>
    <w:p>
      <w:pPr>
        <w:spacing w:after="0" w:line="2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JPMorgan Chase Bank, N.A.,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-264795</wp:posOffset>
            </wp:positionV>
            <wp:extent cx="32061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Credit Agreement:</w:t>
            </w:r>
          </w:p>
        </w:tc>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Amended and Restated Credit Agreement dated as of May 19, 2021 among Friedman Industries, Incorporated and each</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Person party thereto from time to time as a borrower, the other Loan Parties party thereto, the Lenders parties thereto,</w:t>
            </w:r>
          </w:p>
        </w:tc>
      </w:tr>
      <w:tr>
        <w:trPr>
          <w:trHeight w:val="234"/>
        </w:trPr>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JPMorgan Chase Bank, N.A., as Administrative Agent, and the other agents parties thereto</w:t>
            </w:r>
          </w:p>
        </w:tc>
      </w:tr>
      <w:tr>
        <w:trPr>
          <w:trHeight w:val="43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Assigned Interest:</w:t>
            </w:r>
          </w:p>
        </w:tc>
        <w:tc>
          <w:tcPr>
            <w:tcW w:w="9260" w:type="dxa"/>
            <w:vAlign w:val="bottom"/>
          </w:tcPr>
          <w:p>
            <w:pPr>
              <w:spacing w:after="0"/>
              <w:rPr>
                <w:sz w:val="24"/>
                <w:szCs w:val="24"/>
                <w:color w:val="auto"/>
              </w:rPr>
            </w:pPr>
          </w:p>
        </w:tc>
      </w:tr>
      <w:tr>
        <w:trPr>
          <w:trHeight w:val="270"/>
        </w:trPr>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40" w:type="dxa"/>
            <w:vAlign w:val="bottom"/>
          </w:tcPr>
          <w:p>
            <w:pPr>
              <w:spacing w:after="0"/>
              <w:rPr>
                <w:sz w:val="23"/>
                <w:szCs w:val="23"/>
                <w:color w:val="auto"/>
              </w:rPr>
            </w:pPr>
          </w:p>
        </w:tc>
        <w:tc>
          <w:tcPr>
            <w:tcW w:w="9260" w:type="dxa"/>
            <w:vAlign w:val="bottom"/>
          </w:tcPr>
          <w:p>
            <w:pPr>
              <w:spacing w:after="0"/>
              <w:rPr>
                <w:sz w:val="23"/>
                <w:szCs w:val="23"/>
                <w:color w:val="auto"/>
              </w:rPr>
            </w:pPr>
          </w:p>
        </w:tc>
      </w:tr>
      <w:tr>
        <w:trPr>
          <w:trHeight w:val="263"/>
        </w:trPr>
        <w:tc>
          <w:tcPr>
            <w:tcW w:w="1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1</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Select as applicable.</w:t>
            </w:r>
          </w:p>
        </w:tc>
        <w:tc>
          <w:tcPr>
            <w:tcW w:w="9260" w:type="dxa"/>
            <w:vAlign w:val="bottom"/>
          </w:tcPr>
          <w:p>
            <w:pPr>
              <w:spacing w:after="0"/>
              <w:rPr>
                <w:sz w:val="22"/>
                <w:szCs w:val="22"/>
                <w:color w:val="auto"/>
              </w:rPr>
            </w:pPr>
          </w:p>
        </w:tc>
      </w:tr>
      <w:tr>
        <w:trPr>
          <w:trHeight w:val="471"/>
        </w:trPr>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60" w:type="dxa"/>
            <w:vAlign w:val="bottom"/>
          </w:tcPr>
          <w:p>
            <w:pPr>
              <w:ind w:left="3100"/>
              <w:spacing w:after="0"/>
              <w:rPr>
                <w:sz w:val="20"/>
                <w:szCs w:val="20"/>
                <w:color w:val="auto"/>
              </w:rPr>
            </w:pPr>
            <w:r>
              <w:rPr>
                <w:rFonts w:ascii="Times New Roman" w:cs="Times New Roman" w:eastAsia="Times New Roman" w:hAnsi="Times New Roman"/>
                <w:sz w:val="22"/>
                <w:szCs w:val="22"/>
                <w:color w:val="auto"/>
              </w:rPr>
              <w:t>EXHIBIT A</w:t>
            </w:r>
          </w:p>
        </w:tc>
      </w:tr>
      <w:tr>
        <w:trPr>
          <w:trHeight w:val="103"/>
        </w:trPr>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92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80" w:right="339" w:bottom="1440" w:gutter="0" w:footer="0" w:header="0"/>
        </w:sectPr>
      </w:pPr>
    </w:p>
    <w:bookmarkStart w:id="159" w:name="page160"/>
    <w:bookmarkEnd w:id="1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740"/>
              <w:spacing w:after="0" w:line="214" w:lineRule="exact"/>
              <w:rPr>
                <w:sz w:val="20"/>
                <w:szCs w:val="20"/>
                <w:color w:val="auto"/>
              </w:rPr>
            </w:pPr>
            <w:r>
              <w:rPr>
                <w:rFonts w:ascii="Times New Roman" w:cs="Times New Roman" w:eastAsia="Times New Roman" w:hAnsi="Times New Roman"/>
                <w:sz w:val="15"/>
                <w:szCs w:val="15"/>
                <w:color w:val="auto"/>
              </w:rPr>
              <w:t>Facility Assigned</w:t>
            </w:r>
            <w:r>
              <w:rPr>
                <w:rFonts w:ascii="Times New Roman" w:cs="Times New Roman" w:eastAsia="Times New Roman" w:hAnsi="Times New Roman"/>
                <w:sz w:val="24"/>
                <w:szCs w:val="24"/>
                <w:color w:val="auto"/>
                <w:vertAlign w:val="superscript"/>
              </w:rPr>
              <w:t>2</w:t>
            </w:r>
          </w:p>
        </w:tc>
        <w:tc>
          <w:tcPr>
            <w:tcW w:w="380" w:type="dxa"/>
            <w:vAlign w:val="bottom"/>
            <w:tcBorders>
              <w:top w:val="single" w:sz="8" w:color="auto"/>
            </w:tcBorders>
          </w:tcPr>
          <w:p>
            <w:pPr>
              <w:spacing w:after="0"/>
              <w:rPr>
                <w:sz w:val="18"/>
                <w:szCs w:val="18"/>
                <w:color w:val="auto"/>
              </w:rPr>
            </w:pPr>
          </w:p>
        </w:tc>
        <w:tc>
          <w:tcPr>
            <w:tcW w:w="2500" w:type="dxa"/>
            <w:vAlign w:val="bottom"/>
            <w:tcBorders>
              <w:top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Aggregate Amount of</w:t>
            </w:r>
          </w:p>
        </w:tc>
        <w:tc>
          <w:tcPr>
            <w:tcW w:w="440" w:type="dxa"/>
            <w:vAlign w:val="bottom"/>
            <w:tcBorders>
              <w:top w:val="single" w:sz="8" w:color="auto"/>
            </w:tcBorders>
          </w:tcPr>
          <w:p>
            <w:pPr>
              <w:spacing w:after="0"/>
              <w:rPr>
                <w:sz w:val="18"/>
                <w:szCs w:val="18"/>
                <w:color w:val="auto"/>
              </w:rPr>
            </w:pPr>
          </w:p>
        </w:tc>
        <w:tc>
          <w:tcPr>
            <w:tcW w:w="2380" w:type="dxa"/>
            <w:vAlign w:val="bottom"/>
            <w:tcBorders>
              <w:top w:val="single" w:sz="8" w:color="auto"/>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Amount of</w:t>
            </w:r>
          </w:p>
        </w:tc>
        <w:tc>
          <w:tcPr>
            <w:tcW w:w="2660" w:type="dxa"/>
            <w:vAlign w:val="bottom"/>
            <w:tcBorders>
              <w:top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Percentage Assigned of</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500" w:type="dxa"/>
            <w:vAlign w:val="bottom"/>
            <w:tcBorders>
              <w:right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rPr>
              <w:t>Commitment/Loans for</w:t>
            </w:r>
          </w:p>
        </w:tc>
        <w:tc>
          <w:tcPr>
            <w:tcW w:w="440" w:type="dxa"/>
            <w:vAlign w:val="bottom"/>
          </w:tcPr>
          <w:p>
            <w:pPr>
              <w:spacing w:after="0"/>
              <w:rPr>
                <w:sz w:val="18"/>
                <w:szCs w:val="18"/>
                <w:color w:val="auto"/>
              </w:rPr>
            </w:pPr>
          </w:p>
        </w:tc>
        <w:tc>
          <w:tcPr>
            <w:tcW w:w="2380" w:type="dxa"/>
            <w:vAlign w:val="bottom"/>
            <w:tcBorders>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Commitment/Loans</w:t>
            </w:r>
          </w:p>
        </w:tc>
        <w:tc>
          <w:tcPr>
            <w:tcW w:w="2660" w:type="dxa"/>
            <w:vAlign w:val="bottom"/>
            <w:tcBorders>
              <w:right w:val="single" w:sz="8" w:color="auto"/>
            </w:tcBorders>
          </w:tcPr>
          <w:p>
            <w:pPr>
              <w:jc w:val="right"/>
              <w:ind w:right="492"/>
              <w:spacing w:after="0" w:line="216" w:lineRule="exact"/>
              <w:rPr>
                <w:sz w:val="20"/>
                <w:szCs w:val="20"/>
                <w:color w:val="auto"/>
              </w:rPr>
            </w:pPr>
            <w:r>
              <w:rPr>
                <w:rFonts w:ascii="Times New Roman" w:cs="Times New Roman" w:eastAsia="Times New Roman" w:hAnsi="Times New Roman"/>
                <w:sz w:val="16"/>
                <w:szCs w:val="16"/>
                <w:color w:val="auto"/>
              </w:rPr>
              <w:t>Commitment/Loans</w:t>
            </w:r>
            <w:r>
              <w:rPr>
                <w:rFonts w:ascii="Times New Roman" w:cs="Times New Roman" w:eastAsia="Times New Roman" w:hAnsi="Times New Roman"/>
                <w:sz w:val="25"/>
                <w:szCs w:val="25"/>
                <w:color w:val="auto"/>
                <w:vertAlign w:val="superscript"/>
              </w:rPr>
              <w:t>3</w:t>
            </w:r>
          </w:p>
        </w:tc>
      </w:tr>
      <w:tr>
        <w:trPr>
          <w:trHeight w:val="251"/>
        </w:trPr>
        <w:tc>
          <w:tcPr>
            <w:tcW w:w="2880" w:type="dxa"/>
            <w:vAlign w:val="bottom"/>
            <w:tcBorders>
              <w:left w:val="single" w:sz="8" w:color="auto"/>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all Lenders</w:t>
            </w:r>
          </w:p>
        </w:tc>
        <w:tc>
          <w:tcPr>
            <w:tcW w:w="44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rPr>
              <w:t>Assigned</w:t>
            </w:r>
          </w:p>
        </w:tc>
        <w:tc>
          <w:tcPr>
            <w:tcW w:w="2660" w:type="dxa"/>
            <w:vAlign w:val="bottom"/>
            <w:tcBorders>
              <w:bottom w:val="single" w:sz="8" w:color="auto"/>
              <w:right w:val="single" w:sz="8" w:color="auto"/>
            </w:tcBorders>
          </w:tcPr>
          <w:p>
            <w:pPr>
              <w:spacing w:after="0"/>
              <w:rPr>
                <w:sz w:val="21"/>
                <w:szCs w:val="21"/>
                <w:color w:val="auto"/>
              </w:rPr>
            </w:pPr>
          </w:p>
        </w:tc>
      </w:tr>
      <w:tr>
        <w:trPr>
          <w:trHeight w:val="193"/>
        </w:trPr>
        <w:tc>
          <w:tcPr>
            <w:tcW w:w="28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tcBorders>
          </w:tcPr>
          <w:p>
            <w:pPr>
              <w:jc w:val="right"/>
              <w:ind w:right="9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right w:val="single" w:sz="8" w:color="auto"/>
            </w:tcBorders>
          </w:tcPr>
          <w:p>
            <w:pPr>
              <w:spacing w:after="0"/>
              <w:rPr>
                <w:sz w:val="16"/>
                <w:szCs w:val="16"/>
                <w:color w:val="auto"/>
              </w:rPr>
            </w:pPr>
          </w:p>
        </w:tc>
        <w:tc>
          <w:tcPr>
            <w:tcW w:w="440" w:type="dxa"/>
            <w:vAlign w:val="bottom"/>
            <w:tcBorders>
              <w:bottom w:val="single" w:sz="8" w:color="auto"/>
            </w:tcBorders>
          </w:tcPr>
          <w:p>
            <w:pPr>
              <w:jc w:val="right"/>
              <w:ind w:right="1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jc w:val="right"/>
              <w:ind w:right="192"/>
              <w:spacing w:after="0" w:line="193" w:lineRule="exact"/>
              <w:rPr>
                <w:sz w:val="20"/>
                <w:szCs w:val="20"/>
                <w:color w:val="auto"/>
              </w:rPr>
            </w:pPr>
            <w:r>
              <w:rPr>
                <w:rFonts w:ascii="Times New Roman" w:cs="Times New Roman" w:eastAsia="Times New Roman" w:hAnsi="Times New Roman"/>
                <w:sz w:val="18"/>
                <w:szCs w:val="18"/>
                <w:color w:val="auto"/>
              </w:rPr>
              <w:t>%</w:t>
            </w:r>
          </w:p>
        </w:tc>
      </w:tr>
      <w:tr>
        <w:trPr>
          <w:trHeight w:val="210"/>
        </w:trPr>
        <w:tc>
          <w:tcPr>
            <w:tcW w:w="28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88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auto"/>
              <w:right w:val="single" w:sz="8" w:color="auto"/>
            </w:tcBorders>
          </w:tcPr>
          <w:p>
            <w:pPr>
              <w:spacing w:after="0"/>
              <w:rPr>
                <w:sz w:val="18"/>
                <w:szCs w:val="18"/>
                <w:color w:val="auto"/>
              </w:rPr>
            </w:pPr>
          </w:p>
        </w:tc>
        <w:tc>
          <w:tcPr>
            <w:tcW w:w="2660" w:type="dxa"/>
            <w:vAlign w:val="bottom"/>
            <w:tcBorders>
              <w:bottom w:val="single" w:sz="8" w:color="auto"/>
              <w:right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_____________ ___, 20___ [TO BE INSERTED BY ADMINISTRATIVE AGENT AND WHICH SHALL BE THE EFFECTIVE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RECORDATION OF TRANSFER IN THE REGISTER THEREFOR.]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12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80" w:firstLine="8"/>
        <w:spacing w:after="0" w:line="196" w:lineRule="auto"/>
        <w:tabs>
          <w:tab w:leader="none" w:pos="120" w:val="left"/>
        </w:tabs>
        <w:numPr>
          <w:ilvl w:val="0"/>
          <w:numId w:val="188"/>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 xml:space="preserve">Fill in the appropriate terminology for the types of facilities under the Credit Agreement that are being assigned under this Assignment (e.g.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Commitment,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etc.)</w:t>
      </w:r>
    </w:p>
    <w:p>
      <w:pPr>
        <w:spacing w:after="0" w:line="1" w:lineRule="exact"/>
        <w:rPr>
          <w:rFonts w:ascii="Times New Roman" w:cs="Times New Roman" w:eastAsia="Times New Roman" w:hAnsi="Times New Roman"/>
          <w:sz w:val="30"/>
          <w:szCs w:val="30"/>
          <w:i w:val="1"/>
          <w:iCs w:val="1"/>
          <w:color w:val="auto"/>
          <w:vertAlign w:val="superscript"/>
        </w:rPr>
      </w:pPr>
    </w:p>
    <w:p>
      <w:pPr>
        <w:spacing w:after="0"/>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29"/>
          <w:szCs w:val="29"/>
          <w:i w:val="1"/>
          <w:iCs w:val="1"/>
          <w:color w:val="auto"/>
          <w:vertAlign w:val="superscript"/>
        </w:rPr>
        <w:t>3</w:t>
      </w:r>
      <w:r>
        <w:rPr>
          <w:rFonts w:ascii="Times New Roman" w:cs="Times New Roman" w:eastAsia="Times New Roman" w:hAnsi="Times New Roman"/>
          <w:sz w:val="18"/>
          <w:szCs w:val="18"/>
          <w:i w:val="1"/>
          <w:iCs w:val="1"/>
          <w:color w:val="auto"/>
        </w:rPr>
        <w:t xml:space="preserve"> Set forth, to at least 9 decimals, as a percentage of the Commitment/Loans of all Lenders thereunder.</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Accepted: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Issuing Bank and Swingline Lender]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29"/>
          <w:szCs w:val="29"/>
          <w:color w:val="auto"/>
          <w:vertAlign w:val="superscript"/>
        </w:rPr>
        <w:t>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RELEVANT PARTY]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12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8"/>
        <w:spacing w:after="0" w:line="196" w:lineRule="auto"/>
        <w:tabs>
          <w:tab w:leader="none" w:pos="120" w:val="left"/>
        </w:tabs>
        <w:numPr>
          <w:ilvl w:val="0"/>
          <w:numId w:val="189"/>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To be added only if the consent of the Administrative Agent, Issuing Bank and/or Swingline Lender, as applicable, is required by the terms of the Credit Agreement.</w:t>
      </w:r>
    </w:p>
    <w:p>
      <w:pPr>
        <w:spacing w:after="0" w:line="1" w:lineRule="exact"/>
        <w:rPr>
          <w:rFonts w:ascii="Times New Roman" w:cs="Times New Roman" w:eastAsia="Times New Roman" w:hAnsi="Times New Roman"/>
          <w:sz w:val="30"/>
          <w:szCs w:val="30"/>
          <w:i w:val="1"/>
          <w:iCs w:val="1"/>
          <w:color w:val="auto"/>
          <w:vertAlign w:val="superscript"/>
        </w:rPr>
      </w:pPr>
    </w:p>
    <w:p>
      <w:pPr>
        <w:ind w:right="460"/>
        <w:spacing w:after="0" w:line="191" w:lineRule="auto"/>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29"/>
          <w:szCs w:val="29"/>
          <w:i w:val="1"/>
          <w:iCs w:val="1"/>
          <w:color w:val="auto"/>
          <w:vertAlign w:val="superscript"/>
        </w:rPr>
        <w:t>5</w:t>
      </w:r>
      <w:r>
        <w:rPr>
          <w:rFonts w:ascii="Times New Roman" w:cs="Times New Roman" w:eastAsia="Times New Roman" w:hAnsi="Times New Roman"/>
          <w:sz w:val="18"/>
          <w:szCs w:val="18"/>
          <w:i w:val="1"/>
          <w:iCs w:val="1"/>
          <w:color w:val="auto"/>
        </w:rPr>
        <w:t xml:space="preserve"> To be added only if the consent of the Borrowers and/or other parties (e.g. Swingline Lender, Issuing Bank) is required by the terms of the Credit Agreement.</w:t>
      </w:r>
    </w:p>
    <w:p>
      <w:pPr>
        <w:spacing w:after="0" w:line="1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80" w:right="57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color w:val="auto"/>
        </w:rPr>
        <w:t>ANNEX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ind w:left="1480" w:hanging="176"/>
        <w:spacing w:after="0"/>
        <w:tabs>
          <w:tab w:leader="none" w:pos="14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of its Subsidiaries or Affiliates or any other Person obligated in respect of any Loan Document, (iv) any requirements under applicable law for the Assignee to become a lender under the Credit Agreement or to charge interest at the rate set forth therein from time to time, or (v) the performance or observance by any Borrower, any of its Subsidiaries or Affiliates or any other Person of any of their respective obligations under any Loan Document.</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this type, (v)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the Assignor or any other Lender or any of their respective Related Parties,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the Assignor or any other Lender or any of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95" w:lineRule="exact"/>
        <w:rPr>
          <w:sz w:val="20"/>
          <w:szCs w:val="20"/>
          <w:color w:val="auto"/>
        </w:rPr>
      </w:pPr>
    </w:p>
    <w:p>
      <w:pPr>
        <w:jc w:val="both"/>
        <w:ind w:firstLine="1304"/>
        <w:spacing w:after="0" w:line="266" w:lineRule="auto"/>
        <w:tabs>
          <w:tab w:leader="none" w:pos="148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8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BORROWING BASE CERTIFICATE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4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7"/>
              </w:rPr>
              <w:t>EXHIBIT C</w:t>
            </w:r>
          </w:p>
        </w:tc>
      </w:tr>
      <w:tr>
        <w:trPr>
          <w:trHeight w:val="648"/>
        </w:trPr>
        <w:tc>
          <w:tcPr>
            <w:tcW w:w="460" w:type="dxa"/>
            <w:vAlign w:val="bottom"/>
          </w:tcPr>
          <w:p>
            <w:pPr>
              <w:spacing w:after="0"/>
              <w:rPr>
                <w:sz w:val="24"/>
                <w:szCs w:val="24"/>
                <w:color w:val="auto"/>
              </w:rPr>
            </w:pPr>
          </w:p>
        </w:tc>
        <w:tc>
          <w:tcPr>
            <w:tcW w:w="706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COMPLIANCE CERTIFICATE</w:t>
            </w:r>
          </w:p>
        </w:tc>
        <w:tc>
          <w:tcPr>
            <w:tcW w:w="3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63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Lenders parties to the</w:t>
            </w:r>
          </w:p>
        </w:tc>
        <w:tc>
          <w:tcPr>
            <w:tcW w:w="3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Agreement Described Below</w:t>
            </w:r>
          </w:p>
        </w:tc>
        <w:tc>
          <w:tcPr>
            <w:tcW w:w="3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1"/>
        </w:trPr>
        <w:tc>
          <w:tcPr>
            <w:tcW w:w="460" w:type="dxa"/>
            <w:vAlign w:val="bottom"/>
          </w:tcPr>
          <w:p>
            <w:pPr>
              <w:spacing w:after="0"/>
              <w:rPr>
                <w:sz w:val="24"/>
                <w:szCs w:val="24"/>
                <w:color w:val="auto"/>
              </w:rPr>
            </w:pPr>
          </w:p>
        </w:tc>
        <w:tc>
          <w:tcPr>
            <w:tcW w:w="7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This Compliance Certificate is furnished pursuant to that certain Credit Agreement dated as of</w:t>
            </w:r>
          </w:p>
        </w:tc>
        <w:tc>
          <w:tcPr>
            <w:tcW w:w="380" w:type="dxa"/>
            <w:vAlign w:val="bottom"/>
            <w:tcBorders>
              <w:bottom w:val="single" w:sz="8" w:color="auto"/>
            </w:tcBorders>
          </w:tcPr>
          <w:p>
            <w:pPr>
              <w:spacing w:after="0"/>
              <w:rPr>
                <w:sz w:val="24"/>
                <w:szCs w:val="2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w w:val="99"/>
              </w:rPr>
              <w:t>, (as amended, modified, renewed or extended</w:t>
            </w:r>
          </w:p>
        </w:tc>
      </w:tr>
    </w:tbl>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“Agreement”) among Friedman Industries, Incorporated and each other Person party thereto from time to time as a borrower (collectively, the “Borrowers”), the other Loan Parties, the Lenders party thereto and JPMorgan Chase Bank, N.A., as Administrative Agent for the Lenders. Unless otherwise defined herein, capitalized terms used in this Compliance Certificate have the meanings ascribed thereto in the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CERTIFIES, ON ITS BEHALF AND ON BEHALF OF THE BORROWERS, THAT:</w:t>
      </w:r>
    </w:p>
    <w:p>
      <w:pPr>
        <w:spacing w:after="0" w:line="225" w:lineRule="exact"/>
        <w:rPr>
          <w:sz w:val="20"/>
          <w:szCs w:val="20"/>
          <w:color w:val="auto"/>
        </w:rPr>
      </w:pPr>
    </w:p>
    <w:p>
      <w:pPr>
        <w:ind w:left="660"/>
        <w:spacing w:after="0"/>
        <w:tabs>
          <w:tab w:leader="none" w:pos="1180" w:val="left"/>
          <w:tab w:leader="none" w:pos="41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I am the duly elected</w:t>
      </w:r>
      <w:r>
        <w:rPr>
          <w:sz w:val="20"/>
          <w:szCs w:val="20"/>
          <w:color w:val="auto"/>
        </w:rPr>
        <w:tab/>
      </w:r>
      <w:r>
        <w:rPr>
          <w:rFonts w:ascii="Times New Roman" w:cs="Times New Roman" w:eastAsia="Times New Roman" w:hAnsi="Times New Roman"/>
          <w:sz w:val="18"/>
          <w:szCs w:val="18"/>
          <w:color w:val="auto"/>
        </w:rPr>
        <w:t>of the Borrower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-7620</wp:posOffset>
            </wp:positionV>
            <wp:extent cx="8566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05" w:lineRule="exact"/>
        <w:rPr>
          <w:sz w:val="20"/>
          <w:szCs w:val="20"/>
          <w:color w:val="auto"/>
        </w:rPr>
      </w:pPr>
    </w:p>
    <w:p>
      <w:pPr>
        <w:jc w:val="both"/>
        <w:ind w:firstLine="656"/>
        <w:spacing w:after="0" w:line="220" w:lineRule="exact"/>
        <w:tabs>
          <w:tab w:leader="none" w:pos="1259"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terms of the Agreement and I have made, or have caused to be made under my supervision, a detailed review of the transactions and conditions of the Company and its Subsidiaries during the accounting period covered by the attached financial statements [</w:t>
      </w:r>
      <w:r>
        <w:rPr>
          <w:rFonts w:ascii="Times New Roman" w:cs="Times New Roman" w:eastAsia="Times New Roman" w:hAnsi="Times New Roman"/>
          <w:sz w:val="18"/>
          <w:szCs w:val="18"/>
          <w:b w:val="1"/>
          <w:bCs w:val="1"/>
          <w:color w:val="auto"/>
        </w:rPr>
        <w:t>for quarterly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 monthly financial statements add: </w:t>
      </w:r>
      <w:r>
        <w:rPr>
          <w:rFonts w:ascii="Times New Roman" w:cs="Times New Roman" w:eastAsia="Times New Roman" w:hAnsi="Times New Roman"/>
          <w:sz w:val="18"/>
          <w:szCs w:val="18"/>
          <w:color w:val="auto"/>
        </w:rPr>
        <w:t>and such financial statements present fairly in all material respects the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Borrowers and their consolidated Subsidiaries on a consolidated basis in accordance with GAAP consis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tently applied, subject to normal year-end audit adjustments and the absence of footnotes];</w:t>
      </w:r>
    </w:p>
    <w:p>
      <w:pPr>
        <w:spacing w:after="0" w:line="200" w:lineRule="exact"/>
        <w:rPr>
          <w:rFonts w:ascii="Times New Roman" w:cs="Times New Roman" w:eastAsia="Times New Roman" w:hAnsi="Times New Roman"/>
          <w:sz w:val="18"/>
          <w:szCs w:val="18"/>
          <w:color w:val="auto"/>
        </w:rPr>
      </w:pPr>
    </w:p>
    <w:p>
      <w:pPr>
        <w:jc w:val="both"/>
        <w:ind w:firstLine="656"/>
        <w:spacing w:after="0" w:line="261" w:lineRule="auto"/>
        <w:tabs>
          <w:tab w:leader="none" w:pos="1253"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the date of the audited financial statements referred to in Section 3.04 of the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2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that no Loan Party has changed (i) its name, (ii) its chief executive office, (iii) principal place of business, (iv) the type of entity it is or (v) its state of incorporation or organization without having given the Administrative Agent the notice required by Section 4.15 of the Security Agreement; and</w:t>
      </w:r>
    </w:p>
    <w:p>
      <w:pPr>
        <w:spacing w:after="0" w:line="175" w:lineRule="exact"/>
        <w:rPr>
          <w:rFonts w:ascii="Times New Roman" w:cs="Times New Roman" w:eastAsia="Times New Roman" w:hAnsi="Times New Roman"/>
          <w:sz w:val="18"/>
          <w:szCs w:val="18"/>
          <w:color w:val="auto"/>
        </w:rPr>
      </w:pPr>
    </w:p>
    <w:p>
      <w:pPr>
        <w:ind w:right="20" w:firstLine="656"/>
        <w:spacing w:after="0" w:line="287" w:lineRule="auto"/>
        <w:tabs>
          <w:tab w:leader="none" w:pos="122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sets forth financial data and computations evidencing the Borrowers’ compliance with certain covenants of the Agreement, all of which data and computations are true, complete and correct</w:t>
      </w:r>
      <w:r>
        <w:rPr>
          <w:rFonts w:ascii="Times New Roman" w:cs="Times New Roman" w:eastAsia="Times New Roman" w:hAnsi="Times New Roman"/>
          <w:sz w:val="29"/>
          <w:szCs w:val="29"/>
          <w:color w:val="auto"/>
          <w:vertAlign w:val="superscript"/>
        </w:rPr>
        <w:t>29</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Described below are the exceptions, if any, to paragraph 3 by listing, in detail, the (i) nature of the condition or event, the period during which it has existed and the action which the Borrowers have taken, are taking, or propose to take with respect to each such condition or event or (i) the change in GAAP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260350</wp:posOffset>
            </wp:positionV>
            <wp:extent cx="68408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406400</wp:posOffset>
            </wp:positionV>
            <wp:extent cx="68408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551815</wp:posOffset>
            </wp:positionV>
            <wp:extent cx="68408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certifications, together with the computations set forth in Schedule I and Schedule II hereto and the financial statements delivered</w:t>
      </w:r>
    </w:p>
    <w:p>
      <w:pPr>
        <w:spacing w:after="0" w:line="27" w:lineRule="exact"/>
        <w:rPr>
          <w:sz w:val="20"/>
          <w:szCs w:val="20"/>
          <w:color w:val="auto"/>
        </w:rPr>
      </w:pPr>
    </w:p>
    <w:p>
      <w:pPr>
        <w:spacing w:after="0"/>
        <w:tabs>
          <w:tab w:leader="none" w:pos="5080" w:val="left"/>
          <w:tab w:leader="none" w:pos="6960" w:val="left"/>
          <w:tab w:leader="none" w:pos="7320" w:val="left"/>
        </w:tabs>
        <w:rPr>
          <w:sz w:val="20"/>
          <w:szCs w:val="20"/>
          <w:color w:val="auto"/>
        </w:rPr>
      </w:pPr>
      <w:r>
        <w:rPr>
          <w:rFonts w:ascii="Times New Roman" w:cs="Times New Roman" w:eastAsia="Times New Roman" w:hAnsi="Times New Roman"/>
          <w:sz w:val="18"/>
          <w:szCs w:val="18"/>
          <w:color w:val="auto"/>
        </w:rPr>
        <w:t>with this Certificate in support hereof, are made and delivered this</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280035</wp:posOffset>
            </wp:positionV>
            <wp:extent cx="27089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-19050</wp:posOffset>
            </wp:positionV>
            <wp:extent cx="16021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1602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8"/>
          <w:szCs w:val="18"/>
          <w:color w:val="auto"/>
        </w:rPr>
        <w: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7089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Borrower Representative</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1431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1431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214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331470</wp:posOffset>
            </wp:positionV>
            <wp:extent cx="7112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00" w:hanging="192"/>
        <w:spacing w:after="0"/>
        <w:tabs>
          <w:tab w:leader="none" w:pos="200" w:val="left"/>
        </w:tabs>
        <w:numPr>
          <w:ilvl w:val="0"/>
          <w:numId w:val="19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Schedule I must include detailed calculation tables for all components of the financial covenant calculations.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color w:val="auto"/>
        </w:rPr>
        <w:t>SCHEDULE I</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Compliance as of _________, ____ with</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Provisions of ____ and ____ of the Agreement</w:t>
      </w: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I must include detailed calculation tables for all components of the financial covenant</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calculations.]</w:t>
      </w:r>
    </w:p>
    <w:p>
      <w:pPr>
        <w:spacing w:after="0" w:line="19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240" w:val="left"/>
          <w:tab w:leader="none" w:pos="2200" w:val="left"/>
          <w:tab w:leader="none" w:pos="3540" w:val="left"/>
          <w:tab w:leader="none" w:pos="4060" w:val="left"/>
          <w:tab w:leader="none" w:pos="5340" w:val="left"/>
          <w:tab w:leader="none" w:pos="5940" w:val="left"/>
          <w:tab w:leader="none" w:pos="6300" w:val="left"/>
          <w:tab w:leader="none" w:pos="6660" w:val="left"/>
          <w:tab w:leader="none" w:pos="7820" w:val="left"/>
          <w:tab w:leader="none" w:pos="8440" w:val="left"/>
          <w:tab w:leader="none" w:pos="9060" w:val="left"/>
          <w:tab w:leader="none" w:pos="9380" w:val="left"/>
          <w:tab w:leader="none" w:pos="10120" w:val="left"/>
          <w:tab w:leader="none" w:pos="10620" w:val="left"/>
        </w:tabs>
        <w:rPr>
          <w:sz w:val="20"/>
          <w:szCs w:val="20"/>
          <w:color w:val="auto"/>
        </w:rPr>
      </w:pPr>
      <w:r>
        <w:rPr>
          <w:rFonts w:ascii="Times New Roman" w:cs="Times New Roman" w:eastAsia="Times New Roman" w:hAnsi="Times New Roman"/>
          <w:sz w:val="18"/>
          <w:szCs w:val="18"/>
          <w:color w:val="auto"/>
        </w:rPr>
        <w:t>THIS</w:t>
        <w:tab/>
        <w:t>JOINDER</w:t>
        <w:tab/>
        <w:t>AGREEMENT</w:t>
        <w:tab/>
        <w:t>(this</w:t>
        <w:tab/>
        <w:t>“Agreement”),</w:t>
        <w:tab/>
        <w:t>dated</w:t>
        <w:tab/>
        <w:t>as</w:t>
        <w:tab/>
        <w:t>of</w:t>
        <w:tab/>
        <w:t>__________,</w:t>
        <w:tab/>
        <w:t>____,</w:t>
        <w:tab/>
        <w:t>20__,</w:t>
        <w:tab/>
        <w:t>is</w:t>
        <w:tab/>
        <w:t>entered</w:t>
        <w:tab/>
        <w:t>into</w:t>
        <w:tab/>
        <w:t>between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 a _________________ (the “New Subsidiary”) and JPMORGAN CHASE BANK, N.A., in its capacity as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administrative agent (the “Administrative Agent”) under that certain Amended and Restated Credit Agreement dated as of May 19, 2021 (as the same may be amended, modified, extended or restated from time to time, the “Credit Agreement”) among Friedman Industries, Incorporated and each other Person party thereto from time to time as a borrower (the “Borrowers”), the other Loan Parties party thereto, the Lenders party thereto and the Administrative Agent for the Lenders. All capitalized terms used herein and not otherwise defined herein shall have the meanings set forth in the Credit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Subsidiary and the Administrative Agent, for the benefit of the Lenders, hereby agree as follows:</w:t>
      </w:r>
    </w:p>
    <w:p>
      <w:pPr>
        <w:spacing w:after="0" w:line="225" w:lineRule="exact"/>
        <w:rPr>
          <w:sz w:val="20"/>
          <w:szCs w:val="20"/>
          <w:color w:val="auto"/>
        </w:rPr>
      </w:pPr>
    </w:p>
    <w:p>
      <w:pPr>
        <w:jc w:val="both"/>
        <w:ind w:firstLine="656"/>
        <w:spacing w:after="0" w:line="252" w:lineRule="auto"/>
        <w:tabs>
          <w:tab w:leader="none" w:pos="134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Subsidiary hereby acknowledges, agrees and confirms that, by its execution of this Agreement, the New Subsidiary will be deemed to be a [Borrower][Loan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Sections 10.10 and 10.13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197" w:lineRule="exact"/>
        <w:rPr>
          <w:rFonts w:ascii="Times New Roman" w:cs="Times New Roman" w:eastAsia="Times New Roman" w:hAnsi="Times New Roman"/>
          <w:sz w:val="18"/>
          <w:szCs w:val="18"/>
          <w:color w:val="auto"/>
        </w:rPr>
      </w:pPr>
    </w:p>
    <w:p>
      <w:pPr>
        <w:ind w:firstLine="656"/>
        <w:spacing w:after="0" w:line="282" w:lineRule="auto"/>
        <w:tabs>
          <w:tab w:leader="none" w:pos="143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61"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New Subsidiary for purposes of Section 9.01 of the Credit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291465</wp:posOffset>
            </wp:positionV>
            <wp:extent cx="28460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437515</wp:posOffset>
            </wp:positionV>
            <wp:extent cx="28460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582930</wp:posOffset>
            </wp:positionV>
            <wp:extent cx="28460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728980</wp:posOffset>
            </wp:positionV>
            <wp:extent cx="28460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6" w:name="page167"/>
    <w:bookmarkEnd w:id="166"/>
    <w:p>
      <w:pPr>
        <w:ind w:right="20" w:firstLine="656"/>
        <w:spacing w:after="0" w:line="282" w:lineRule="auto"/>
        <w:tabs>
          <w:tab w:leader="none" w:pos="1222"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Subsidiary hereby waives acceptance by the Administrative Agent and the Lenders of the guaranty by the New Subsidiary upon the execution of this Agreement by the New Subsidiary.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8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when so executed and delivered shall be an original, but all of which shall constitute one and the same instrument.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1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HEREUNDER SHALL BE GOVERNED BY AND CONSTRUED AND INTERPRETED IN ACCORDANCE WITH THE LAWS OF THE STATE OF NEW YORK.</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[NEW SUBSIDIARY]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JPMORGAN CHASE BANK, N.A., as Administrative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7" w:name="page168"/>
    <w:bookmarkEnd w:id="167"/>
    <w:p>
      <w:pPr>
        <w:ind w:left="10220"/>
        <w:spacing w:after="0"/>
        <w:rPr>
          <w:sz w:val="20"/>
          <w:szCs w:val="20"/>
          <w:color w:val="auto"/>
        </w:rPr>
      </w:pPr>
      <w:r>
        <w:rPr>
          <w:rFonts w:ascii="Times New Roman" w:cs="Times New Roman" w:eastAsia="Times New Roman" w:hAnsi="Times New Roman"/>
          <w:sz w:val="17"/>
          <w:szCs w:val="17"/>
          <w:color w:val="auto"/>
        </w:rPr>
        <w:t>EXHIBIT E-1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May 19,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Friedman Industries, Incorporated and each other Person party thereto from time to time as a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any Borrower within the meaning of Section 871(h)(3) (B) of the Code and (iv) it is not a controlled foreign corporation related to any Borrower as described in Section 881(c)(3)(C) of the Code.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Representative with a certificate of its non-U.S. Person status on IRS Form W-8BEN, IRS Form W-8BEN-E or Form W-8IMY (or successor form), as applicable. By executing this certificate, the undersigned agrees that (1) if the information provided on this certificate changes, the undersigned shall promptly so inform the Borrower Representative and the Administrative Agent, and (2) the undersigned shall have at all times furnished the Borrower Representative and the Administrative Agent with a properly completed and currently effective certificate prior to the first payment to be made to the undersigned, or in either of the two calendar years preceding such payments.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-7620</wp:posOffset>
            </wp:positionV>
            <wp:extent cx="231394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231394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8" w:name="page169"/>
    <w:bookmarkEnd w:id="168"/>
    <w:p>
      <w:pPr>
        <w:ind w:left="10220"/>
        <w:spacing w:after="0"/>
        <w:rPr>
          <w:sz w:val="20"/>
          <w:szCs w:val="20"/>
          <w:color w:val="auto"/>
        </w:rPr>
      </w:pPr>
      <w:r>
        <w:rPr>
          <w:rFonts w:ascii="Times New Roman" w:cs="Times New Roman" w:eastAsia="Times New Roman" w:hAnsi="Times New Roman"/>
          <w:sz w:val="17"/>
          <w:szCs w:val="17"/>
          <w:color w:val="auto"/>
        </w:rPr>
        <w:t>EXHIBIT E-2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May 19,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Friedman Industries, Incorporated and each other Person party thereto from time to time as a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w:t>
      </w:r>
    </w:p>
    <w:p>
      <w:pPr>
        <w:ind w:firstLine="8"/>
        <w:spacing w:after="0" w:line="260" w:lineRule="auto"/>
        <w:tabs>
          <w:tab w:leader="none" w:pos="33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ten percent shareholder of any Borrower within the meaning of Section 871(h)(3)(B) of the Code, and (iv) it is not a controlled foreign corporation related to any Borrower as described in Section 881(c)(3)(C) of the Code.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IRS Form W-8BEN-E or Form W-8IMY (or successor form),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-7620</wp:posOffset>
            </wp:positionV>
            <wp:extent cx="23139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231394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9" w:name="page170"/>
    <w:bookmarkEnd w:id="169"/>
    <w:p>
      <w:pPr>
        <w:ind w:left="10220"/>
        <w:spacing w:after="0"/>
        <w:rPr>
          <w:sz w:val="20"/>
          <w:szCs w:val="20"/>
          <w:color w:val="auto"/>
        </w:rPr>
      </w:pPr>
      <w:r>
        <w:rPr>
          <w:rFonts w:ascii="Times New Roman" w:cs="Times New Roman" w:eastAsia="Times New Roman" w:hAnsi="Times New Roman"/>
          <w:sz w:val="17"/>
          <w:szCs w:val="17"/>
          <w:color w:val="auto"/>
        </w:rPr>
        <w:t>EXHIBIT E-3</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May 19,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Friedman Industries, Incorporated and each other Person party thereto from time to time as a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 withholding statement together with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-7620</wp:posOffset>
            </wp:positionV>
            <wp:extent cx="23139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0" w:name="page171"/>
    <w:bookmarkEnd w:id="170"/>
    <w:p>
      <w:pPr>
        <w:ind w:left="10220"/>
        <w:spacing w:after="0"/>
        <w:rPr>
          <w:sz w:val="20"/>
          <w:szCs w:val="20"/>
          <w:color w:val="auto"/>
        </w:rPr>
      </w:pPr>
      <w:r>
        <w:rPr>
          <w:rFonts w:ascii="Times New Roman" w:cs="Times New Roman" w:eastAsia="Times New Roman" w:hAnsi="Times New Roman"/>
          <w:sz w:val="17"/>
          <w:szCs w:val="17"/>
          <w:color w:val="auto"/>
        </w:rPr>
        <w:t>EXHIBIT E-4</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May 19,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Friedman Industries, Incorporated and each other Person party thereto from time to time as a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Representative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Representative and the Administrative Agent, and</w:t>
      </w:r>
    </w:p>
    <w:p>
      <w:pPr>
        <w:spacing w:after="0" w:line="3" w:lineRule="exact"/>
        <w:rPr>
          <w:sz w:val="20"/>
          <w:szCs w:val="20"/>
          <w:color w:val="auto"/>
        </w:rPr>
      </w:pPr>
    </w:p>
    <w:p>
      <w:pPr>
        <w:ind w:firstLine="8"/>
        <w:spacing w:after="0" w:line="260" w:lineRule="auto"/>
        <w:tabs>
          <w:tab w:leader="none" w:pos="26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shall have at all times furnished the Borrower Representative and the Administrative Agent with a properly completed and currently effective certificate prior to the first payment to be made to the undersigned, or in either of the two calendar years preceding such payments.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-7620</wp:posOffset>
            </wp:positionV>
            <wp:extent cx="23139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231394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E-4</w:t>
      </w:r>
    </w:p>
    <w:p>
      <w:pPr>
        <w:sectPr>
          <w:pgSz w:w="11900" w:h="16838" w:orient="portrait"/>
          <w:cols w:equalWidth="0" w:num="1">
            <w:col w:w="11240"/>
          </w:cols>
          <w:pgMar w:left="320" w:top="580" w:right="339" w:bottom="1440" w:gutter="0" w:footer="0" w:header="0"/>
        </w:sectPr>
      </w:pPr>
    </w:p>
    <w:bookmarkStart w:id="171" w:name="page172"/>
    <w:bookmarkEnd w:id="171"/>
    <w:p>
      <w:pPr>
        <w:ind w:left="1032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SECOND AMENDMENT TO AMENDED AND RESTATED CREDIT AGREEMENT AND FIRST AMENDMENT TO SECURITY AGREEMENT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SECOND AMENDMENT TO AMENDED AND RESTATED CREDIT AGREEMENT AND FIRST AMENDMENT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SECURITY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April 29, 2022, is by and among</w:t>
      </w:r>
      <w:r>
        <w:rPr>
          <w:rFonts w:ascii="Times New Roman" w:cs="Times New Roman" w:eastAsia="Times New Roman" w:hAnsi="Times New Roman"/>
          <w:sz w:val="18"/>
          <w:szCs w:val="18"/>
          <w:b w:val="1"/>
          <w:bCs w:val="1"/>
          <w:color w:val="auto"/>
        </w:rPr>
        <w:t xml:space="preserve"> FRIEDMAN INDUSTRIES, INCORPORATED</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Texas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 national banking association, as a Lender, Issuing Bank and Swingline Lender (as each is defined in the below-referenced Credit Agreement) (in such capacities,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as Administrative Agent (the “</w:t>
      </w:r>
      <w:r>
        <w:rPr>
          <w:rFonts w:ascii="Times New Roman" w:cs="Times New Roman" w:eastAsia="Times New Roman" w:hAnsi="Times New Roman"/>
          <w:sz w:val="18"/>
          <w:szCs w:val="18"/>
          <w:u w:val="single" w:color="auto"/>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Capitalized terms used in this Amendment, to the extent not otherwise defined herein, shall have the same meaning as in the Credit Agreement, as amended hereby.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 the other Loan Parties, the Lender and the Administrative Agent are parties to that certain Amended and Restated Credit Agreement, dated as of May 19, 2021 (as the same has been and may be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 the other Loan Parties and the Administrative Agent are parties to that certain Pledge and Security Agreement, dated as of May 19, 2021 (as the same may be amended or modified from time to time, the “</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that certain Asset Purchase Agreement dated as of April 29, 2022, by and among the Borrower, Plateplus Inc. and the sole stockholder of Plateplus Inc. (the “</w:t>
      </w:r>
      <w:r>
        <w:rPr>
          <w:rFonts w:ascii="Times New Roman" w:cs="Times New Roman" w:eastAsia="Times New Roman" w:hAnsi="Times New Roman"/>
          <w:sz w:val="18"/>
          <w:szCs w:val="18"/>
          <w:u w:val="single" w:color="auto"/>
          <w:color w:val="auto"/>
        </w:rPr>
        <w:t>Plateplus Purchase Agreement</w:t>
      </w:r>
      <w:r>
        <w:rPr>
          <w:rFonts w:ascii="Times New Roman" w:cs="Times New Roman" w:eastAsia="Times New Roman" w:hAnsi="Times New Roman"/>
          <w:sz w:val="18"/>
          <w:szCs w:val="18"/>
          <w:color w:val="auto"/>
        </w:rPr>
        <w:t>”) and the Borrower will purchase certain assets of Plateplus, Inc. and enter into that certain Transition Services Agreement (the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dated as of April 29, 2022, by and between the Borrower and Plateplus, Inc. (collectively, the “</w:t>
      </w:r>
      <w:r>
        <w:rPr>
          <w:rFonts w:ascii="Times New Roman" w:cs="Times New Roman" w:eastAsia="Times New Roman" w:hAnsi="Times New Roman"/>
          <w:sz w:val="18"/>
          <w:szCs w:val="18"/>
          <w:u w:val="single" w:color="auto"/>
          <w:color w:val="auto"/>
        </w:rPr>
        <w:t>Plateplus Acquisition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 and the other Loan Parties have requested that the Lender and Administrative Agent amend certain provisions of the Credit Agreement and the Security Agreement in the manner and on the terms and conditions provided for 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agreements, promises and covenants set forth below, and for other good and valuable consideration, the receipt and sufficiency of which are hereby acknowledged, the parties hereto agree as follows: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Amendments to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Effective Date, the Credit Agreement is hereby amended (a) to delete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stricken text (indicated textually in the same manner as the following examples: </w:t>
      </w:r>
      <w:r>
        <w:rPr>
          <w:rFonts w:ascii="Times New Roman" w:cs="Times New Roman" w:eastAsia="Times New Roman" w:hAnsi="Times New Roman"/>
          <w:sz w:val="18"/>
          <w:szCs w:val="18"/>
          <w:color w:val="auto"/>
          <w:strike w:val="1"/>
        </w:rPr>
        <w:t>stricken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auto"/>
          <w:strike w:val="1"/>
        </w:rPr>
        <w:t>stricken text</w:t>
      </w:r>
      <w:r>
        <w:rPr>
          <w:rFonts w:ascii="Times New Roman" w:cs="Times New Roman" w:eastAsia="Times New Roman" w:hAnsi="Times New Roman"/>
          <w:sz w:val="18"/>
          <w:szCs w:val="18"/>
          <w:color w:val="auto"/>
        </w:rPr>
        <w:t xml:space="preserve">) and (b) to add the double-underlined text (indicated textually in the same manner as the following examples: </w:t>
      </w:r>
      <w:r>
        <w:rPr>
          <w:rFonts w:ascii="Times New Roman" w:cs="Times New Roman" w:eastAsia="Times New Roman" w:hAnsi="Times New Roman"/>
          <w:sz w:val="18"/>
          <w:szCs w:val="18"/>
          <w:u w:val="single" w:color="auto"/>
          <w:color w:val="auto"/>
        </w:rPr>
        <w:t>double-underlined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double-underlined text</w:t>
      </w:r>
      <w:r>
        <w:rPr>
          <w:rFonts w:ascii="Times New Roman" w:cs="Times New Roman" w:eastAsia="Times New Roman" w:hAnsi="Times New Roman"/>
          <w:sz w:val="18"/>
          <w:szCs w:val="18"/>
          <w:color w:val="auto"/>
        </w:rPr>
        <w:t xml:space="preserve">), in each case, as set forth in the marked copy of the Credit Agreement (and to the extent provided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exhibits, schedules and appendices to the Credit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made a part hereof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-308610</wp:posOffset>
            </wp:positionV>
            <wp:extent cx="104584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2" w:name="page173"/>
    <w:bookmarkEnd w:id="172"/>
    <w:p>
      <w:pPr>
        <w:ind w:left="66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8"/>
          <w:szCs w:val="18"/>
          <w:b w:val="1"/>
          <w:bCs w:val="1"/>
          <w:u w:val="single" w:color="auto"/>
          <w:color w:val="auto"/>
        </w:rPr>
        <w:t>Amendments to Security 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720" w:hanging="416"/>
        <w:spacing w:after="0"/>
        <w:tabs>
          <w:tab w:leader="none" w:pos="17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Date, Section 7.1 of the Security Agreement is hereby amended by adding a new clause (c) thereto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 as follows:</w:t>
      </w:r>
    </w:p>
    <w:p>
      <w:pPr>
        <w:spacing w:after="0" w:line="207"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“(c) notwithstanding anything to the contrary set forth in Section 7.1(b) with respect to the direction of Account Debtor payments or set forth in Section 7.2 with respect to the establishment of Deposit Accounts, the proceeds of sales of inventory acquired in connection with the Plateplus Acquisition and payments in respect of Receivables thereof shall be permitted, for a period of 120 days following the Second Amendment Effective Date, to be received in certain accounts with MUFG Bank, New York Branch held by Plateplus, Inc. (the “</w:t>
      </w:r>
      <w:r>
        <w:rPr>
          <w:rFonts w:ascii="Times New Roman" w:cs="Times New Roman" w:eastAsia="Times New Roman" w:hAnsi="Times New Roman"/>
          <w:sz w:val="18"/>
          <w:szCs w:val="18"/>
          <w:u w:val="single" w:color="auto"/>
          <w:color w:val="auto"/>
        </w:rPr>
        <w:t>MUFG Accounts</w:t>
      </w:r>
      <w:r>
        <w:rPr>
          <w:rFonts w:ascii="Times New Roman" w:cs="Times New Roman" w:eastAsia="Times New Roman" w:hAnsi="Times New Roman"/>
          <w:sz w:val="18"/>
          <w:szCs w:val="18"/>
          <w:color w:val="auto"/>
        </w:rPr>
        <w:t>”), so long as, and solely to the extent that, the following conditions are strictly complied with at all times during such 120 day period: (1) each Grantor whose payments will be received in the MUFG Accounts shall have entered on or prior to the Second Amendment Effective Date, and maintain at all times in full force and effect, an agreement with Plateplus, Inc. requiring Plateplus, Inc.</w:t>
      </w:r>
    </w:p>
    <w:p>
      <w:pPr>
        <w:spacing w:after="0" w:line="3" w:lineRule="exact"/>
        <w:rPr>
          <w:sz w:val="20"/>
          <w:szCs w:val="20"/>
          <w:color w:val="auto"/>
        </w:rPr>
      </w:pPr>
    </w:p>
    <w:p>
      <w:pPr>
        <w:jc w:val="both"/>
        <w:ind w:left="1300" w:firstLine="4"/>
        <w:spacing w:after="0" w:line="253" w:lineRule="auto"/>
        <w:tabs>
          <w:tab w:leader="none" w:pos="1556"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all funds collected on accounts receivable owned by such Grantor in trust on behalf of such Grantor and (y) to wire, on a daily basis, all such funds on deposit in the MUFG Accounts to the Collection Account and (2) the Grantors shall take all commercially reasonable measures to wind down all activity related to the MUFG Accounts as soon as practicable after the Second Amendment Effective Date and to collect such funds directly in the Collection Account no later than the end of such 120 day period.”</w:t>
      </w:r>
    </w:p>
    <w:p>
      <w:pPr>
        <w:spacing w:after="0" w:line="189" w:lineRule="exact"/>
        <w:rPr>
          <w:sz w:val="20"/>
          <w:szCs w:val="20"/>
          <w:color w:val="auto"/>
        </w:rPr>
      </w:pPr>
    </w:p>
    <w:p>
      <w:pPr>
        <w:ind w:left="1740" w:hanging="436"/>
        <w:spacing w:after="0"/>
        <w:tabs>
          <w:tab w:leader="none" w:pos="17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Date, Section 7.3 of the Security Agreement is hereby amended and restated in its entirety to read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Application of Proceeds; Deficiency</w:t>
      </w:r>
      <w:r>
        <w:rPr>
          <w:rFonts w:ascii="Times New Roman" w:cs="Times New Roman" w:eastAsia="Times New Roman" w:hAnsi="Times New Roman"/>
          <w:sz w:val="18"/>
          <w:szCs w:val="18"/>
          <w:color w:val="auto"/>
        </w:rPr>
        <w:t xml:space="preserve">. All amounts deposited in the Collection Account shall be deemed received by the Administrative Agent in accordance with Section 2.18 of the Credit Agreement and shall, after having been credited to the Collection Account, be applied (and allocated) by Administrative Agent in accordance with Section 2.10(b) of the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Default has occurred and is continuing, and Availability is not less than (a) for the ninety (90) day period beginning on the Second Amendment Effective Date, the greater of (i) 8.3% of the Aggregate Revolving Commitment or (ii) $12,500,000, and (b) thereafter, the greater of (i) 15% of the Aggregate Revolving Commitment or (ii) $22,500,000, collections which are received into the Collection Account shall be deposited into the Borrower’s Funding Account rather than being used to reduce amounts owing under the Credit Agreement. All proceeds of the Collateral shall be applied in the order set forth in Section 2.18 of the Credit Agreement unless a court of competent jurisdiction shall otherwise direct. The balance, if any, after all of the Secured Obligations have been satisfied, shall be deposited by the Administrative Agent into such Borrowers’ general operating account with the Administrative Agent. The Grantors shall remain liable, jointly and severally, for any deficiency if the proceeds of any sale or disposition of the Collateral are insufficient to pay all Secured Obligations, including any attorneys’ fees and other expenses incurred by Administrative Agent or any other Secured Party to collect such deficiency.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73" w:name="page174"/>
    <w:bookmarkEnd w:id="173"/>
    <w:p>
      <w:pPr>
        <w:ind w:firstLine="1304"/>
        <w:spacing w:after="0" w:line="282" w:lineRule="auto"/>
        <w:tabs>
          <w:tab w:leader="none" w:pos="171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Effective as of the Effective Date, the Exhibits to the Security Agreement are hereby deleted and replaced with the Exhibits to the Security Agreement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attached hereto.</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 Nothing contained in this Amendment shall be construed as a waiver by the Administrative Agent of any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provision of the Credit Agreement, the other Loan Documents, this Amendment, or of any other contract or instrument between any Loan Party and the Administrative Agent, and the failure of the Administrative Agent at any time or times hereafter to require strict performance by any Loan Party of any provision thereof shall not waive, affect or diminish any rights of the Administrative Agent to thereafter demand strict compliance therewith. The Administrative Agent hereby reserves all rights granted under the Credit Agreement, the other Loan Documents, this Amendment and any other contract or instrument between any Loan Party and the Administrative Agent.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induce the Administrative Agent to enter into this Amendment, each Loan Party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warrants that:</w:t>
      </w:r>
    </w:p>
    <w:p>
      <w:pPr>
        <w:spacing w:after="0" w:line="159" w:lineRule="exact"/>
        <w:rPr>
          <w:sz w:val="20"/>
          <w:szCs w:val="20"/>
          <w:color w:val="auto"/>
        </w:rPr>
      </w:pPr>
    </w:p>
    <w:p>
      <w:pPr>
        <w:ind w:left="1720" w:hanging="416"/>
        <w:spacing w:after="0"/>
        <w:tabs>
          <w:tab w:leader="none" w:pos="17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After giving effect to this Amendment, no Default or Event of Default shall have occurred and be continuing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w:t>
      </w:r>
    </w:p>
    <w:p>
      <w:pPr>
        <w:spacing w:after="0" w:line="207" w:lineRule="exact"/>
        <w:rPr>
          <w:sz w:val="20"/>
          <w:szCs w:val="20"/>
          <w:color w:val="auto"/>
        </w:rPr>
      </w:pPr>
    </w:p>
    <w:p>
      <w:pPr>
        <w:jc w:val="both"/>
        <w:ind w:firstLine="1304"/>
        <w:spacing w:after="0" w:line="261" w:lineRule="auto"/>
        <w:tabs>
          <w:tab w:leader="none" w:pos="184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As of the Effective Date and, after giving effect to this Amendment and the transactions contemplated hereby, the representations and warranties of the Loan Parties contained in the Loan Documents are true and correct in all material respects on and as of the date hereof to the same extent as though made on and as of such date except to the extent such representations and warranties specifically relate to an earlier date;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5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(i) The execution, delivery and performance by each Loan Party of this Amendment are within its respective organizational powers and have been duly authorized by all necessary corporate or limited liability company action on the part of such Person, (ii) this Amendment is the legal, valid and binding obligation of each Loan Party enforceable against such Person in accordance with its terms and (iii) neither the execution, delivery or performance by each Loan Party of this Amendment (1) violates any law or regulation, or any order or decree of any governmental authority, (2) conflicts with or results in the breach or termination of, constitutes a default under or accelerates any performance required by, any indenture, mortgage, deed of trust, lease, agreement or other instrument to which such Person is a party or by which such Person or any of its property is bound, (3) results in the creation or imposition of any Lien upon any of the Collateral (other than any Lien in favor of the Administrative Agent or a Lender), (4) violates or conflicts with the organizational or governing documentation of such Person, or (5) requires the consent, approval or authorization of, or declaration or filing with, any other Person, except for those already duly obtained.</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No amendment, restatement, supplement or other modification has been made to the certificate or articles of incorporation or organization of the Borrower or to the by-laws or operating, management or partnership agreement, or any other organizational or governing documents of the Borrower since May 19,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4" w:name="page175"/>
    <w:bookmarkEnd w:id="174"/>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become effective only upon the satisfaction in full, in a manner satisfactory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of the following conditions precedent (the first date upon which all such conditions have been satisfied being herein called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1304"/>
        <w:spacing w:after="0" w:line="266" w:lineRule="auto"/>
        <w:tabs>
          <w:tab w:leader="none" w:pos="168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The Administrative Agent shall have received each of the following, each in form and substance satisfactory to the Administrative Agent, in its sole discretion, and, where applicable, each duly executed by each party thereto, other than the Administrative Agent (each of which shall be deemed to constitute a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pursuant to the Credit Agreement):</w:t>
      </w:r>
    </w:p>
    <w:p>
      <w:pPr>
        <w:spacing w:after="0" w:line="17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or counterparts hereof;</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Negative Pledge Agreement with respect to real property acquired from Plateplus, Inc.;</w:t>
      </w:r>
    </w:p>
    <w:p>
      <w:pPr>
        <w:spacing w:after="0" w:line="225" w:lineRule="exact"/>
        <w:rPr>
          <w:rFonts w:ascii="Times New Roman" w:cs="Times New Roman" w:eastAsia="Times New Roman" w:hAnsi="Times New Roman"/>
          <w:sz w:val="18"/>
          <w:szCs w:val="18"/>
          <w:color w:val="auto"/>
        </w:rPr>
      </w:pPr>
    </w:p>
    <w:p>
      <w:pPr>
        <w:ind w:left="2460" w:hanging="508"/>
        <w:spacing w:after="0"/>
        <w:tabs>
          <w:tab w:leader="none" w:pos="24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Collateral Assignment of Purchase Documents with respect to the Asset Purchase Agreement and Transition Services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Letter by and between Administrative Agent and the Borrowers, dated as of the date hereof (the “</w:t>
      </w:r>
      <w:r>
        <w:rPr>
          <w:rFonts w:ascii="Times New Roman" w:cs="Times New Roman" w:eastAsia="Times New Roman" w:hAnsi="Times New Roman"/>
          <w:sz w:val="18"/>
          <w:szCs w:val="18"/>
          <w:u w:val="single" w:color="auto"/>
          <w:color w:val="auto"/>
        </w:rPr>
        <w:t>Second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Fee Letter</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44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opinion of Loan Parties’ counsel, addressed to the Administrative Agent, the Issuing Bank and the Lenders, in form and substance reasonably satisfactory to the Administrative Agent and its counsel; and</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08"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instruments, and agreements as the Administrative Agent may reasonably request in connection with the transactions contemplated by this Amendment and the other Loan Documents, each in form and substance reasonably satisfactory to the Administrative Agent.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2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Each of the following will be satisfied with respect to the Plateplus Acquisition to the satisfaction of Administrative Agent, in its sole discretion:</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32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have received the Plateplus Purchase Agreement, the Transition Services Agreement, and each material document executed in connection with the Plateplus Acquisition, each having satisfactory terms and conditions (including, without limitation, the amount and forms of the consideration to be paid in connection with the Acquisition) to the Administrative Agent, in its sole discretion, and each duly executed by each party thereto;</w:t>
      </w:r>
    </w:p>
    <w:p>
      <w:pPr>
        <w:spacing w:after="0" w:line="179" w:lineRule="exact"/>
        <w:rPr>
          <w:rFonts w:ascii="Times New Roman" w:cs="Times New Roman" w:eastAsia="Times New Roman" w:hAnsi="Times New Roman"/>
          <w:sz w:val="18"/>
          <w:szCs w:val="18"/>
          <w:color w:val="auto"/>
        </w:rPr>
      </w:pPr>
    </w:p>
    <w:p>
      <w:pPr>
        <w:ind w:left="660" w:firstLine="1292"/>
        <w:spacing w:after="0" w:line="282" w:lineRule="auto"/>
        <w:tabs>
          <w:tab w:leader="none" w:pos="2453"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Plateplus Acquisition shall be closed in escrow without any waiver of any condition precedent thereunder, unless approved by Administrative Agent, and subject only to the release of funds thereunder on the Effective Date;</w:t>
      </w:r>
    </w:p>
    <w:p>
      <w:pPr>
        <w:spacing w:after="0" w:line="161" w:lineRule="exact"/>
        <w:rPr>
          <w:rFonts w:ascii="Times New Roman" w:cs="Times New Roman" w:eastAsia="Times New Roman" w:hAnsi="Times New Roman"/>
          <w:sz w:val="18"/>
          <w:szCs w:val="18"/>
          <w:color w:val="auto"/>
        </w:rPr>
      </w:pPr>
    </w:p>
    <w:p>
      <w:pPr>
        <w:ind w:left="660" w:firstLine="1292"/>
        <w:spacing w:after="0" w:line="282" w:lineRule="auto"/>
        <w:tabs>
          <w:tab w:leader="none" w:pos="25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set forth in the Plateplus Purchase Agreement and the Transition Services Agreement shall be and remain true and correct in all material respects as of said time;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5" w:name="page176"/>
    <w:bookmarkEnd w:id="175"/>
    <w:p>
      <w:pPr>
        <w:jc w:val="both"/>
        <w:ind w:left="660" w:firstLine="1292"/>
        <w:spacing w:after="0" w:line="258" w:lineRule="auto"/>
        <w:tabs>
          <w:tab w:leader="none" w:pos="2455"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or approval of, registration or filing with, or any other action by, any Governmental Authority or approval, consent or authorization of any Person is required for the execution, delivery and performance of the Plateplus Purchase Agreement by the parties thereto, except such as have been obtained or made and are in full force and effect, and all applicable waiting periods shall have expired without any action being taken or threatened by any competent authority that would restrain, prevent or otherwise impose adverse conditions on the Plateplus Acquisition, the financing thereof, or the transactions contemplated thereby.</w:t>
      </w:r>
    </w:p>
    <w:p>
      <w:pPr>
        <w:spacing w:after="0" w:line="183" w:lineRule="exact"/>
        <w:rPr>
          <w:rFonts w:ascii="Times New Roman" w:cs="Times New Roman" w:eastAsia="Times New Roman" w:hAnsi="Times New Roman"/>
          <w:sz w:val="18"/>
          <w:szCs w:val="18"/>
          <w:color w:val="auto"/>
        </w:rPr>
      </w:pPr>
    </w:p>
    <w:p>
      <w:pPr>
        <w:jc w:val="both"/>
        <w:ind w:firstLine="1304"/>
        <w:spacing w:after="0" w:line="218" w:lineRule="exact"/>
        <w:tabs>
          <w:tab w:leader="none" w:pos="179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Certificates; Certified Certificate of Incorporation; Good Standing Certificates</w:t>
      </w:r>
      <w:r>
        <w:rPr>
          <w:rFonts w:ascii="Times New Roman" w:cs="Times New Roman" w:eastAsia="Times New Roman" w:hAnsi="Times New Roman"/>
          <w:sz w:val="18"/>
          <w:szCs w:val="18"/>
          <w:color w:val="auto"/>
        </w:rPr>
        <w:t>. The Administrative Agent shall have received (i) a certificate of the Company,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the Company authorized to sign the Loan Documents to which it is a party and, in the case of each Borrower, its Financial Officers, and (C) contain appropriate attachments, including the certificate or articles of incorporation or organization of the Company certified by the relevant authority of the jurisdiction of organization of the Company and a true and correct copy of its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or operating, management or partnership agreement, or other organizational or governing documents, and (ii) a good standing certificate for the Company from its jurisdiction of organization or the substantive equivalent available in the jurisdiction of organization for the Company from the appropriate governmental officer in such jurisdiction.</w:t>
      </w:r>
    </w:p>
    <w:p>
      <w:pPr>
        <w:spacing w:after="0" w:line="20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6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the results of a recent lien search in each jurisdictions where the Company and Plateplus, Inc. are organized and where the assets of the Company and Plateplus, Inc. are located, which shall be satisfactory to Administrative Agent in its sole discretion.</w:t>
      </w:r>
    </w:p>
    <w:p>
      <w:pPr>
        <w:spacing w:after="0" w:line="175"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Administrative Agent shall have received a solvency certificate signed by a Financial Officer dated the Effective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The Administrative Agent shall have received a pro forma Borrowing Base Certificate which calculates the Borrowing Base as of a recent date determined by the Administrative Agent and giving effect to the Plateplus Acquisition, together with customary supporting documentation and supplemental reporting to be agreed upon between the Administrative Agent and the Borrower.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Availability</w:t>
      </w:r>
      <w:r>
        <w:rPr>
          <w:rFonts w:ascii="Times New Roman" w:cs="Times New Roman" w:eastAsia="Times New Roman" w:hAnsi="Times New Roman"/>
          <w:sz w:val="18"/>
          <w:szCs w:val="18"/>
          <w:color w:val="auto"/>
        </w:rPr>
        <w:t>. After giving effect to all Borrowings to be made on the Effective Date, the issuance of any Letters of Credit on the Effective Date and the payment of all fees and expenses due hereunder, and with all of the Loan Parties’ indebtedness, liabilities, and obligations current, the Excess Availability shall not be less than $20,000,000.</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3"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Each document (including any Uniform Commercial Code financing statement) required by the Collateral Documents or under law or requested by the Administrative Agent in its sole discretion to be filed, registered or recorded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Section 6.02 of the Credit Agreement), shall be in proper form for filing, registration or recordation.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6" w:name="page177"/>
    <w:bookmarkEnd w:id="176"/>
    <w:p>
      <w:pPr>
        <w:ind w:left="1660" w:hanging="356"/>
        <w:spacing w:after="0"/>
        <w:tabs>
          <w:tab w:leader="none" w:pos="166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Diligence</w:t>
      </w:r>
      <w:r>
        <w:rPr>
          <w:rFonts w:ascii="Times New Roman" w:cs="Times New Roman" w:eastAsia="Times New Roman" w:hAnsi="Times New Roman"/>
          <w:sz w:val="18"/>
          <w:szCs w:val="18"/>
          <w:color w:val="auto"/>
        </w:rPr>
        <w:t>. The Administrative Agent and its counsel shall have completed all legal due diligence, and all legal (including tax implications) and regulatory matters shall be satisfactory to the Administrative Agent in its sole discretion. The Administrative Agent shall have completed all business diligence related to the transactions contemplated by this Amendment, including the Plateplus Acquisition.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Warranties and Representations</w:t>
      </w:r>
      <w:r>
        <w:rPr>
          <w:rFonts w:ascii="Times New Roman" w:cs="Times New Roman" w:eastAsia="Times New Roman" w:hAnsi="Times New Roman"/>
          <w:sz w:val="18"/>
          <w:szCs w:val="18"/>
          <w:color w:val="auto"/>
        </w:rPr>
        <w:t>. After giving effect to this Amendment and the transactions contemplated hereby, the warranties and representations of the Loan Parties contained in the Loan Documents shall be true and correct in all material respects as of the Effective Date, with the same effect as though made on such date, except to the extent that such warranties and representations expressly relate to an earlier date, and all of such representations and warranties (except those relating to an earlier date) are hereby remade by the Loan Parties as of the Effective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Borrower shall have paid to Administrative Agent and Lenders (i) all fees and other amounts due and payable on the Effective Date pursuant to the Second Amendment Fee Letter and (ii) any fees and expenses owing to the Administrative Agent pursuant to Section 9.03(a) of the Credit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7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Administrative Agent shall have received such other documents as the Administrative Agent, the Issuing Bank, any Lender or their respective counsel may have reasonably requested.</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Post-Closing Covenant</w:t>
      </w:r>
      <w:r>
        <w:rPr>
          <w:rFonts w:ascii="Times New Roman" w:cs="Times New Roman" w:eastAsia="Times New Roman" w:hAnsi="Times New Roman"/>
          <w:sz w:val="18"/>
          <w:szCs w:val="18"/>
          <w:color w:val="auto"/>
        </w:rPr>
        <w:t>. Within fourteen (14) days of the date of this Amendment, Borrowers shall deliver to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evidence of insurance coverage in form, scope, and substance reasonably satisfactory to the Administrative Agent and otherwise in compliance with the terms of Section 5.10 of the Credit Agreement and Section 4.12 of the Security Agreement, including all certificates of insurance and endorsements required thereby. The parties agree that the failure to comply with the requirements of this Section 6 shall constitute an “Event of Default” under the Credit Agreement.</w:t>
      </w:r>
    </w:p>
    <w:p>
      <w:pPr>
        <w:spacing w:after="0" w:line="17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u w:val="single" w:color="auto"/>
          <w:color w:val="auto"/>
        </w:rPr>
        <w:t>Ratification; Reference to and Effect on Loan Documents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1304"/>
        <w:spacing w:after="0" w:line="256" w:lineRule="auto"/>
        <w:tabs>
          <w:tab w:leader="none" w:pos="1689"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specifically amended above, the Credit Agreement and the other Loan Documents shall remain in full force and effect. Notwithstanding anything contained herein, the terms of this Amendment are not intended to and do not effect a novation of the Credit Agreement or any other Loan Document. Each of the Loan Parties hereby ratifies and reaffirms each of the terms and conditions of the Loan Documents to which it is a party and all of its obligations thereunder. Each of the Loan Parties hereby agrees that all liens and security interests securing payment of the Obligations under the Credit Agreement and each of the other Loan Documents are hereby collectively renewed, ratified and brought forward as security for the payment and performance of the Obligations.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7" w:name="page178"/>
    <w:bookmarkEnd w:id="177"/>
    <w:p>
      <w:pPr>
        <w:jc w:val="both"/>
        <w:ind w:firstLine="1304"/>
        <w:spacing w:after="0" w:line="261" w:lineRule="auto"/>
        <w:tabs>
          <w:tab w:leader="none" w:pos="169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Upon the effectiveness of this Amendment, each of the Loan Documents, including the Credit Agreement, and any and all other agreements, documents or instruments now or hereafter executed and delivered pursuant to the terms hereof or pursuant to the terms of the Credit Agreement, as amended hereby, are hereby amended so that any reference in such Loan Documents to the Credit Agreement shall mean a reference to the Credit Agreement, as amended hereby.</w:t>
      </w:r>
    </w:p>
    <w:p>
      <w:pPr>
        <w:spacing w:after="0" w:line="17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1304"/>
        <w:spacing w:after="0" w:line="282" w:lineRule="auto"/>
        <w:tabs>
          <w:tab w:leader="none" w:pos="168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Amendment shall be binding on and shall inure to the benefit of the Loan Parties, the Administrative Agent and their respective successors and assigns.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1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constitutes the entire agreement of the parties hereto with respect to the subject matter hereof and supersedes all other understandings, oral or written, with respect to the subject matter hereof.</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this Amendment are included herein for convenience of reference only and shall not constitute a part of this Amendment for any other purpose.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Amendment shall be interpreted in such a manner as to be effective and valid under applicable law, but if any provision of this Amendment shall be prohibited by or invalid under applicable law, such provision shall be ineffective to the extent of such prohibition or invalidity, without invalidating the remainder of such provision or the remaining provisions of this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separate original counterparts (or telecopied counterparts with original execution copy to follow) and by the different parties on separate counterparts, each of which shall be deemed to be an original, but all of such counterparts shall together constitute one agreement. Delivery of an executed counterpart of a signature page to this Amendment by telecopy shall be effective as delivery of a manually executed counterpart of this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Credit Agreement Provisions</w:t>
      </w:r>
      <w:r>
        <w:rPr>
          <w:rFonts w:ascii="Times New Roman" w:cs="Times New Roman" w:eastAsia="Times New Roman" w:hAnsi="Times New Roman"/>
          <w:sz w:val="18"/>
          <w:szCs w:val="18"/>
          <w:color w:val="auto"/>
        </w:rPr>
        <w:t>. The provisions contained in Section 9.09 (Governing Law; Jurisdiction; Consent to Service of Process) and Section 9.10 (Waiver of Jury Trial) of the Credit Agreement are incorporated herein by reference to the same extent as if reproduced herein in their entirety.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8" w:name="page179"/>
    <w:bookmarkEnd w:id="178"/>
    <w:p>
      <w:pPr>
        <w:jc w:val="both"/>
        <w:ind w:firstLine="1304"/>
        <w:spacing w:after="0" w:line="267" w:lineRule="auto"/>
        <w:tabs>
          <w:tab w:leader="none" w:pos="1884"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FOR AND IN CONSIDERATION OF LENDERS’ AGREEMENTS CONTAINED HEREIN, BORROWER, TOGETHER WITH ITS PARENTS, DIVISIONS, SUBSIDIARIES, AFFILIATES, MEMBERS, MANAGERS, PARTICIPANTS, PREDECESSORS, SUCCESSORS AND ASSIGNS, AND ITS CURRENT AND FORMER OFFICERS, SHAREHOLDERS, MEMBERS, MANAGERS, PARTNERS, AGENTS AND EMPLOYEES, AND ITS PREDECESSORS, SUCCESSORS, HEIRS AND ASSIGNS (INDIVIDUALLY AND COLLECTIVELY, “</w:t>
      </w:r>
      <w:r>
        <w:rPr>
          <w:rFonts w:ascii="Times New Roman" w:cs="Times New Roman" w:eastAsia="Times New Roman" w:hAnsi="Times New Roman"/>
          <w:sz w:val="17"/>
          <w:szCs w:val="17"/>
          <w:b w:val="1"/>
          <w:bCs w:val="1"/>
          <w:u w:val="single" w:color="auto"/>
          <w:color w:val="auto"/>
        </w:rPr>
        <w:t>RELEASORS</w:t>
      </w:r>
      <w:r>
        <w:rPr>
          <w:rFonts w:ascii="Times New Roman" w:cs="Times New Roman" w:eastAsia="Times New Roman" w:hAnsi="Times New Roman"/>
          <w:sz w:val="17"/>
          <w:szCs w:val="17"/>
          <w:color w:val="auto"/>
        </w:rPr>
        <w:t>”) HEREBY VOLUNTARILY AND KNOWINGLY RELEASES AND FOREVER WAIVES AND DISCHARGES LENDER AND EACH OF ITS PARENTS, DIVISIONS, SUBSIDIARIES, AFFILIATES, MEMBERS, MANAGERS, PARTICIPANTS, PREDECESSORS, SUCCESSORS AND ASSIGNS, AND EACH OF ITS CURRENT AND FORMER DIRECTORS, OFFICERS, SHAREHOLDERS, MEMBERS, MANAGERS, PARTNERS, AGENTS AND EMPLOYEES, AND EACH OF THEIR RESPECTIVE PREDECESSORS, SUCCESSORS, HEIRS AND ASSIGNS (INDIVIDUALLY AND COLLECTIVELY, THE “</w:t>
      </w:r>
      <w:r>
        <w:rPr>
          <w:rFonts w:ascii="Times New Roman" w:cs="Times New Roman" w:eastAsia="Times New Roman" w:hAnsi="Times New Roman"/>
          <w:sz w:val="17"/>
          <w:szCs w:val="17"/>
          <w:b w:val="1"/>
          <w:bCs w:val="1"/>
          <w:u w:val="single" w:color="auto"/>
          <w:color w:val="auto"/>
        </w:rPr>
        <w:t>RELEASED PARTIES</w:t>
      </w:r>
      <w:r>
        <w:rPr>
          <w:rFonts w:ascii="Times New Roman" w:cs="Times New Roman" w:eastAsia="Times New Roman" w:hAnsi="Times New Roman"/>
          <w:sz w:val="17"/>
          <w:szCs w:val="17"/>
          <w:color w:val="auto"/>
        </w:rPr>
        <w:t>”) FROM ALL POSSIBLE CLAIMS, COUNTERCLAIMS, DEMANDS, ACTIONS, CAUSES OF ACTION, DAMAGES, COSTS, EXPENSES AND LIABILITIES WHATSOEVER, WHETHER KNOWN OR UNKNOWN, ANTICIPATED OR UNANTICIPATED, SUSPECTED OR UNSUSPECTED, FIXED, CONTINGENT OR CONDITIONAL OR AT LAW OR IN EQUITY, IN ANY CASE ORIGINATING IN WHOLE OR IN PART ON OR BEFORE THE DATE THIS AMENDMENT IS EXECUTED THAT ANY OF THE RELEASORS MAY NOW OR HEREAFTER HAVE AGAINST THE RELEASED PARTIES, IF ANY, IRRESPECTIVE OF WHETHER ANY SUCH CLAIMS ARISE OUT OF CONTRACT, TORT, VIOLATION OF LAW OR REGULATIONS OR OTHERWISE, INCLUDING WITHOUT LIMITATION ARISING DIRECTLY OR INDIRECTLY FROM ANY LAWSUIT, ANY PRIOR OR EXISTING LOANS BETWEEN RELEASORS AND RELEASED PARTIES, ANY OF THE LOAN DOCUMENTS, THE EXERCISE OF ANY RIGHTS AND REMEDIES UNDER ANY OF THE LOAN DOCUMENTS AND/OR NEGOTIATION FOR AND EXECUTION OF THIS AMENDMENT, INCLUDING, WITHOUT LIMITATION, ANY CONTRACTING FOR, CHARGING, TAKING, RESERVING, COLLECTING OR RECEIVING INTEREST IN EXCESS OF THE HIGHEST LAWFUL RATE APPLICABLE. EACH OF THE RELEASORS WAIVES THE BENEFITS OF ANY LAW, WHICH MAY PROVIDE IN SUBSTANCE: “A GENERAL RELEASE DOES NOT EXTEND TO CLAIMS WHICH THE CREDITOR DOES NOT KNOW OR SUSPECT TO EXIST IN ITS FAVOR AT THE TIME OF EXECUTING THE RELEASE, WHICH IF KNOWN BY IT MUST HAVE MATERIALLY AFFECTED ITS SETTLEMENT WITH THE DEBTOR.” EACH OF THE RELEASORS UNDERSTANDS THE FACTS IT BELIEVES TO BE TRUE AT THE TIME OF MAKING THE RELEASE PROVIDED FOR HEREIN MAY LATER TURN OUT TO BE DIFFERENT THAN IT NOW BELIEVES, AND INFORMATION NOT NOW KNOWN OR SUSPECTED MAY LATER BE DISCOVERED. EACH OF THE RELEASORS ACCEPTS THIS POSSIBILITY, AND EACH OF THEM ASSUMES THE RISK OF THE FACTS TURNING OUT TO BE DIFFERENT AND NEW INFORMATION BEING DISCOVERED AND EACH OF THEM FURTHER AGREES THE RELEASE PROVIDED FOR HEREIN SHALL IN ALL RESPECTS CONTINUE TO BE EFFECTIVE AND NOT SUBJECT TO TERMINATION OR RESCISSION BECAUSE OF ANY DIFFERENCE IN SUCH FACTS OR ANY NEW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9" w:name="page180"/>
    <w:bookmarkEnd w:id="17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has been executed on the date first written above, to be effective upon satisfaction of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herein.</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Alex LaRue</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80" w:name="page181"/>
    <w:bookmarkEnd w:id="180"/>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individually and as Administrative Agent, Issuing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Vertin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Thomas Vertin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Officer</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20"/>
          </w:cols>
          <w:pgMar w:left="1440" w:top="576" w:right="12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82" w:name="page183"/>
    <w:bookmarkEnd w:id="182"/>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Annex I</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Exhibits to the Security Agreement</w:t>
      </w:r>
    </w:p>
    <w:p>
      <w:pPr>
        <w:spacing w:after="0" w:line="2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CONFORMED THROUGH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173990</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457200</wp:posOffset>
            </wp:positionV>
            <wp:extent cx="1705610" cy="402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17056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AMENDED AND RESTATED CREDIT AGREEMENT</w:t>
      </w:r>
    </w:p>
    <w:p>
      <w:pPr>
        <w:spacing w:after="0" w:line="200" w:lineRule="exact"/>
        <w:rPr>
          <w:sz w:val="20"/>
          <w:szCs w:val="20"/>
          <w:color w:val="auto"/>
        </w:rPr>
      </w:pPr>
    </w:p>
    <w:p>
      <w:pPr>
        <w:spacing w:after="0" w:line="2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dated as of</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May 19, 2021</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among</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each of the other Persons party hereto as a Borrower,</w:t>
      </w:r>
    </w:p>
    <w:p>
      <w:pPr>
        <w:spacing w:after="0" w:line="22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each of the Persons party hereto as a Loan Guarantor,</w:t>
      </w:r>
    </w:p>
    <w:p>
      <w:pPr>
        <w:spacing w:after="0" w:line="200" w:lineRule="exact"/>
        <w:rPr>
          <w:sz w:val="20"/>
          <w:szCs w:val="20"/>
          <w:color w:val="auto"/>
        </w:rPr>
      </w:pPr>
    </w:p>
    <w:p>
      <w:pPr>
        <w:spacing w:after="0" w:line="24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00" w:lineRule="exact"/>
        <w:rPr>
          <w:sz w:val="20"/>
          <w:szCs w:val="20"/>
          <w:color w:val="auto"/>
        </w:rPr>
      </w:pPr>
    </w:p>
    <w:p>
      <w:pPr>
        <w:spacing w:after="0" w:line="24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177165</wp:posOffset>
            </wp:positionV>
            <wp:extent cx="17830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297180</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666115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4"/>
        </w:trPr>
        <w:tc>
          <w:tcPr>
            <w:tcW w:w="1068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0680" w:type="dxa"/>
            <w:vAlign w:val="bottom"/>
          </w:tcPr>
          <w:p>
            <w:pPr>
              <w:spacing w:after="0"/>
              <w:rPr>
                <w:sz w:val="24"/>
                <w:szCs w:val="24"/>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09"/>
        </w:trPr>
        <w:tc>
          <w:tcPr>
            <w:tcW w:w="10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 Definitions</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 Defined Terms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1.03. Terms Generally.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1.04. Accounting Terms; GAAP</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1.05. Interest Rates; Benchmark Notifications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1.07. Status of Obligations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1.08. Letters of Credit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1.09. Divisions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II – The Credits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2.01. Commitments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2.03. Requests for Revolving Borrowings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2.04. Protective Advances.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2.05. Swingline Loans and Overadvances.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2.06. Letters of Credit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2.07. Funding of Borrowings.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2.08. Interest Elections.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2.09. Termination of Commitments; Increase in Revolving Commitments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2.10. Repayment and Amortization of Loans; Evidence of Debt.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2.11. Prepayment of Loans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2.12. Fees.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2.13. Interest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2.14. Alternate Rate of Interest; Illegality.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2.15. Increased Costs.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2.16. Break Funding Payments.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2.17. Withholding of Taxes; Gross-Up.</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2.18. Payments Generally; Allocation of Proceeds; Sharing of Set-offs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2.20. Defaulting Lenders.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2.21. Returned Payments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2.22. Banking Services and Swap Agreements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 Representations and Warranties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3.01. Organization; Powers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3.02. Authorization; Enforceability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3.04. Financial Condition; No Material Adverse Change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3.05. Properties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3.06. Litigation and Environmental Matters.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3.07. Compliance with Laws and Agreements; No Default.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3.08. Investment Company Status.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r>
      <w:tr>
        <w:trPr>
          <w:trHeight w:val="216"/>
        </w:trPr>
        <w:tc>
          <w:tcPr>
            <w:tcW w:w="10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3.09.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r>
      <w:tr>
        <w:trPr>
          <w:trHeight w:val="216"/>
        </w:trPr>
        <w:tc>
          <w:tcPr>
            <w:tcW w:w="10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3.10. ERISA</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r>
      <w:tr>
        <w:trPr>
          <w:trHeight w:val="459"/>
        </w:trPr>
        <w:tc>
          <w:tcPr>
            <w:tcW w:w="106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6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3.11. Disclosure.</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3.12. Material Agreements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3.13. Solvency.</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3.14. Insurance.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3.15. Capitalization and Subsidiaries.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3.16. Security Interest in Collateral</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3.17. Employment Matters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3.18. Margin Regulations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3.19. Use of Proceeds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3.20. No Burdensome Restrictions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3.21. Anti-Corruption Laws and Sanctions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3.22. Common Enterprise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3.23. EEA Financial Institutions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3.24. Plan Assets; Prohibited Transactions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3.25  Margin Regulations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IV - Conditions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4.01. Effective Date</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4.02. Each Credit Event.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 Affirmative Covenants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5.01. Financial Statements; Borrowing Base and Other Information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5.02. Notices of Material Events.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5.03. Existence; Conduct of Business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5.04. Payment of Obligations.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5.05. Maintenance of Properties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5.06. Books and Records; Inspection Rights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5.07. Compliance with Laws and Material Contractual Obligations.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5.08. Use of Proceeds.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5.09. Accuracy of Information.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5.10. Insurance.</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5.11. Casualty and Condemnation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5.12. Appraisals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5.13. Depository Banks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5.14. Additional Collateral; Further Assurances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VI – Negative Covenants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6.01. Indebtedness.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6.02. Liens.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6.03. Fundamental Changes.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6.04. Investments, Loans, Advances, Guarantees and Acquisitions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6.05. Asset Sales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6.06. Sale and Leaseback Transactions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6.07. Swap Agreements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6.08. Restricted Payments; Certain Payments of Indebtedness.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6.09. Transactions with Affiliates.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6.10. Restrictive Agreements.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6.11. Amendment of Material Documents</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6.13. Financial Covenants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 Events of Default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59"/>
        </w:trPr>
        <w:tc>
          <w:tcPr>
            <w:tcW w:w="86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2620" w:type="dxa"/>
            <w:vAlign w:val="bottom"/>
          </w:tcPr>
          <w:p>
            <w:pPr>
              <w:spacing w:after="0"/>
              <w:rPr>
                <w:sz w:val="24"/>
                <w:szCs w:val="24"/>
                <w:color w:val="auto"/>
              </w:rPr>
            </w:pPr>
          </w:p>
        </w:tc>
      </w:tr>
      <w:tr>
        <w:trPr>
          <w:trHeight w:val="115"/>
        </w:trPr>
        <w:tc>
          <w:tcPr>
            <w:tcW w:w="862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99" w:right="33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 The Administrative Agent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8.01. Authorization and Action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8.02. Administrative Agent’s Reliance, Limitation of Liability, Etc.</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8.03. Posting of Communications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8.04. The Administrative Agent Individually</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8.05. Successor Administrative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8.06. Acknowledgements of Lenders and Issuing Bank</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8.07. Collateral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8.08. Credit Bidding</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8.09. Certain ERISA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8.10. Flood Laws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ARTICLE IX - Miscellaneous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9.01. Notices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9.02. Waivers; Amendments.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9.03. Expenses; Limitation of Liability; Indemnity; Etc.</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9.04. Successors and Assigns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9.05. Survival</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9.06. Counterparts; Integration; Effectiveness; Electronic Execution.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9.07. Severability</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9.08. Right of Setoff.</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9.09. Governing Law; Jurisdiction; Consent to Service of Process.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9.10. WAIVER OF JURY TRIAL.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9.11. Headings.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9.12. Confidentiality.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9.13. Several Obligations; Nonreliance; Violation of Law</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9.14. USA PATRIOT Act.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9.15. Disclosure</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9.16. Appointment for Perfection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9.17. Interest Rate Limitation</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9.18. Marketing Consent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9.19. Acknowledgement and Consent to Bail-In of EEA Financial Institutions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9.20. No Fiduciary Duty,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9.21. Acknowledgement Regarding Any Supported QFCs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9.22. Joint and Several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9.23. Renewal, Extension or Rearrangement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ARTICLE X – Loan Guaranty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10.01. Guaranty.</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10.02. Guaranty of Payment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10.03. No Discharge or Diminishment of Loan Guaranty</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10.04. Defenses Waived.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10.05. Rights of Subrogation</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10.06. Reinstatement; Stay of Acceleration.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10.07. Information</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10.08. 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9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10.09. Taxes.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459"/>
        </w:trPr>
        <w:tc>
          <w:tcPr>
            <w:tcW w:w="89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2280" w:type="dxa"/>
            <w:vAlign w:val="bottom"/>
          </w:tcPr>
          <w:p>
            <w:pPr>
              <w:spacing w:after="0"/>
              <w:rPr>
                <w:sz w:val="24"/>
                <w:szCs w:val="24"/>
                <w:color w:val="auto"/>
              </w:rPr>
            </w:pPr>
          </w:p>
        </w:tc>
      </w:tr>
      <w:tr>
        <w:trPr>
          <w:trHeight w:val="115"/>
        </w:trPr>
        <w:tc>
          <w:tcPr>
            <w:tcW w:w="896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99" w:right="33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20" w:type="dxa"/>
            <w:vAlign w:val="bottom"/>
            <w:gridSpan w:val="1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10.10. Maximum Liability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1042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SECTION 10.11. Contribution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10420" w:type="dxa"/>
            <w:vAlign w:val="bottom"/>
            <w:gridSpan w:val="1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10.12. Liability Cumulative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1042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SECTION 10.13. Keepwell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104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 The Borrower Representative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1042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SECTION 11.01. Appointment; Nature of Relationship</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10420" w:type="dxa"/>
            <w:vAlign w:val="bottom"/>
            <w:gridSpan w:val="1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11.02. Powers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1042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SECTION 11.03. Employment of Agents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10420" w:type="dxa"/>
            <w:vAlign w:val="bottom"/>
            <w:gridSpan w:val="1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11.04. Notices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1042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SECTION 11.05. Successor Borrower Representative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10420" w:type="dxa"/>
            <w:vAlign w:val="bottom"/>
            <w:gridSpan w:val="1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11.06. Execution of Loan Documents; Borrowing Base Certificate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4"/>
        </w:trPr>
        <w:tc>
          <w:tcPr>
            <w:tcW w:w="10420" w:type="dxa"/>
            <w:vAlign w:val="bottom"/>
            <w:gridSpan w:val="13"/>
          </w:tcPr>
          <w:p>
            <w:pPr>
              <w:ind w:left="500"/>
              <w:spacing w:after="0"/>
              <w:rPr>
                <w:sz w:val="20"/>
                <w:szCs w:val="20"/>
                <w:color w:val="auto"/>
              </w:rPr>
            </w:pPr>
            <w:r>
              <w:rPr>
                <w:rFonts w:ascii="Times New Roman" w:cs="Times New Roman" w:eastAsia="Times New Roman" w:hAnsi="Times New Roman"/>
                <w:sz w:val="18"/>
                <w:szCs w:val="18"/>
                <w:color w:val="auto"/>
              </w:rPr>
              <w:t>SECTION 11.07. Reporting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589"/>
        </w:trPr>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Commitment Schedule</w:t>
            </w: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40" w:type="dxa"/>
            <w:vAlign w:val="bottom"/>
            <w:gridSpan w:val="8"/>
          </w:tcPr>
          <w:p>
            <w:pPr>
              <w:jc w:val="center"/>
              <w:ind w:right="4260"/>
              <w:spacing w:after="0"/>
              <w:rPr>
                <w:sz w:val="20"/>
                <w:szCs w:val="20"/>
                <w:color w:val="auto"/>
              </w:rPr>
            </w:pPr>
            <w:r>
              <w:rPr>
                <w:rFonts w:ascii="Times New Roman" w:cs="Times New Roman" w:eastAsia="Times New Roman" w:hAnsi="Times New Roman"/>
                <w:sz w:val="18"/>
                <w:szCs w:val="18"/>
                <w:color w:val="auto"/>
                <w:w w:val="99"/>
              </w:rPr>
              <w:t>SCHEDULES: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00" w:type="dxa"/>
            <w:vAlign w:val="bottom"/>
            <w:gridSpan w:val="2"/>
            <w:vMerge w:val="continue"/>
          </w:tcPr>
          <w:p>
            <w:pPr>
              <w:spacing w:after="0"/>
              <w:rPr>
                <w:sz w:val="18"/>
                <w:szCs w:val="18"/>
                <w:color w:val="auto"/>
              </w:rPr>
            </w:pPr>
          </w:p>
        </w:tc>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Properties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Disclosed Matters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Schedule 3.12</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Material Agreements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Schedule 3.14</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Schedule 3.15</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Capitalization and Subsidiaries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Existing Indebtedness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Existing Liens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Existing Investments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Schedule 6.10</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Existing Restrictions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40" w:type="dxa"/>
            <w:vAlign w:val="bottom"/>
            <w:gridSpan w:val="7"/>
          </w:tcPr>
          <w:p>
            <w:pPr>
              <w:jc w:val="center"/>
              <w:ind w:right="4360"/>
              <w:spacing w:after="0"/>
              <w:rPr>
                <w:sz w:val="20"/>
                <w:szCs w:val="20"/>
                <w:color w:val="auto"/>
              </w:rPr>
            </w:pPr>
            <w:r>
              <w:rPr>
                <w:rFonts w:ascii="Times New Roman" w:cs="Times New Roman" w:eastAsia="Times New Roman" w:hAnsi="Times New Roman"/>
                <w:sz w:val="18"/>
                <w:szCs w:val="18"/>
                <w:color w:val="auto"/>
              </w:rPr>
              <w:t>EXHIBITS: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820" w:type="dxa"/>
            <w:vAlign w:val="bottom"/>
            <w:tcBorders>
              <w:top w:val="single" w:sz="8" w:color="auto"/>
            </w:tcBorders>
            <w:gridSpan w:val="4"/>
          </w:tcPr>
          <w:p>
            <w:pPr>
              <w:spacing w:after="0"/>
              <w:rPr>
                <w:sz w:val="24"/>
                <w:szCs w:val="24"/>
                <w:color w:val="auto"/>
              </w:rPr>
            </w:pPr>
          </w:p>
        </w:tc>
        <w:tc>
          <w:tcPr>
            <w:tcW w:w="442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Form of Borrowing Base Certificate</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Joinder Agreement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Exhibit E-1</w:t>
            </w:r>
          </w:p>
        </w:tc>
        <w:tc>
          <w:tcPr>
            <w:tcW w:w="60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line="194" w:lineRule="exact"/>
              <w:rPr>
                <w:sz w:val="20"/>
                <w:szCs w:val="20"/>
                <w:color w:val="auto"/>
              </w:rPr>
            </w:pPr>
            <w:r>
              <w:rPr>
                <w:rFonts w:ascii="Times New Roman" w:cs="Times New Roman" w:eastAsia="Times New Roman" w:hAnsi="Times New Roman"/>
                <w:sz w:val="18"/>
                <w:szCs w:val="18"/>
                <w:color w:val="auto"/>
              </w:rPr>
              <w:t>U.S. Tax Certificate (For Foreign Lenders that are not Partnerships for U.S. Federal Income Tax Purposes)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right w:val="single" w:sz="8" w:color="auto"/>
            </w:tcBorders>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Exhibit E-2</w:t>
            </w:r>
          </w:p>
        </w:tc>
        <w:tc>
          <w:tcPr>
            <w:tcW w:w="60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line="196" w:lineRule="exact"/>
              <w:rPr>
                <w:sz w:val="20"/>
                <w:szCs w:val="20"/>
                <w:color w:val="auto"/>
              </w:rPr>
            </w:pPr>
            <w:r>
              <w:rPr>
                <w:rFonts w:ascii="Times New Roman" w:cs="Times New Roman" w:eastAsia="Times New Roman" w:hAnsi="Times New Roman"/>
                <w:sz w:val="18"/>
                <w:szCs w:val="18"/>
                <w:color w:val="auto"/>
              </w:rPr>
              <w:t>U.S. Tax Certificate (For Foreign Participants that are not Partnerships for U.S. Federal Income Tax Purposes)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Exhibit E-3</w:t>
            </w:r>
          </w:p>
        </w:tc>
        <w:tc>
          <w:tcPr>
            <w:tcW w:w="60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line="196" w:lineRule="exact"/>
              <w:rPr>
                <w:sz w:val="20"/>
                <w:szCs w:val="20"/>
                <w:color w:val="auto"/>
              </w:rPr>
            </w:pPr>
            <w:r>
              <w:rPr>
                <w:rFonts w:ascii="Times New Roman" w:cs="Times New Roman" w:eastAsia="Times New Roman" w:hAnsi="Times New Roman"/>
                <w:sz w:val="18"/>
                <w:szCs w:val="18"/>
                <w:color w:val="auto"/>
              </w:rPr>
              <w:t>U.S. Tax Certificate (For Foreign Participants that are Partnerships for U.S. Federal Income Tax Purposes)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Exhibit E-4</w:t>
            </w:r>
          </w:p>
        </w:tc>
        <w:tc>
          <w:tcPr>
            <w:tcW w:w="60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20" w:type="dxa"/>
            <w:vAlign w:val="bottom"/>
            <w:gridSpan w:val="11"/>
          </w:tcPr>
          <w:p>
            <w:pPr>
              <w:ind w:left="120"/>
              <w:spacing w:after="0" w:line="196" w:lineRule="exact"/>
              <w:rPr>
                <w:sz w:val="20"/>
                <w:szCs w:val="20"/>
                <w:color w:val="auto"/>
              </w:rPr>
            </w:pPr>
            <w:r>
              <w:rPr>
                <w:rFonts w:ascii="Times New Roman" w:cs="Times New Roman" w:eastAsia="Times New Roman" w:hAnsi="Times New Roman"/>
                <w:sz w:val="18"/>
                <w:szCs w:val="18"/>
                <w:color w:val="auto"/>
              </w:rPr>
              <w:t>U.S. Tax Certificate (For Foreign that are Partnerships for U.S. Federal Income Tax Purposes)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88"/>
              </w:rPr>
              <w:t>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9" w:right="339" w:bottom="1440" w:gutter="0" w:footer="0" w:header="0"/>
        </w:sectPr>
      </w:pPr>
    </w:p>
    <w:bookmarkStart w:id="188" w:name="page189"/>
    <w:bookmarkEnd w:id="18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AMENDED AND RESTATED CREDIT AGREEMENT dated as of May 19, 2021 (as it may be amended or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Friedman Industries, Incorporated, a Texas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other Person joined hereto from time to time as a borrower (together with the Company,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other Loan Parties party hereto, the Lenders party hereto, and JPMORGAN CHASE BANK, N.A., as Administrative Agent.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Lenders have extended to the Company a line of credit in an amount not to exceed $20,000,000 at one time outstanding pursuant to that certain Credit Agreement, dated March 4, 2021, by and between the Company and the Lenders, as amended by that certain First Amendment to Credit Agreement, dated April 12, 2021, by and between the Company and the Lenders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amounts advanced to the Company by the Lenders pursuant to the Existing Credit Agreement are evidenced by, and are payable in accordance with the terms of, that certain Line of Credit Note, dated March 4, 2021 and executed by the Company, as amended by that certain Note Modification Agreement, dated April 12, 2021, by and between the Company and the Lenders (the “</w:t>
      </w:r>
      <w:r>
        <w:rPr>
          <w:rFonts w:ascii="Times New Roman" w:cs="Times New Roman" w:eastAsia="Times New Roman" w:hAnsi="Times New Roman"/>
          <w:sz w:val="18"/>
          <w:szCs w:val="18"/>
          <w:u w:val="single" w:color="auto"/>
          <w:color w:val="auto"/>
        </w:rPr>
        <w:t>Existing Note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other Loan Parties desire to amend and restate the Existing Credit Agreement in the form of this Agreement, and in connection therewith, repay all indebtedness outstanding under the Existing Note.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NOW, THEREFORE, in consideration of the mutual covenants and agreements herein contained, the Borrowers, the Loan Parties, Administrative Agent and Lenders hereby agree that the Existing Credit Agreement is hereby amended and restated in its entirety on the terms and conditions set forth herein. It is the intention of the Borrowers, the Loan Parties, Administrative Agent and Lenders that this Agreement supersede and replace the Existing Credit Agreement in its entirety;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 such amendment and restatement shall operate to renew, amend and modify the rights and obligations of the parties under the Existing Credit Agreement, as applicable and as provided herein, but shall not effect a novation thereof, and (b) the liens securing the Obligations under and as defined in the Existing Credit Agreement shall not be extinguished, but shall be carried forward and shall secure such Obligations as renewed, amended, restated, modified and increased hereby. The Borrowers, the Loan Parties, Administrative Agent and Lenders hereby further agree as follows: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xml:space="preserve"> As used in this Agreement, the following terms have the meanings specified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Debtor</w:t>
      </w:r>
      <w:r>
        <w:rPr>
          <w:rFonts w:ascii="Times New Roman" w:cs="Times New Roman" w:eastAsia="Times New Roman" w:hAnsi="Times New Roman"/>
          <w:sz w:val="18"/>
          <w:szCs w:val="18"/>
          <w:color w:val="auto"/>
        </w:rPr>
        <w:t>” means any Person obligated on an Account.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transaction, or any series of related transactions, consummated on or after the Effective Date, by which any Loan Party</w:t>
      </w:r>
    </w:p>
    <w:p>
      <w:pPr>
        <w:spacing w:after="0" w:line="27" w:lineRule="exact"/>
        <w:rPr>
          <w:sz w:val="20"/>
          <w:szCs w:val="20"/>
          <w:color w:val="auto"/>
        </w:rPr>
      </w:pPr>
    </w:p>
    <w:p>
      <w:pPr>
        <w:jc w:val="both"/>
        <w:ind w:firstLine="8"/>
        <w:spacing w:after="0" w:line="253" w:lineRule="auto"/>
        <w:tabs>
          <w:tab w:leader="none" w:pos="24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9" w:name="page190"/>
    <w:bookmarkEnd w:id="18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Daily Simple SOFR</w:t>
      </w:r>
      <w:r>
        <w:rPr>
          <w:rFonts w:ascii="Times New Roman" w:cs="Times New Roman" w:eastAsia="Times New Roman" w:hAnsi="Times New Roman"/>
          <w:sz w:val="18"/>
          <w:szCs w:val="18"/>
          <w:color w:val="auto"/>
        </w:rPr>
        <w:t>” means an interest rate per annum equal to (a) the Daily Simple SOFR, plus (b) 0.10%; provided that if the Adjusted Daily Simple SOFR as so determined would be less than the Floor, such rate shall be deemed to be equal to the Floor for the purposes of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 Rate</w:t>
      </w:r>
      <w:r>
        <w:rPr>
          <w:rFonts w:ascii="Times New Roman" w:cs="Times New Roman" w:eastAsia="Times New Roman" w:hAnsi="Times New Roman"/>
          <w:sz w:val="18"/>
          <w:szCs w:val="18"/>
          <w:color w:val="auto"/>
        </w:rPr>
        <w:t>” means for any Interest Period, an interest rate per annum equal to (a) the Term SOFR Rate for such Interest Period, plus (b) 0.10%, provided that if the Adjusted Term SOFR Rate as so determined would be less than the Floor, such rate shall be deemed to be equal to the Floor for purposes of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JPMorgan Chase Bank, N.A. (or any of its designated branch offices or affiliates), in its capacity as administrative agent for the Lenders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has the meaning assigned to it in Section 9.03(d).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Credit Exposure</w:t>
      </w:r>
      <w:r>
        <w:rPr>
          <w:rFonts w:ascii="Times New Roman" w:cs="Times New Roman" w:eastAsia="Times New Roman" w:hAnsi="Times New Roman"/>
          <w:sz w:val="18"/>
          <w:szCs w:val="18"/>
          <w:color w:val="auto"/>
        </w:rPr>
        <w:t>” means, at any time, the aggregate Credit Exposure of all the Lenders at such time.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Commitment</w:t>
      </w:r>
      <w:r>
        <w:rPr>
          <w:rFonts w:ascii="Times New Roman" w:cs="Times New Roman" w:eastAsia="Times New Roman" w:hAnsi="Times New Roman"/>
          <w:sz w:val="18"/>
          <w:szCs w:val="18"/>
          <w:color w:val="auto"/>
        </w:rPr>
        <w:t>” means, at any time, the aggregate of the Revolving Commitments of all of the Lenders, as increased or reduced from time to time pursuant to the terms and conditions hereof. As of the Second Amendment Effective Date, the Aggregate Revolving Commitment is $150,000,000.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Exposure</w:t>
      </w:r>
      <w:r>
        <w:rPr>
          <w:rFonts w:ascii="Times New Roman" w:cs="Times New Roman" w:eastAsia="Times New Roman" w:hAnsi="Times New Roman"/>
          <w:sz w:val="18"/>
          <w:szCs w:val="18"/>
          <w:color w:val="auto"/>
        </w:rPr>
        <w:t>” means, at any time, the aggregate Revolving Exposure of all the Lenders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has the meaning assigned to it in Section 9.06(b).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any Borrower or any of its Subsidiaries from time to time concerning or relating to bribery or corruption.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has the meaning assigned to it in Section 8.03(c).</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(a) with respect to Revolving Loans, LC Exposure, Overadvances or Swingline Loans, a percentage equal to a fraction the numerator of which is such Lender's Revolving Commitment and the denominator of which is the Aggregate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Revolving Commitments have terminated or expired, the Applicable Percentages shall be determined based upon such Lender’s share of the Aggregate Revolving Exposure at that time), and (b) with respect to Protective Advances or with respect to the Aggregate Credit Exposure, a percentage based upon its share of the Aggregate Credit Exposure and the unused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accordance with Section 2.20, so long as any Lender shall be a Defaulting Lender, such Defaulting Lender’s Commitment shall be disregarded in the calculations under clauses (a) and (b)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0" w:name="page191"/>
    <w:bookmarkEnd w:id="19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for any day, with respect to any Loan, or with respect to the commitment fees payable hereunder, as the case may be, the applicable rate per annum set forth under the applicable caption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right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right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right w:val="single" w:sz="8" w:color="auto"/>
            </w:tcBorders>
          </w:tcPr>
          <w:p>
            <w:pPr>
              <w:spacing w:after="0"/>
              <w:rPr>
                <w:sz w:val="3"/>
                <w:szCs w:val="3"/>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Revolver</w:t>
            </w:r>
          </w:p>
        </w:tc>
        <w:tc>
          <w:tcPr>
            <w:tcW w:w="1460" w:type="dxa"/>
            <w:vAlign w:val="bottom"/>
            <w:tcBorders>
              <w:right w:val="single" w:sz="8" w:color="auto"/>
            </w:tcBorders>
            <w:gridSpan w:val="2"/>
          </w:tcPr>
          <w:p>
            <w:pPr>
              <w:spacing w:after="0"/>
              <w:rPr>
                <w:sz w:val="13"/>
                <w:szCs w:val="13"/>
                <w:color w:val="auto"/>
              </w:rPr>
            </w:pPr>
          </w:p>
        </w:tc>
        <w:tc>
          <w:tcPr>
            <w:tcW w:w="1300" w:type="dxa"/>
            <w:vAlign w:val="bottom"/>
          </w:tcPr>
          <w:p>
            <w:pPr>
              <w:spacing w:after="0"/>
              <w:rPr>
                <w:sz w:val="13"/>
                <w:szCs w:val="13"/>
                <w:color w:val="auto"/>
              </w:rPr>
            </w:pPr>
          </w:p>
        </w:tc>
        <w:tc>
          <w:tcPr>
            <w:tcW w:w="2580" w:type="dxa"/>
            <w:vAlign w:val="bottom"/>
            <w:tcBorders>
              <w:right w:val="single" w:sz="8" w:color="auto"/>
            </w:tcBorders>
            <w:gridSpan w:val="6"/>
          </w:tcPr>
          <w:p>
            <w:pPr>
              <w:jc w:val="center"/>
              <w:ind w:right="1320"/>
              <w:spacing w:after="0" w:line="156" w:lineRule="exact"/>
              <w:rPr>
                <w:sz w:val="20"/>
                <w:szCs w:val="20"/>
                <w:color w:val="auto"/>
              </w:rPr>
            </w:pPr>
            <w:r>
              <w:rPr>
                <w:rFonts w:ascii="Times New Roman" w:cs="Times New Roman" w:eastAsia="Times New Roman" w:hAnsi="Times New Roman"/>
                <w:sz w:val="18"/>
                <w:szCs w:val="18"/>
                <w:color w:val="auto"/>
                <w:w w:val="99"/>
              </w:rPr>
              <w:t>Revolver</w:t>
            </w:r>
          </w:p>
        </w:tc>
        <w:tc>
          <w:tcPr>
            <w:tcW w:w="3760" w:type="dxa"/>
            <w:vAlign w:val="bottom"/>
            <w:tcBorders>
              <w:right w:val="single" w:sz="8" w:color="auto"/>
            </w:tcBorders>
            <w:gridSpan w:val="3"/>
          </w:tcPr>
          <w:p>
            <w:pPr>
              <w:ind w:left="1040"/>
              <w:spacing w:after="0" w:line="156" w:lineRule="exact"/>
              <w:rPr>
                <w:sz w:val="20"/>
                <w:szCs w:val="20"/>
                <w:color w:val="auto"/>
              </w:rPr>
            </w:pPr>
            <w:r>
              <w:rPr>
                <w:rFonts w:ascii="Times New Roman" w:cs="Times New Roman" w:eastAsia="Times New Roman" w:hAnsi="Times New Roman"/>
                <w:sz w:val="18"/>
                <w:szCs w:val="18"/>
                <w:color w:val="auto"/>
              </w:rPr>
              <w:t>Commitment Fee Rate</w:t>
            </w: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r>
      <w:tr>
        <w:trPr>
          <w:trHeight w:val="196"/>
        </w:trPr>
        <w:tc>
          <w:tcPr>
            <w:tcW w:w="40" w:type="dxa"/>
            <w:vAlign w:val="bottom"/>
            <w:tcBorders>
              <w:right w:val="single" w:sz="8" w:color="auto"/>
            </w:tcBorders>
            <w:shd w:val="clear" w:color="auto" w:fill="000000"/>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CBFR Spread</w:t>
            </w:r>
          </w:p>
        </w:tc>
        <w:tc>
          <w:tcPr>
            <w:tcW w:w="128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2580" w:type="dxa"/>
            <w:vAlign w:val="bottom"/>
            <w:tcBorders>
              <w:right w:val="single" w:sz="8" w:color="auto"/>
            </w:tcBorders>
            <w:gridSpan w:val="6"/>
          </w:tcPr>
          <w:p>
            <w:pPr>
              <w:jc w:val="center"/>
              <w:ind w:right="1340"/>
              <w:spacing w:after="0" w:line="196" w:lineRule="exact"/>
              <w:rPr>
                <w:sz w:val="20"/>
                <w:szCs w:val="20"/>
                <w:color w:val="auto"/>
              </w:rPr>
            </w:pPr>
            <w:r>
              <w:rPr>
                <w:rFonts w:ascii="Times New Roman" w:cs="Times New Roman" w:eastAsia="Times New Roman" w:hAnsi="Times New Roman"/>
                <w:sz w:val="18"/>
                <w:szCs w:val="18"/>
                <w:color w:val="auto"/>
                <w:w w:val="98"/>
              </w:rPr>
              <w:t>Term Benchmark</w:t>
            </w: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196"/>
        </w:trPr>
        <w:tc>
          <w:tcPr>
            <w:tcW w:w="40" w:type="dxa"/>
            <w:vAlign w:val="bottom"/>
            <w:tcBorders>
              <w:top w:val="single" w:sz="8" w:color="auto"/>
              <w:right w:val="single" w:sz="8" w:color="auto"/>
            </w:tcBorders>
            <w:shd w:val="clear" w:color="auto" w:fill="000000"/>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3"/>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auto"/>
                <w:w w:val="99"/>
              </w:rPr>
              <w:t>Spread</w:t>
            </w:r>
          </w:p>
        </w:tc>
        <w:tc>
          <w:tcPr>
            <w:tcW w:w="134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r>
      <w:tr>
        <w:trPr>
          <w:trHeight w:val="236"/>
        </w:trPr>
        <w:tc>
          <w:tcPr>
            <w:tcW w:w="4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0.25%</w:t>
            </w:r>
          </w:p>
        </w:tc>
        <w:tc>
          <w:tcPr>
            <w:tcW w:w="16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has the meaning assigned to it in Section 8.03(a).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has the meaning assigned to such term in Section 9.04.</w:t>
      </w:r>
    </w:p>
    <w:p>
      <w:pPr>
        <w:spacing w:after="0" w:line="225" w:lineRule="exact"/>
        <w:rPr>
          <w:sz w:val="20"/>
          <w:szCs w:val="20"/>
          <w:color w:val="auto"/>
        </w:rPr>
      </w:pPr>
    </w:p>
    <w:p>
      <w:pPr>
        <w:ind w:right="37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JPMorgan Chase Bank, N.A. in its capacity as sole bookrunner and sole lead arranger 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records generated by the use of an electronic platform) approved by the Administrative Agent.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means, at any time, an amount equal to (a) the lesser of (i) the Aggregate Revolving Commitment and (ii) the Borrowing Base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Aggregate Revolving Exposure, all as determined by the Administrative Agent in its sole discretion.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Effective Date to but excluding the earlier of the Maturity Date and the date of termination of the Commitments.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Revolving Commitment</w:t>
      </w:r>
      <w:r>
        <w:rPr>
          <w:rFonts w:ascii="Times New Roman" w:cs="Times New Roman" w:eastAsia="Times New Roman" w:hAnsi="Times New Roman"/>
          <w:sz w:val="18"/>
          <w:szCs w:val="18"/>
          <w:color w:val="auto"/>
        </w:rPr>
        <w:t xml:space="preserve">” means, at any time, the Aggregate Revolving Commitment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Aggregate Revolving Exposure.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(g) of Section 2.14.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1" w:name="page192"/>
    <w:bookmarkEnd w:id="19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any Loan Party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cash pooling services, and interstate depository network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the Loan Parties, whether absolute or contingent and howsoever and whensoever created, arising, evidenced or acquired (including all renewals, extensions and modifications thereof and substitutions therefor) in connection with Banking Services.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Reserves</w:t>
      </w:r>
      <w:r>
        <w:rPr>
          <w:rFonts w:ascii="Times New Roman" w:cs="Times New Roman" w:eastAsia="Times New Roman" w:hAnsi="Times New Roman"/>
          <w:sz w:val="18"/>
          <w:szCs w:val="18"/>
          <w:color w:val="auto"/>
        </w:rPr>
        <w:t>” means all Reserves which the Administrative Agent from time to time establishes in its Permitted Discretion for Banking Services then provided or outstanding.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entitled “Bankruptcy”, as now and hereafter in effect, or any successor statute.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Term Benchmark Loan, the Term SOFR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and the related Benchmark Replacement Date have occurred with respect to the Daily Simple SOFR or Term SOFR Rate or the then-current Benchmark, then “Benchmark” means the applicable Benchmark Replacement to the extent that such Benchmark Replacement has replaced such prior benchmark rate pursuant to clause (b) of Section 2.14.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for the applicable Benchmark Replacement Date:</w:t>
      </w:r>
    </w:p>
    <w:p>
      <w:pPr>
        <w:spacing w:after="0" w:line="207" w:lineRule="exact"/>
        <w:rPr>
          <w:sz w:val="20"/>
          <w:szCs w:val="20"/>
          <w:color w:val="auto"/>
        </w:rPr>
      </w:pPr>
    </w:p>
    <w:p>
      <w:pPr>
        <w:ind w:left="1040" w:hanging="384"/>
        <w:spacing w:after="0"/>
        <w:tabs>
          <w:tab w:leader="none" w:pos="10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Daily Simple SOFR;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2" w:name="page193"/>
    <w:bookmarkEnd w:id="192"/>
    <w:p>
      <w:pPr>
        <w:jc w:val="both"/>
        <w:ind w:firstLine="656"/>
        <w:spacing w:after="0" w:line="258" w:lineRule="auto"/>
        <w:tabs>
          <w:tab w:leader="none" w:pos="111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3" w:lineRule="exact"/>
        <w:rPr>
          <w:sz w:val="20"/>
          <w:szCs w:val="20"/>
          <w:color w:val="auto"/>
        </w:rPr>
      </w:pPr>
    </w:p>
    <w:p>
      <w:pPr>
        <w:jc w:val="both"/>
        <w:ind w:firstLine="1134"/>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and/or any Term Benchmark Loan, any technical, administrative or operational changes (including changes to the definitions of “CB Floating Rate,” and “CBFR”,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such then-current Benchmark:</w:t>
      </w:r>
    </w:p>
    <w:p>
      <w:pPr>
        <w:spacing w:after="0" w:line="162" w:lineRule="exact"/>
        <w:rPr>
          <w:sz w:val="20"/>
          <w:szCs w:val="20"/>
          <w:color w:val="auto"/>
        </w:rPr>
      </w:pPr>
    </w:p>
    <w:p>
      <w:pPr>
        <w:ind w:right="460" w:firstLine="656"/>
        <w:spacing w:after="0" w:line="266" w:lineRule="auto"/>
        <w:tabs>
          <w:tab w:leader="none" w:pos="103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ind w:right="220" w:firstLine="656"/>
        <w:spacing w:after="0" w:line="258" w:lineRule="auto"/>
        <w:tabs>
          <w:tab w:leader="none" w:pos="103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3" w:name="page194"/>
    <w:bookmarkEnd w:id="19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avoidance of doubt, (i) if the event giving rise to the Benchmark Replacement Date occurs on the same day as, but earlier than, the Reference Time in any respect of any determination, the Benchmark Replacement Date will be deemed to have occurred prior to the Reference Time for such determination and (ii) the “Benchmark Replacement Date” will be deemed to have occurred in the case of clause (1) or (2) with respect to any such Benchmark upon the occurrence of the applicable event or events set forth therein with respect to all then-current Available Tenors of such Benchmark (or the published component used in the calculation thereof).</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such then-current Benchmark:</w:t>
      </w:r>
    </w:p>
    <w:p>
      <w:pPr>
        <w:spacing w:after="0" w:line="162" w:lineRule="exact"/>
        <w:rPr>
          <w:sz w:val="20"/>
          <w:szCs w:val="20"/>
          <w:color w:val="auto"/>
        </w:rPr>
      </w:pPr>
    </w:p>
    <w:p>
      <w:pPr>
        <w:jc w:val="both"/>
        <w:ind w:firstLine="656"/>
        <w:spacing w:after="0" w:line="261" w:lineRule="auto"/>
        <w:tabs>
          <w:tab w:leader="none" w:pos="104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at the time of such statement or publication there is no successor of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11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date will no longer be, representative.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4" w:name="page195"/>
    <w:bookmarkEnd w:id="19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Blocking Regulation</w:t>
      </w:r>
      <w:r>
        <w:rPr>
          <w:rFonts w:ascii="Times New Roman" w:cs="Times New Roman" w:eastAsia="Times New Roman" w:hAnsi="Times New Roman"/>
          <w:sz w:val="18"/>
          <w:szCs w:val="18"/>
          <w:color w:val="auto"/>
        </w:rPr>
        <w:t>” has the meaning assigned to it in Section 3.21.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have the meanings assigned to such terms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has the meaning assigned to such term in Section 11.01.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Borrowing, (b) a Swingline Loan, (c) a Protective Advance and (d) an Overadvance.</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xml:space="preserve">” means, at any time, the sum of (a) 90% of the Borrowers’ Eligible Accounts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product of 85%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the Net Orderly Liquidation Value percentage identified in the most recent inventory appraisal ordered by the Administrative Agent</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the Borrowers’ Eligible Inventory, valued at the lower of cost or market value, determined on a weighted average cost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M&amp;E Component at such time,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(d) Reserves;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the Borrowing Base with respect to Eligible Inventory under clause (b) shall be limited to 75% of the acquired cost of such Eligible Inventory; </w:t>
      </w:r>
      <w:r>
        <w:rPr>
          <w:rFonts w:ascii="Times New Roman" w:cs="Times New Roman" w:eastAsia="Times New Roman" w:hAnsi="Times New Roman"/>
          <w:sz w:val="18"/>
          <w:szCs w:val="18"/>
          <w:u w:val="single" w:color="auto"/>
          <w:color w:val="auto"/>
        </w:rPr>
        <w:t>further provided</w:t>
      </w:r>
      <w:r>
        <w:rPr>
          <w:rFonts w:ascii="Times New Roman" w:cs="Times New Roman" w:eastAsia="Times New Roman" w:hAnsi="Times New Roman"/>
          <w:sz w:val="18"/>
          <w:szCs w:val="18"/>
          <w:color w:val="auto"/>
        </w:rPr>
        <w:t>, that until all collateral due diligence is completed to the satisfaction of the Administrative Agent in its sole discretion, (x) the amount of the Borrowing Base attributable to assets acquired from Plateplus Inc. or arising from the sale of such assets acquired from Plateplus Inc. shall be limited to (i) with respect to Eligible Accounts arising from the sale of Inventory acquired from Plateplus Inc., $0, (ii) with respect to Eligible Inventory, until Administrative Agent shall have received an inventory appraisal satisfactory in Administrative Agent’s sole discretion, 65% of the acquired cost of such Eligible Inventory and (y) the total amount of the Borrowing Base attributable to assets acquired from Plateplus Inc. shall not exceed $45,000,000.</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Borrowing Base at any time shall be determined by reference to the most recent Borrowing Base Certificate delivered to the Administrative Agent pursuant to Section 5.01(g) of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xml:space="preserve">” means a certificate, signed and certified as accurate and complete by a Financial Officer of the Borrower Representative,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another form which is acceptable to the Administrative Agent in its sole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Borrower Representative for a Revolving Borrowing in accordance with Section 2.03.</w:t>
      </w:r>
    </w:p>
    <w:p>
      <w:pPr>
        <w:spacing w:after="0" w:line="2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Burdensome Restrictions</w:t>
      </w:r>
      <w:r>
        <w:rPr>
          <w:rFonts w:ascii="Times New Roman" w:cs="Times New Roman" w:eastAsia="Times New Roman" w:hAnsi="Times New Roman"/>
          <w:sz w:val="18"/>
          <w:szCs w:val="18"/>
          <w:color w:val="auto"/>
        </w:rPr>
        <w:t>” means any consensual encumbrance or restriction of the type described in clause (a) or (b) of Section 6.10.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5" w:name="page196"/>
    <w:bookmarkEnd w:id="19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or a Sunday) on which banks are open for business in New York City or Chicago.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without duplication, any expenditure or commitment to expend money for any purchase or other acquisition of any asset which would be classified as a fixed or capital asset on a consolidated balance sheet of the Company and its Subsidiaries prepared in accordance with GAAP.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 Floating Rate</w:t>
      </w:r>
      <w:r>
        <w:rPr>
          <w:rFonts w:ascii="Times New Roman" w:cs="Times New Roman" w:eastAsia="Times New Roman" w:hAnsi="Times New Roman"/>
          <w:sz w:val="18"/>
          <w:szCs w:val="18"/>
          <w:color w:val="auto"/>
        </w:rPr>
        <w:t>” means, the greater of the Prime Rate or 2.5%. Any change in the CB Floating Rate due to a change in the Prime Rate shall be effective from and including the effective date of such change in the Prime Rate.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CBFR</w:t>
      </w:r>
      <w:r>
        <w:rPr>
          <w:rFonts w:ascii="Times New Roman" w:cs="Times New Roman" w:eastAsia="Times New Roman" w:hAnsi="Times New Roman"/>
          <w:sz w:val="18"/>
          <w:szCs w:val="18"/>
          <w:color w:val="auto"/>
        </w:rPr>
        <w:t>”, when used in reference to: (a) a rate of interest, refers to the CB Floating Rate, and (b) any Loan or Borrowing, refers to whether such Loan, or the Loans comprising such Borrowing, bear interest at a rate determined by reference to the CB Floating Rate.</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 the acquisition of ownership, directly or indirectly, beneficially or of record, by any Person or group (within the meaning of the Securities Exchange Act of 1934 and the rules of the SEC thereunder as in effect on the date hereof) other than Permitted Holders, of Equity Interests representing more than 30% of the aggregate ordinary voting power represented by the issued and outstanding Equity Interests of the Company;</w:t>
      </w:r>
    </w:p>
    <w:p>
      <w:pPr>
        <w:spacing w:after="0" w:line="1" w:lineRule="exact"/>
        <w:rPr>
          <w:sz w:val="20"/>
          <w:szCs w:val="20"/>
          <w:color w:val="auto"/>
        </w:rPr>
      </w:pPr>
    </w:p>
    <w:p>
      <w:pPr>
        <w:jc w:val="both"/>
        <w:ind w:firstLine="8"/>
        <w:spacing w:after="0" w:line="252" w:lineRule="auto"/>
        <w:tabs>
          <w:tab w:leader="none" w:pos="27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occupation at any time of a majority of the seats (other than vacant seats) on the board of directors of the Company by Persons who were not (i) directors of the Company on the date of this Agreement, nominated, appointed or approved for consideration by shareholders for election by the board of directors of the Company (ii) approved by the board of directors of the Company as director candidates prior to their election, nor (iii) appointed by directors so nominated, appointed or approved; or (c) the acquisition of direct or indirect Control of the Company by any Person or group (within the meaning of the Securities Exchange Act of 1934 and the rules of the SEC thereunder as in effect on the date hereof) other than Permitted Holders; or (d) the Company shall cease to own, directly or indirectly, free and clear of all Liens or other encumbrances, at least 100% of the outstanding voting Equity Interests of the other Loan Parties on a fully diluted basis.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6" w:name="page197"/>
    <w:bookmarkEnd w:id="19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when used in reference to any Loan or Borrowing, refers to whether such Loan, or the Loans comprising such Borrowing, are Revolving Loans, Swingline Loans, Protective Advances or Overadvances.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 Term SOFR Administrator</w:t>
      </w:r>
      <w:r>
        <w:rPr>
          <w:rFonts w:ascii="Times New Roman" w:cs="Times New Roman" w:eastAsia="Times New Roman" w:hAnsi="Times New Roman"/>
          <w:sz w:val="18"/>
          <w:szCs w:val="18"/>
          <w:color w:val="auto"/>
        </w:rPr>
        <w:t>” means CME Group Benchmark Administration Limited as administrator of the forward-looking term SOFR (or a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Administrative Agent, on behalf of itself and the Lenders and other Secured Parties, to secure the Secured Obligations, provided that, Collateral shall not include any real property owned by such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Access Agreement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Assignment of Purchase Documents</w:t>
      </w:r>
      <w:r>
        <w:rPr>
          <w:rFonts w:ascii="Times New Roman" w:cs="Times New Roman" w:eastAsia="Times New Roman" w:hAnsi="Times New Roman"/>
          <w:sz w:val="18"/>
          <w:szCs w:val="18"/>
          <w:color w:val="auto"/>
        </w:rPr>
        <w:t>” means that certain Collateral Assignment of Purchase Documents (including any and all supplements thereto), dated as of the Second Amendment Effective Date, between the Company and the Administrative Agent, as the same may be amended, restated, supplemented or otherwise modified from time to time.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theretofore, now or hereafter executed by any Loan Party and delivered to the Administrative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 Account</w:t>
      </w:r>
      <w:r>
        <w:rPr>
          <w:rFonts w:ascii="Times New Roman" w:cs="Times New Roman" w:eastAsia="Times New Roman" w:hAnsi="Times New Roman"/>
          <w:sz w:val="18"/>
          <w:szCs w:val="18"/>
          <w:color w:val="auto"/>
        </w:rPr>
        <w:t>” has the meaning assigned to such term in the Security 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Commercial LC Exposure</w:t>
      </w:r>
      <w:r>
        <w:rPr>
          <w:rFonts w:ascii="Times New Roman" w:cs="Times New Roman" w:eastAsia="Times New Roman" w:hAnsi="Times New Roman"/>
          <w:sz w:val="17"/>
          <w:szCs w:val="17"/>
          <w:color w:val="auto"/>
        </w:rPr>
        <w:t xml:space="preserve">” means, at any time, the sum of (a) the aggregate undrawn amount of all outstanding commercial Letters of Credit </w:t>
      </w:r>
      <w:r>
        <w:rPr>
          <w:rFonts w:ascii="Times New Roman" w:cs="Times New Roman" w:eastAsia="Times New Roman" w:hAnsi="Times New Roman"/>
          <w:sz w:val="17"/>
          <w:szCs w:val="17"/>
          <w:i w:val="1"/>
          <w:iCs w:val="1"/>
          <w:u w:val="single" w:color="auto"/>
          <w:color w:val="auto"/>
        </w:rPr>
        <w:t>plus</w:t>
      </w:r>
    </w:p>
    <w:p>
      <w:pPr>
        <w:spacing w:after="0" w:line="41" w:lineRule="exact"/>
        <w:rPr>
          <w:sz w:val="20"/>
          <w:szCs w:val="20"/>
          <w:color w:val="auto"/>
        </w:rPr>
      </w:pPr>
    </w:p>
    <w:p>
      <w:pPr>
        <w:jc w:val="both"/>
        <w:ind w:firstLine="8"/>
        <w:spacing w:after="0" w:line="255" w:lineRule="auto"/>
        <w:tabs>
          <w:tab w:leader="none" w:pos="2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LC Disbursements relating to commercial Letters of Credit that have not yet been reimbursed by or on behalf of the Borrowers. The Commercial LC Exposure of any Revolving Lender at any time shall be its Applicable Percentage of the aggregate Commercial LC Exposure at such time.</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the sum of such Lender’s Revolving Commitment, together with the commitment of such Lender to acquire participations in Protective Advances hereunder. The initial amount of each Lender's Commitment is set forth on the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or in the Assignment and Assumption or other documentation or record (as such term is defined in Section 9-102(a)(70) of the New York Uniform Commercial Code) as provided in Section 9.04(b)(ii)(C), pursuant to which such Lender shall have assumed its Commitment, as applicable.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means the Schedule attached hereto identified as such.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7" w:name="page198"/>
    <w:bookmarkEnd w:id="19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Commodities Intermediary</w:t>
      </w:r>
      <w:r>
        <w:rPr>
          <w:rFonts w:ascii="Times New Roman" w:cs="Times New Roman" w:eastAsia="Times New Roman" w:hAnsi="Times New Roman"/>
          <w:sz w:val="18"/>
          <w:szCs w:val="18"/>
          <w:color w:val="auto"/>
        </w:rPr>
        <w:t>” has the meaning assigned to such term in Section 8.03(c)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Commodities Intermediary Account</w:t>
      </w:r>
      <w:r>
        <w:rPr>
          <w:rFonts w:ascii="Times New Roman" w:cs="Times New Roman" w:eastAsia="Times New Roman" w:hAnsi="Times New Roman"/>
          <w:sz w:val="18"/>
          <w:szCs w:val="18"/>
          <w:color w:val="auto"/>
        </w:rPr>
        <w:t>” has the meaning assigned to such term in Section 4.01(j).</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has the meaning assigned to such term in Section 4.01(j).</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such term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means a certificate of a Financial Officer of the Borrower Representative in substantially the form of Exhibit 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Disbursement Account</w:t>
      </w:r>
      <w:r>
        <w:rPr>
          <w:rFonts w:ascii="Times New Roman" w:cs="Times New Roman" w:eastAsia="Times New Roman" w:hAnsi="Times New Roman"/>
          <w:sz w:val="18"/>
          <w:szCs w:val="18"/>
          <w:color w:val="auto"/>
        </w:rPr>
        <w:t>” means the account maintained with the Administrative Agent having an account # ending in -6576, and any replacement or additional accounts of the Borrowers maintained with the Administrative Agent as a zero balance, cash management account pursuant to and under any agreement between a Borrower and the Administrative Agent, as modified and amended from time to time, and through which all disbursements of a Borrower, any other Loan Party and any designated Subsidiary of a Borrower are made and settled on a daily basis with no uninvested balance remaining overnight.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Testing Period</w:t>
      </w:r>
      <w:r>
        <w:rPr>
          <w:rFonts w:ascii="Times New Roman" w:cs="Times New Roman" w:eastAsia="Times New Roman" w:hAnsi="Times New Roman"/>
          <w:sz w:val="18"/>
          <w:szCs w:val="18"/>
          <w:color w:val="auto"/>
        </w:rPr>
        <w:t xml:space="preserve">” means a period (a) commencing on the last day of the fiscal month of Borrowers most recently ended prior to a Covenant Trigger Event for which Borrowers have delivered (or are required to have delivered) to Administrative Agent monthly, quarterly or annual financial statements pursuant to </w:t>
      </w:r>
      <w:r>
        <w:rPr>
          <w:rFonts w:ascii="Times New Roman" w:cs="Times New Roman" w:eastAsia="Times New Roman" w:hAnsi="Times New Roman"/>
          <w:sz w:val="18"/>
          <w:szCs w:val="18"/>
          <w:u w:val="single" w:color="auto"/>
          <w:color w:val="auto"/>
        </w:rPr>
        <w:t>Schedule 5.01</w:t>
      </w:r>
      <w:r>
        <w:rPr>
          <w:rFonts w:ascii="Times New Roman" w:cs="Times New Roman" w:eastAsia="Times New Roman" w:hAnsi="Times New Roman"/>
          <w:sz w:val="18"/>
          <w:szCs w:val="18"/>
          <w:color w:val="auto"/>
        </w:rPr>
        <w:t xml:space="preserve"> to this Agreement, and (b) continuing through and including the first day thereafter that Availability has equaled or exceeded (i) for the ninety (90) day period beginning on the Second Amendment Effective Date, the greater of (A) 8.3% of the Aggregate Revolving Commitment or (B) $12,500,000, and (ii) thereafter, the greater of (A) 15% of the Aggregate Revolving Commitment or (B) $22,500,000.</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Trigger Event</w:t>
      </w:r>
      <w:r>
        <w:rPr>
          <w:rFonts w:ascii="Times New Roman" w:cs="Times New Roman" w:eastAsia="Times New Roman" w:hAnsi="Times New Roman"/>
          <w:sz w:val="18"/>
          <w:szCs w:val="18"/>
          <w:color w:val="auto"/>
        </w:rPr>
        <w:t>” means if at any time Availability is less than (i) for the ninety (90) day period beginning on the Second Amendment Effective Date, the greater of (A) 8.3% of the Aggregate Revolving Commitment or (B) $12,500,000, and (ii) thereafter, the greater of (A) 15% of the Aggregate Revolving Commitment or (B) $22,500,000.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5540" w:right="2520" w:hanging="4898"/>
        <w:spacing w:after="0" w:line="563" w:lineRule="auto"/>
        <w:tabs>
          <w:tab w:leader="none" w:pos="131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8" w:name="page199"/>
    <w:bookmarkEnd w:id="198"/>
    <w:p>
      <w:pPr>
        <w:ind w:left="1300" w:hanging="644"/>
        <w:spacing w:after="0"/>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as to any Lender at any time, the sum of such Lender’s Revolving Exposure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the Issuing Bank, the Swingline Lender or any other Lender.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SOFR for the day (such day “</w:t>
      </w:r>
      <w:r>
        <w:rPr>
          <w:rFonts w:ascii="Times New Roman" w:cs="Times New Roman" w:eastAsia="Times New Roman" w:hAnsi="Times New Roman"/>
          <w:sz w:val="18"/>
          <w:szCs w:val="18"/>
          <w:u w:val="single" w:color="auto"/>
          <w:color w:val="auto"/>
        </w:rPr>
        <w:t>SOFR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that is five (5) U.S. Government Securities Business Days prior to (i)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Deficiency Funding Date</w:t>
      </w:r>
      <w:r>
        <w:rPr>
          <w:rFonts w:ascii="Times New Roman" w:cs="Times New Roman" w:eastAsia="Times New Roman" w:hAnsi="Times New Roman"/>
          <w:sz w:val="18"/>
          <w:szCs w:val="18"/>
          <w:color w:val="auto"/>
        </w:rPr>
        <w:t>” has the meaning assigned to such term in Section 2.05(a).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Account Debtor</w:t>
      </w:r>
      <w:r>
        <w:rPr>
          <w:rFonts w:ascii="Times New Roman" w:cs="Times New Roman" w:eastAsia="Times New Roman" w:hAnsi="Times New Roman"/>
          <w:sz w:val="18"/>
          <w:szCs w:val="18"/>
          <w:color w:val="auto"/>
        </w:rPr>
        <w:t>” means any Account Debtor obligated with respect to Accounts having 90-day payment terms that is approved in writing by Administrative Agent in its sole discretion, and for which such approval has not been rescinded in writing by Administrative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9" w:name="page200"/>
    <w:bookmarkEnd w:id="19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Matters</w:t>
      </w:r>
      <w:r>
        <w:rPr>
          <w:rFonts w:ascii="Times New Roman" w:cs="Times New Roman" w:eastAsia="Times New Roman" w:hAnsi="Times New Roman"/>
          <w:sz w:val="18"/>
          <w:szCs w:val="18"/>
          <w:color w:val="auto"/>
        </w:rPr>
        <w:t xml:space="preserve">” means the actions, suits, proceedings and environmental matters disclosed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has the meaning assigned to it in the definition of “Division.”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the division of the assets, liabilities and/or obligations of a Person (the “</w:t>
      </w:r>
      <w:r>
        <w:rPr>
          <w:rFonts w:ascii="Times New Roman" w:cs="Times New Roman" w:eastAsia="Times New Roman" w:hAnsi="Times New Roman"/>
          <w:sz w:val="18"/>
          <w:szCs w:val="18"/>
          <w:u w:val="single" w:color="auto"/>
          <w:color w:val="auto"/>
        </w:rPr>
        <w:t>Dividing Person</w:t>
      </w:r>
      <w:r>
        <w:rPr>
          <w:rFonts w:ascii="Times New Roman" w:cs="Times New Roman" w:eastAsia="Times New Roman" w:hAnsi="Times New Roman"/>
          <w:sz w:val="18"/>
          <w:szCs w:val="18"/>
          <w:color w:val="auto"/>
        </w:rPr>
        <w:t>”) among two or more Persons (whether pursuant to a “plan of division” or similar arrangement), which may or may not include the Dividing Person and pursuant to which the Dividing Person may or may not survive.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 Successor</w:t>
      </w:r>
      <w:r>
        <w:rPr>
          <w:rFonts w:ascii="Times New Roman" w:cs="Times New Roman" w:eastAsia="Times New Roman" w:hAnsi="Times New Roman"/>
          <w:sz w:val="18"/>
          <w:szCs w:val="18"/>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refers to lawful money of the 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a jurisdiction located in the U.S.</w:t>
      </w:r>
    </w:p>
    <w:p>
      <w:pPr>
        <w:spacing w:after="0" w:line="22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means, for any period, Net Income for such period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 without duplication and to the extent deducted in determining Net Income for such period, the sum of (i) Interest Expense for such period, (ii) income tax expense for such period net of tax refunds, (iii) all amounts attributable to depreciation and amortization expense for such period, (iv) any extraordinary non-cash charges for such period and (v) any other non-cash charges for such period (but excluding any non-cash charge in respect of an item that was included in Net Income in a prior period and any non-cash charge that relates to the write-down or write-off of inventory),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without duplication and to the extent included in Net Income, (i) any cash payments made during such period in respect of non-cash charges described in clause (a)(v) taken in a prior period and (ii) any extraordinary gains and any non-cash items of income for such period, all calculated for the Company and its Subsidiaries on a consolidated basis in accordance with GAAP.</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ECP</w:t>
      </w:r>
      <w:r>
        <w:rPr>
          <w:rFonts w:ascii="Times New Roman" w:cs="Times New Roman" w:eastAsia="Times New Roman" w:hAnsi="Times New Roman"/>
          <w:sz w:val="18"/>
          <w:szCs w:val="18"/>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firstLine="8"/>
        <w:spacing w:after="0" w:line="260" w:lineRule="auto"/>
        <w:tabs>
          <w:tab w:leader="none" w:pos="251"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0" w:name="page201"/>
    <w:bookmarkEnd w:id="20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on which the conditions specified in Section 4.01 are satisfied (or waived in accordance with Section 9.02).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web portal access for such Borrower and any other Internet or extranet-based site, whether such electronic system is owned, operated or hosted by the Administrative Agent or any Issuing Bank and any of its respective Related Parties or any other Person, providing for access to data protected by passcodes or other security system.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Accounts</w:t>
      </w:r>
      <w:r>
        <w:rPr>
          <w:rFonts w:ascii="Times New Roman" w:cs="Times New Roman" w:eastAsia="Times New Roman" w:hAnsi="Times New Roman"/>
          <w:sz w:val="18"/>
          <w:szCs w:val="18"/>
          <w:color w:val="auto"/>
        </w:rPr>
        <w:t>” means, at any time, the Accounts of a Borrower which the Administrative Agent determines in its Permitted Discretion are eligible as the basis for the extension of Revolving Loans and Swingline Loans and the issuance of Letters of Credit. Without limiting the Administrative Agent’s discretion provided herein, Eligible Accounts shall not include any Account of a Borrower:</w:t>
      </w:r>
    </w:p>
    <w:p>
      <w:pPr>
        <w:spacing w:after="0" w:line="176" w:lineRule="exact"/>
        <w:rPr>
          <w:sz w:val="20"/>
          <w:szCs w:val="20"/>
          <w:color w:val="auto"/>
        </w:rPr>
      </w:pPr>
    </w:p>
    <w:p>
      <w:pPr>
        <w:ind w:left="1900" w:hanging="596"/>
        <w:spacing w:after="0"/>
        <w:tabs>
          <w:tab w:leader="none" w:pos="19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subject to a first priority perfected security interest in favor of the Administrative Agent;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7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Lien other than (i) a Lien in favor of the Administrative Agent and (ii) a Permitted Encumbrance which does not have priority over the Lien in favor of the Administrative Agent;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1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with respect to which the scheduled due date is more than 60 days (or, with respect to Accounts owing by any Designated Account Debtor, 90 days) after the date of the original invoice therefor, (ii) which is unpaid more than 90 days after the date of the original invoice therefor or more than 60 days after the original due date therefor (“Overage”),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when calculating the amount under this clause (ii), for the same Account Debtor, the Administrative Agent shall include the net amount of such Overage and add back any credits, but only to the extent that such credits do not exceed the total gross receivables from such Account Debtor, or (iii) which has been written off the books of such Borrower or otherwise designated as uncollectible;</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208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owing by an Account Debtor for which more than 50% of the Accounts owing from such Account Debtor and its Affiliates are ineligible pursuant to clause (c) above;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6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owing by an Account Debtor to the extent the aggregate amount of Accounts owing from such Account Debtor and its Affiliates to all Borrowers exceeds 20% of the aggregate amount of Eligible Accounts of all Borrowers;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1" w:name="page202"/>
    <w:bookmarkEnd w:id="201"/>
    <w:p>
      <w:pPr>
        <w:jc w:val="both"/>
        <w:ind w:left="-460" w:firstLine="644"/>
        <w:spacing w:after="0" w:line="266" w:lineRule="auto"/>
        <w:tabs>
          <w:tab w:leader="none" w:pos="87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covenant, representation or warranty contained in this Agreement or in the Security Agreement has been breached or is not true in each case in any material respect (other than any covenant, representation or warranty that is expressly qualified by a Material Adverse Effect or other materiality, in which case such covenant, representation or warranty shall be true and correct in all respects);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0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 does not arise from the sale of goods or performance of services in the ordinary course of business, (ii) is not evidenced by an invoice or other documentation satisfactory to the Administrative Agent which has been sent to the Account Debtor, (iii) represents a progress billing, (iv) is contingent upon such Borrower’s completion of any further performance, (v) represents a sale on a bill-and-hold, guaranteed sale, sale-and-return, sale on approval, consignment, cash-on-delivery or any other repurchase or return basis or (vi) relates to payments of interest;</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86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goods giving rise to such Account have not been shipped to the Account Debtor or for which the services giving rise to such Account have not been performed by such Borrower or if such Account was invoiced more than once;</w:t>
      </w:r>
    </w:p>
    <w:p>
      <w:pPr>
        <w:spacing w:after="0" w:line="161" w:lineRule="exact"/>
        <w:rPr>
          <w:rFonts w:ascii="Times New Roman" w:cs="Times New Roman" w:eastAsia="Times New Roman" w:hAnsi="Times New Roman"/>
          <w:sz w:val="18"/>
          <w:szCs w:val="18"/>
          <w:color w:val="auto"/>
        </w:rPr>
      </w:pPr>
    </w:p>
    <w:p>
      <w:pPr>
        <w:ind w:left="760" w:hanging="576"/>
        <w:spacing w:after="0"/>
        <w:tabs>
          <w:tab w:leader="none" w:pos="7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check or other instrument of payment has been returned uncollected for any reason;</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9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which has (i) applied for, suffered, or consented to the appointment of any receiver, custodian, trustee, or liquidator of its assets, (ii)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any state or federal bankruptcy laws, (iv) admitted in writing its inability, or is generally unable to, pay its debts as they become due, (v) become insolvent, or (vi) ceased operation of its business;</w:t>
      </w:r>
    </w:p>
    <w:p>
      <w:pPr>
        <w:spacing w:after="0" w:line="183"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any Account Debtor which has sold all or substantially all of its assets;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5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which (i) does not maintain its chief executive office in the U.S. or Canada or (ii) is not organized under applicable law of the U.S., any state of the U.S., or the District of Columbia, Canada, or any province of Canada unless, in any such case, such Account is backed by a Letter of Credit acceptable to the Administrative Agent which is in the possession of, and is directly drawable by, the Administrative Agent;</w:t>
      </w:r>
    </w:p>
    <w:p>
      <w:pPr>
        <w:spacing w:after="0" w:line="179"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in any currency other than U.S. dollars;</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43"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is owed by (i) any government (or any department, agency, public corporation, or instrumentality thereof) of any country other than the U.S. unless such Account is backed by a Letter of Credit acceptable to the Administrative Agent which is in the possession of, and is directly drawable by, the Administrative Agent, or (ii) any government of the U.S., or any department, agency, public corporation, or instrumentality thereof, unless the Federal Assignment of Claims Act of 1940, as amended (31 U.S.C. § 3727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and 41 U.S.C. § 15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and any other steps necessary to perfect the Lien of the Administrative Agent in such Account have been complied with to the Administrative Agent’s satisfaction;</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86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any Affiliate of any Loan Party or any employee, officer, director, agent or stockholder of any Loan Party or any of its Affiliates;</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02" w:name="page203"/>
    <w:bookmarkEnd w:id="202"/>
    <w:p>
      <w:pPr>
        <w:ind w:left="1920" w:hanging="616"/>
        <w:spacing w:after="0"/>
        <w:tabs>
          <w:tab w:leader="none" w:pos="19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for any Account Debtor, exceeds a credit limit determined by the Administrative Agent, to the extent of such excess;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2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counterclaim, deduction, defense, setoff or dispute (in each case, only to the extent of such counterclaim, deduction, defense, setoff or dispute);</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evidenced by any promissory note, chattel paper or instrument;</w:t>
      </w:r>
    </w:p>
    <w:p>
      <w:pPr>
        <w:spacing w:after="0" w:line="22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202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owed by an Account Debtor (i) located in any jurisdiction which requires filing of a “Notice of Business Activities Report” or other similar report in order to permit such Borrower to seek judicial enforcement in such jurisdiction of payment of such Account, unless such Borrower has filed such report or qualified to do business in such jurisdiction or (ii) which is a Sanctioned Person;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such Borrower has made any agreement with the Account Debtor for any reduction thereof, other than discounts and adjustments given in the ordinary course of business and only to the extent of such reduction, or any Account which was partially paid and such Borrower created a new receivable for the unpaid portion of such Account;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does not comply in all material respects with the requirements of all applicable laws and regulations, whether Federal, state or local, including without limitation the Federal Consumer Credit Protection Act, the Federal Truth in Lending Act and Regulation Z of the Board;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1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for goods that have been sold under a purchase order or pursuant to the terms of a contract or other agreement or understanding (written or oral) that indicates or purports that any Person other than such Borrower has or has had an ownership interest in such goods, or which indicates any party other than such Borrower as payee or remittance party;</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was created on cash on delivery terms;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acquired in connection with a Permitted Acquisition, (i) the Administrative Agent shall have received a field examination of such Account, the results of which shall are satisfactory to the Administrative Agent and (ii) such Account does not secure any Indebtedness permitted by Section 6.01(j); or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3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Administrative Agent determines may not be paid by reason of the Account Debtor’s inability to pay or which the Administrative Agent otherwise reasonably determines is unacceptable for any reason whatsoever.</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an Account of a Borrower which was previously an Eligible Account ceases to be an Eligible Account hereunder, such Borrower or the Borrower Representative shall notify the Administrative Agent thereof on and at the time of submission to the Administrative Agent of the next Borrowing Base Certificate. In determining the amount of an Eligible Account of a Borrower,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such Borrower may be obligated to rebate to an Account Debtor pursuant to the terms of any agreement or understanding (written or oral)) and</w:t>
      </w:r>
    </w:p>
    <w:p>
      <w:pPr>
        <w:spacing w:after="0" w:line="5" w:lineRule="exact"/>
        <w:rPr>
          <w:sz w:val="20"/>
          <w:szCs w:val="20"/>
          <w:color w:val="auto"/>
        </w:rPr>
      </w:pPr>
    </w:p>
    <w:p>
      <w:pPr>
        <w:ind w:left="280" w:hanging="272"/>
        <w:spacing w:after="0"/>
        <w:tabs>
          <w:tab w:leader="none" w:pos="2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all cash received in respect of such Account but not yet applied by such Borrower to reduce the amount of such Account.</w:t>
      </w:r>
    </w:p>
    <w:p>
      <w:pPr>
        <w:spacing w:after="0" w:line="20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3" w:name="page204"/>
    <w:bookmarkEnd w:id="20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Equipment</w:t>
      </w:r>
      <w:r>
        <w:rPr>
          <w:rFonts w:ascii="Times New Roman" w:cs="Times New Roman" w:eastAsia="Times New Roman" w:hAnsi="Times New Roman"/>
          <w:sz w:val="18"/>
          <w:szCs w:val="18"/>
          <w:color w:val="auto"/>
        </w:rPr>
        <w:t>” means the Equipment owned by a Borrower and meeting each of the following requirements:</w:t>
      </w:r>
    </w:p>
    <w:p>
      <w:pPr>
        <w:spacing w:after="0" w:line="225" w:lineRule="exact"/>
        <w:rPr>
          <w:sz w:val="20"/>
          <w:szCs w:val="20"/>
          <w:color w:val="auto"/>
        </w:rPr>
      </w:pPr>
    </w:p>
    <w:p>
      <w:pPr>
        <w:ind w:left="660" w:firstLine="1292"/>
        <w:spacing w:after="0" w:line="282" w:lineRule="auto"/>
        <w:tabs>
          <w:tab w:leader="none" w:pos="241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shall have received the results of an appraisal with respect to such Equipment, conducted by an appraiser selected and engaged by the Administrative Agent, and prepared on a basis satisfactory to the Administrative Agent;</w:t>
      </w:r>
    </w:p>
    <w:p>
      <w:pPr>
        <w:spacing w:after="0" w:line="16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has good title to such Equipment;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6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has the right to subject such Equipment to a Lien in favor of the Administrative Agent; such Equipment is subject to a first priority perfected Lien in favor of the Administrative Agent and is free and clear of all other Liens of any nature whatsoever (except for Permitted Encumbrances which do not have priority over the Lien in favor of the Administrative Agent);</w:t>
      </w:r>
    </w:p>
    <w:p>
      <w:pPr>
        <w:spacing w:after="0" w:line="17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purchase price for such Equipment has been paid by such Borrower;</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37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Equipment is located on premises (i) owned by such Borrower, or (ii) leased by such Borrower where (x) the lessor has delivered to the Administrative Agent a Collateral Access Agreement or (y) a Reserve for rent, charges, and other amounts due or to become due with respect to such facility has been established by the Administrative Agent in its sole discretion;</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35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Equipment is in good working order and condition (ordinary wear and tear excepted) and is used or held for use by such Borrower in the ordinary course of business of such Borrower;</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4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Equipment (i) is not subject to any agreement which restricts the ability of such Borrower to use, sell, transport or dispose of such Equipment or which restricts the Administrative Agent's ability to take possession of, sell or otherwise dispose of such Equipment and (ii) has not been purchased from a Sanctioned Person; and</w:t>
      </w:r>
    </w:p>
    <w:p>
      <w:pPr>
        <w:spacing w:after="0" w:line="17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Equipment does not constitute “Fixtures” under the applicable laws of the jurisdiction in which such Equipment is</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Finished Goods</w:t>
      </w:r>
      <w:r>
        <w:rPr>
          <w:rFonts w:ascii="Times New Roman" w:cs="Times New Roman" w:eastAsia="Times New Roman" w:hAnsi="Times New Roman"/>
          <w:sz w:val="18"/>
          <w:szCs w:val="18"/>
          <w:color w:val="auto"/>
        </w:rPr>
        <w:t>” means, Eligible Inventory constituting finished goods to be sold by a Borrower in the ordinary course of business of such Borrower.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Inventory</w:t>
      </w:r>
      <w:r>
        <w:rPr>
          <w:rFonts w:ascii="Times New Roman" w:cs="Times New Roman" w:eastAsia="Times New Roman" w:hAnsi="Times New Roman"/>
          <w:sz w:val="18"/>
          <w:szCs w:val="18"/>
          <w:color w:val="auto"/>
        </w:rPr>
        <w:t>” means, at any time, the Inventory of a Borrower which the Administrative Agent determines in its Permitted Discretion is eligible as the basis for the extension of Revolving Loans and Swingline Loans and the issuance of Letters of Credit. Without limiting the Administrative Agent’s discretion provided herein, Eligible Inventory of a Borrower shall not include any Inventory:</w:t>
      </w:r>
    </w:p>
    <w:p>
      <w:pPr>
        <w:spacing w:after="0" w:line="176" w:lineRule="exact"/>
        <w:rPr>
          <w:sz w:val="20"/>
          <w:szCs w:val="20"/>
          <w:color w:val="auto"/>
        </w:rPr>
      </w:pPr>
    </w:p>
    <w:p>
      <w:pPr>
        <w:ind w:left="5540" w:right="2200" w:hanging="3588"/>
        <w:spacing w:after="0" w:line="532" w:lineRule="auto"/>
        <w:tabs>
          <w:tab w:leader="none" w:pos="256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subject to a first priority perfected Lien in favor of the Administrative Agent;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4" w:name="page205"/>
    <w:bookmarkEnd w:id="204"/>
    <w:p>
      <w:pPr>
        <w:ind w:left="-460" w:firstLine="1292"/>
        <w:spacing w:after="0" w:line="282" w:lineRule="auto"/>
        <w:tabs>
          <w:tab w:leader="none" w:pos="14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subject to any Lien other than (i) a Lien in favor of the Administrative Agent and (ii) a Permitted Encumbrance which does not have priority over the Lien in favor of the Administrative Agent;</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50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in the Administrative Agent’s Permitted Discretion, slow moving, obsolete, unmerchantable, defective, used, unfit for sale, not salable at prices approximating at least the cost of such Inventory in the ordinary course of business or unacceptable due to age, type, category and/or quantity;</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72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which any covenant, representation or warranty contained in this Agreement or in the Security Agreement has been breached or is not true in each case in any material respect (other than any covenant, representation or warranty that is expressly qualified by a Material Adverse Effect or other materiality, in which case such covenant, representation or warranty shall be true and correct in all respects) and which does not conform in all material respects to all standards imposed by any Governmental Authority;</w:t>
      </w:r>
    </w:p>
    <w:p>
      <w:pPr>
        <w:spacing w:after="0" w:line="179"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49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Person other than such Borrower shall (i) have any direct or indirect ownership, interest or title or (ii) be indicated on any purchase order or invoice with respect to such Inventory as having or purporting to have an interest therein;</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474"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unless such Inventory is Eligible Finished Goods or Eligible Raw Materials, does not constitute finished goods, work-in-process, raw materials,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w:t>
      </w:r>
    </w:p>
    <w:p>
      <w:pPr>
        <w:spacing w:after="0" w:line="179" w:lineRule="exact"/>
        <w:rPr>
          <w:rFonts w:ascii="Times New Roman" w:cs="Times New Roman" w:eastAsia="Times New Roman" w:hAnsi="Times New Roman"/>
          <w:sz w:val="18"/>
          <w:szCs w:val="18"/>
          <w:color w:val="auto"/>
        </w:rPr>
      </w:pPr>
    </w:p>
    <w:p>
      <w:pPr>
        <w:ind w:left="1440" w:hanging="608"/>
        <w:spacing w:after="0"/>
        <w:tabs>
          <w:tab w:leader="none" w:pos="14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located in the U.S. or is in transit with a common carrier from vendors and suppliers.</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46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located in any location leased by such Borrower unless (i) the lessor has delivered to the Administrative Agent a Collateral Access Agreement or (ii) a Reserve for rent, charges and other amounts due or to become due with respect to such facility has been established by the Administrative Agent in its sole discretion;</w:t>
      </w:r>
    </w:p>
    <w:p>
      <w:pPr>
        <w:spacing w:after="0" w:line="175"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41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located in any third party warehouse or is in the possession of a bailee (other than a third party processor) and is not evidenced by a Document, unless (i) such warehouseman or bailee has delivered to the Administrative Agent a Collateral Access Agreement and such other documentation as the Administrative Agent may require or (ii) an appropriate Reserve has been established by the Administrative Agent in its sole discretion;</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4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being processed offsite at a third party location or outside processor, or is in-transit to or from such third party location or outside processor; provided that, with respect to Inventory that is a Plateplus Asset and located at a location of Plateplus Inc., such Inventory will not be rendered ineligible solely by virtue of this clause (j) (i) during the period of thirty (30) days after the Second Amendment Effective Date (or such later date as may be agreed in writing by the Administrative Agent in its sole discretion) or (ii) to the extent that Borrowers have delivered to Administrative Agent a Collateral Access Agreement executed by Plateplus Inc. and such other documentation as the Administrative Agent may require;</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05" w:name="page206"/>
    <w:bookmarkEnd w:id="205"/>
    <w:p>
      <w:pPr>
        <w:ind w:left="2560" w:hanging="608"/>
        <w:spacing w:after="0"/>
        <w:tabs>
          <w:tab w:leader="none" w:pos="25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a discontinued product or component thereof;</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the subject of a consignment by such Borrower as consignor;</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perishable;</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5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contains or bears any intellectual property rights licensed to such Borrower unless the Administrative Agent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179"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not reflected in a current perpetual inventory report of such Borrower;</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reclamation rights have been asserted by the seller;</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been acquired from a Sanctioned Person;</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4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acquired in connection with a Permitted Acquisition, (i) the Administrative Agent shall have received an appraisal and field examination of such Inventory, the results of which shall be satisfactory to the Administrative Agent in its Permitted Discretion and (ii) such Inventory does not secure any Indebtedness permitted by Section 6.01(j); and</w:t>
      </w:r>
    </w:p>
    <w:p>
      <w:pPr>
        <w:spacing w:after="0" w:line="175" w:lineRule="exact"/>
        <w:rPr>
          <w:rFonts w:ascii="Times New Roman" w:cs="Times New Roman" w:eastAsia="Times New Roman" w:hAnsi="Times New Roman"/>
          <w:sz w:val="18"/>
          <w:szCs w:val="18"/>
          <w:color w:val="auto"/>
        </w:rPr>
      </w:pPr>
    </w:p>
    <w:p>
      <w:pPr>
        <w:ind w:left="2800" w:hanging="848"/>
        <w:spacing w:after="0"/>
        <w:tabs>
          <w:tab w:leader="none" w:pos="280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the Administrative Agent otherwise determines in its Permitted Discretion is unacceptable for any reason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whatsoever.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Inventory of a Borrower which was previously Eligible Inventory ceases to be Eligible Inventory hereunder, such Borrower or the Borrower Representative shall notify the Administrative Agent thereof on and at the time of submission to the Administrative Agent of the next Borrowing Base Certificate.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Raw Materials</w:t>
      </w:r>
      <w:r>
        <w:rPr>
          <w:rFonts w:ascii="Times New Roman" w:cs="Times New Roman" w:eastAsia="Times New Roman" w:hAnsi="Times New Roman"/>
          <w:sz w:val="18"/>
          <w:szCs w:val="18"/>
          <w:color w:val="auto"/>
        </w:rPr>
        <w:t>” means, Eligible Inventory of a Borrower constituting raw materials used or consumed by a Borrower in the ordinary course of business in the manufacture or production of other inventory, excluding Eligible Finished Goods of such Borrower.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relating in any way to (a) the environment, (b) preservation or reclamation of natural resources, (c) the management, Release or threatened Release of any Hazardous Material or (d) health and safety matters.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any Borrower or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6" w:name="page207"/>
    <w:bookmarkEnd w:id="20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 Borrower, is treated as a single employer under Section 414(b) or (c) of the Code or Section 4001(14) of ERISA or, solely for purposes of Section 302 of ERISA and Section 412 of the Code, is treated as a single employer under Section 414 of the Code.</w:t>
      </w:r>
    </w:p>
    <w:p>
      <w:pPr>
        <w:spacing w:after="0" w:line="176"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any Borrower or any ERISA Affiliate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ERISA Affiliate of any liability with respect to the withdrawal or partial withdrawal of any Borrower or any ERISA Affiliate from any Plan or Multiemployer Plan; or (g) the receipt by any Borrower or any ERISA Affiliate of any notice, or the receipt by any Multiemployer Plan from any Borrower or any ERISA Affiliate of any notice, concerning the imposition upon any Borrower or any ERISA Affiliate of Withdrawal Liability or a determination that a Multiemployer Plan is, or is expected to be, insolvent, in critical status or in reorganization, within the meaning of Title IV of ERISA.</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Availability</w:t>
      </w:r>
      <w:r>
        <w:rPr>
          <w:rFonts w:ascii="Times New Roman" w:cs="Times New Roman" w:eastAsia="Times New Roman" w:hAnsi="Times New Roman"/>
          <w:sz w:val="18"/>
          <w:szCs w:val="18"/>
          <w:color w:val="auto"/>
        </w:rPr>
        <w:t xml:space="preserve">” means, at any time, an amount equal to (a) Availability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aggregate amount of all outstanding trade payables of the Borrowers which have been unpaid for more than 60 days after the due date therefor (other than trade payables being contested or disputed in good faith), all as determined by the Administrative Agent in its sole discretion.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7" w:name="page208"/>
    <w:bookmarkEnd w:id="20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50" w:lineRule="auto"/>
        <w:tabs>
          <w:tab w:leader="none" w:pos="21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Section 2.19)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attributable to such Recipient's failure to comply with Section 2.17(f); and (d) any withholding Taxes imposed under FATCA.</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Extenuating Circumstance</w:t>
      </w:r>
      <w:r>
        <w:rPr>
          <w:rFonts w:ascii="Times New Roman" w:cs="Times New Roman" w:eastAsia="Times New Roman" w:hAnsi="Times New Roman"/>
          <w:sz w:val="18"/>
          <w:szCs w:val="18"/>
          <w:color w:val="auto"/>
        </w:rPr>
        <w:t>” means any period during which the Administrative Agent has determined in its sole discretion (a) that due to unforeseen and/or nonrecurring circumstances, it is impractical and/or not feasible to submit or receive a Borrowing Request or Interest Election Request by email or fax or through Electronic System, and (b) to accept a Borrowing Request or Interest Election Request telephonically.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zero, such rate shall be deemed to be zero for the purposes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that certain Fee Letter by and among Administrative Agent and the Borrowers, dated as of May 19, 2021, as the same may be amended, restated,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a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means March 11, 2022.</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xml:space="preserve">” means, at any date, the ratio of (a) EBITDA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Unfinanced Capital Expenditures to (b) Fixed Charges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an amount equal to the M&amp;E Component Reduction for such period, all calculated for the period of twelve consecutive calendar months ended on such date (or, if such date is not the last day of a calendar month, ended on the last day of the calendar month most recently ended prior to such date).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8" w:name="page209"/>
    <w:bookmarkEnd w:id="208"/>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xml:space="preserve">” means, for any period, without duplication, cash Interest Expense,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scheduled principal payments on Indebtedness actually made,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expenses for Taxes paid in cash,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Restricted Payments paid in cash,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Capital Lease Obligation payments,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cash contributions to any Plan, all calculated for the Company and its Subsidiaries on a consolidated basis in accordance with GAAP.</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has the meaning assigned to such term in Section 8.10.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the Adjusted Term SOFR Rate or the Adjusted Daily Simple SOFR, as applicable. For the avoidance of doubt, the initial Floor for each of the Adjusted Term SOFR Rate or the Adjusted Daily Simple SOFR as of the Second Amendment Effective Date shall be 0%.</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which is not a Domestic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Accounts</w:t>
      </w:r>
      <w:r>
        <w:rPr>
          <w:rFonts w:ascii="Times New Roman" w:cs="Times New Roman" w:eastAsia="Times New Roman" w:hAnsi="Times New Roman"/>
          <w:sz w:val="18"/>
          <w:szCs w:val="18"/>
          <w:color w:val="auto"/>
        </w:rPr>
        <w:t>” has the meaning assigned to such term in Section 4.01(h).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w:t>
      </w:r>
    </w:p>
    <w:p>
      <w:pPr>
        <w:spacing w:after="0" w:line="3" w:lineRule="exact"/>
        <w:rPr>
          <w:sz w:val="20"/>
          <w:szCs w:val="20"/>
          <w:color w:val="auto"/>
        </w:rPr>
      </w:pPr>
    </w:p>
    <w:p>
      <w:pPr>
        <w:jc w:val="both"/>
        <w:ind w:firstLine="8"/>
        <w:spacing w:after="0" w:line="255" w:lineRule="auto"/>
        <w:tabs>
          <w:tab w:leader="none" w:pos="26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shall not include endorsements for collection or deposit in the ordinary course of business.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has the meaning assigned to such term in Section 10.01.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09" w:name="page210"/>
    <w:bookmarkEnd w:id="20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IBA</w:t>
      </w:r>
      <w:r>
        <w:rPr>
          <w:rFonts w:ascii="Times New Roman" w:cs="Times New Roman" w:eastAsia="Times New Roman" w:hAnsi="Times New Roman"/>
          <w:sz w:val="18"/>
          <w:szCs w:val="18"/>
          <w:color w:val="auto"/>
        </w:rPr>
        <w:t>” has the meaning assigned to such term in Section 1.05.</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under any earn-out (which for all purposes of this Agreement shall be valued at the maximum potential amount payable with respect to such earn-out) (l) any other Off-Balance Sheet Liability and (m)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the foregoing clause (a) hereof,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assigned to such term in Section 9.03(c).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assigned to such term in Section 9.12.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Representative to convert or continue a Borrowing in accordance with Section 2.08.</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Expense</w:t>
      </w:r>
      <w:r>
        <w:rPr>
          <w:rFonts w:ascii="Times New Roman" w:cs="Times New Roman" w:eastAsia="Times New Roman" w:hAnsi="Times New Roman"/>
          <w:sz w:val="18"/>
          <w:szCs w:val="18"/>
          <w:color w:val="auto"/>
        </w:rPr>
        <w:t>” means, for any period, total interest expense (including that attributable to Capital Lease Obligations) of the Company and its Subsidiaries for such period with respect to all outstanding Indebtedness of the Company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on a consolidated basis for the Company and its Subsidiaries for such period in accordance with GAAP.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0" w:name="page211"/>
    <w:bookmarkEnd w:id="2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(a) with respect to any CBFR Loan (other than a Swingline Loan), the first Business Day of each calendar month and the Maturity Date, and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Representative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2.14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individually and collectively, each of JPMCB, in its capacity as the issuer of Letters of Credit hereunder and any other Revolving Lender from time to time designated by the Borrower Representative as an Issuing Bank, with the consent of such Revolving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 Sublimit</w:t>
      </w:r>
      <w:r>
        <w:rPr>
          <w:rFonts w:ascii="Times New Roman" w:cs="Times New Roman" w:eastAsia="Times New Roman" w:hAnsi="Times New Roman"/>
          <w:sz w:val="18"/>
          <w:szCs w:val="18"/>
          <w:color w:val="auto"/>
        </w:rPr>
        <w:t>” means, as of the Second Amendment Effective Date, (a) $15,000,000, in the case of JPMCB and (b) such amount as shall be designated to the Administrative Agent and the Borrower Representative in writing by an Issuing Bank; provided that any Issuing Bank shall be permitted at any time to increase or reduce its Issuing Bank Sublimit upon providing five (5) days’ prior written notice thereof to the Administrative Agent and the Borrower Representative.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1" w:name="page212"/>
    <w:bookmarkEnd w:id="2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means a Joinder Agreement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JPMCB</w:t>
      </w:r>
      <w:r>
        <w:rPr>
          <w:rFonts w:ascii="Times New Roman" w:cs="Times New Roman" w:eastAsia="Times New Roman" w:hAnsi="Times New Roman"/>
          <w:sz w:val="18"/>
          <w:szCs w:val="18"/>
          <w:color w:val="auto"/>
        </w:rPr>
        <w:t>” means JPMorgan Chase Bank, N.A., a national banking association, in its individual capacity, and its successors.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has the meaning assigned to such term in Section 2.06(j).</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any payment made by an Issuing Bank pursuant to a Letter of Credit.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the Commercial LC Exposure and the Standby LC Exposure at such time. The LC Exposure of any Revolving Lender at any time shall be its Applicable Percentage of the aggregate LC Exposure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has the meaning assigned to such term in Section 9.03(b).</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and any other Person that shall have become a Lender hereunder pursuant to Section 2.09 or an Assignment and Assumption or otherwise, other than any such Person that ceases to be a Lender hereunder pursuant to an Assignment and Assumption or otherwise. Unless the context otherwise requires, the term “Lenders” includes the Swingline Lender and the Issuing Bank.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means the letters of credit issued pursuant to this Agreement, and the term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one of them or each of them singularly, as the context may require.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Agreement</w:t>
      </w:r>
      <w:r>
        <w:rPr>
          <w:rFonts w:ascii="Times New Roman" w:cs="Times New Roman" w:eastAsia="Times New Roman" w:hAnsi="Times New Roman"/>
          <w:sz w:val="18"/>
          <w:szCs w:val="18"/>
          <w:color w:val="auto"/>
        </w:rPr>
        <w:t>” has the meaning assigned to it in Section 2.06(b).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losses, claims (including intraparty claims), demands, damages or liabilities of any kind.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any promissory notes issued pursuant to this Agreement, any Letter of Credit Agreement, the Collateral Documents, the Negative Pledge Agreement, the Collateral Assignment of Purchase Documents, each Compliance Certificate, the Loan Guaranty, the Fee Letter, the Second Amendment Fee Letter and all other agreements, instruments, documents and certificates executed and delivered to, or in favor of, the Administrative Agent or any Lender and including all other pledges, powers of attorney, consents, assignments, contracts, notices, letter of credit agreements, letter of credit applications and any agreements between the Borrower Representative and the Issuing Bank regarding the Issuing Bank’s Issuing Bank Sublimit or the respective rights and obligations between the applicable Borrower and the Issuing Bank in connection with the issuance by the Issuing Bank of Letters of Credit,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2" w:name="page213"/>
    <w:bookmarkEnd w:id="2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Guarantor</w:t>
      </w:r>
      <w:r>
        <w:rPr>
          <w:rFonts w:ascii="Times New Roman" w:cs="Times New Roman" w:eastAsia="Times New Roman" w:hAnsi="Times New Roman"/>
          <w:sz w:val="18"/>
          <w:szCs w:val="18"/>
          <w:color w:val="auto"/>
        </w:rPr>
        <w:t>” means each Loan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Guaranty</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Borrowers, the Borrowers’ Domestic Subsidiaries and any other Person who becomes a party to this Agreement pursuant to a Joinder Agreement and their respective successors and assigns, and the term “Loan Party” shall mean any one of them or all of them individually, as the context may require.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and advances made by the Lenders pursuant to this Agreement, including Swingline Loans, Overadvances and Protective Advances.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M&amp;E Component</w:t>
      </w:r>
      <w:r>
        <w:rPr>
          <w:rFonts w:ascii="Times New Roman" w:cs="Times New Roman" w:eastAsia="Times New Roman" w:hAnsi="Times New Roman"/>
          <w:sz w:val="18"/>
          <w:szCs w:val="18"/>
          <w:color w:val="auto"/>
        </w:rPr>
        <w:t xml:space="preserve">” means, at the time of any determination, an amount equal to the lessor of (a) 85% of the Net Orderly Liquidation Value of the Borrowers’ Eligible Equipment and (b) the M&amp;E Component 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until the Administrative Agent has received the results of an appraisal with respect to such Eligible Equipment on a basis satisfactory to the Administrative Agent in its sole discretion, the M&amp;E Component shall be $0.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M&amp;E Component shall be updated (i) from time to time upon receipt of periodic valuation updates received from the Administrative Agent’s asset valuation experts, (ii) concurrently with the sale or commitment to sell any assets constituting part of the M&amp;E Component, (iii) in the event such assets are idled for any reason other than routine maintenance or repairs for a period in excess of ten (10) consecutive days, and (iv) in the event that the value of such assets is otherwise impaired, as determined by the Administrative Agent in its Permitted Discretion.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M&amp;E Component Limit</w:t>
      </w:r>
      <w:r>
        <w:rPr>
          <w:rFonts w:ascii="Times New Roman" w:cs="Times New Roman" w:eastAsia="Times New Roman" w:hAnsi="Times New Roman"/>
          <w:sz w:val="18"/>
          <w:szCs w:val="18"/>
          <w:color w:val="auto"/>
        </w:rPr>
        <w:t xml:space="preserve">” means, initially,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on the first Business Day of the first calendar month to occur after Agent has received the results of an appraisal with respect to such Eligible Equipment and the Borrowing Base is increased by the M&amp;E Component (the “</w:t>
      </w:r>
      <w:r>
        <w:rPr>
          <w:rFonts w:ascii="Times New Roman" w:cs="Times New Roman" w:eastAsia="Times New Roman" w:hAnsi="Times New Roman"/>
          <w:sz w:val="18"/>
          <w:szCs w:val="18"/>
          <w:u w:val="single" w:color="auto"/>
          <w:color w:val="auto"/>
        </w:rPr>
        <w:t>M&amp;E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Inclusion Date</w:t>
      </w:r>
      <w:r>
        <w:rPr>
          <w:rFonts w:ascii="Times New Roman" w:cs="Times New Roman" w:eastAsia="Times New Roman" w:hAnsi="Times New Roman"/>
          <w:sz w:val="18"/>
          <w:szCs w:val="18"/>
          <w:color w:val="auto"/>
        </w:rPr>
        <w:t xml:space="preserve">”, and on the first Business Day of each calendar month thereafter, such amount shall be reduced by an amount equal to (x) $5,000,000 </w:t>
      </w:r>
      <w:r>
        <w:rPr>
          <w:rFonts w:ascii="Times New Roman" w:cs="Times New Roman" w:eastAsia="Times New Roman" w:hAnsi="Times New Roman"/>
          <w:sz w:val="18"/>
          <w:szCs w:val="18"/>
          <w:i w:val="1"/>
          <w:iCs w:val="1"/>
          <w:color w:val="auto"/>
        </w:rPr>
        <w:t xml:space="preserve">divided by </w:t>
      </w:r>
      <w:r>
        <w:rPr>
          <w:rFonts w:ascii="Times New Roman" w:cs="Times New Roman" w:eastAsia="Times New Roman" w:hAnsi="Times New Roman"/>
          <w:sz w:val="18"/>
          <w:szCs w:val="18"/>
          <w:color w:val="auto"/>
        </w:rPr>
        <w:t>(y) the total number of calendar months from the M&amp;E Inclusion Date through and including the month in which the Maturity Date is scheduled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occur (the “</w:t>
      </w:r>
      <w:r>
        <w:rPr>
          <w:rFonts w:ascii="Times New Roman" w:cs="Times New Roman" w:eastAsia="Times New Roman" w:hAnsi="Times New Roman"/>
          <w:sz w:val="18"/>
          <w:szCs w:val="18"/>
          <w:u w:val="single" w:color="auto"/>
          <w:color w:val="auto"/>
        </w:rPr>
        <w:t>M&amp;E Component Reduction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means margin stock within the meaning of Regulations T, U and X, as applicable,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operations, prospects or condition, financial or otherwise, of the Company and the other Loan Parties taken as a whole, (b) the ability of any Loan Party to perform any of its Obligations, (c) the Collateral, or the Administrative Agent’s Liens (on behalf of itself and other Secured Parties) on the Collateral or the priority of such Liens, or (d) the rights of or benefits available to the Administrative Agent, the Issuing Bank or the Lenders under any of the Loan Documents.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3" w:name="page214"/>
    <w:bookmarkEnd w:id="2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Agreements</w:t>
      </w:r>
      <w:r>
        <w:rPr>
          <w:rFonts w:ascii="Times New Roman" w:cs="Times New Roman" w:eastAsia="Times New Roman" w:hAnsi="Times New Roman"/>
          <w:sz w:val="18"/>
          <w:szCs w:val="18"/>
          <w:color w:val="auto"/>
        </w:rPr>
        <w:t>” means all material agreements and contracts identified in Section 3.12 of the Disclosure Certificate.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or obligations in respect of one or more Swap Agreements, of any one or more of the Company and its Subsidiaries in an aggregate principal amount exceeding $1,000,000. For purposes of determining Material Indebtedness, the “principal amount” of the obligations of the Borrowers or any Subsidiary in respect of any Swap Agreement at any time shall be the maximum aggregate amount (giving effect to any netting agreements) that such Borrower or such Subsidiary would be required to pay if such Swap Agreement were terminated at such time.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May 19, 2026 or any earlier date on which the Commitments are reduced to zero or otherwise terminated pursuant to the terms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9.17.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Negative Pledge Agreement</w:t>
      </w:r>
      <w:r>
        <w:rPr>
          <w:rFonts w:ascii="Times New Roman" w:cs="Times New Roman" w:eastAsia="Times New Roman" w:hAnsi="Times New Roman"/>
          <w:sz w:val="18"/>
          <w:szCs w:val="18"/>
          <w:color w:val="auto"/>
        </w:rPr>
        <w:t>” means that certain Negative Pledge Agreement (including any and all supplements thereto), dated as of the Second Amendment Effective Date, among the Loan Parties and the Administrative Agent, and any other negative pledge agreement entered into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Income</w:t>
      </w:r>
      <w:r>
        <w:rPr>
          <w:rFonts w:ascii="Times New Roman" w:cs="Times New Roman" w:eastAsia="Times New Roman" w:hAnsi="Times New Roman"/>
          <w:sz w:val="18"/>
          <w:szCs w:val="18"/>
          <w:color w:val="auto"/>
        </w:rPr>
        <w:t xml:space="preserve">” means, for any period, the consolidated net income (or loss) of the Company and its Subsidiaries,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 the income (or deficit) of any Person accrued prior to the date it becomes a Subsidiary or is merged into or consolidated with the Company or any of its Subsidiaries, (b) the income (or deficit) of any Person (other than a Subsidiary) in which the Company or any of its Subsidiaries has an ownership interest, except to the extent that any such income is actually received by the Company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Orderly Liquidation Value</w:t>
      </w:r>
      <w:r>
        <w:rPr>
          <w:rFonts w:ascii="Times New Roman" w:cs="Times New Roman" w:eastAsia="Times New Roman" w:hAnsi="Times New Roman"/>
          <w:sz w:val="18"/>
          <w:szCs w:val="18"/>
          <w:color w:val="auto"/>
        </w:rPr>
        <w:t>” means, with respect to Inventory, Equipment or intangibles of any Person, the orderly liquidation value thereof as determined in a manner acceptable to the Administrative Agent in its Permitted Discretion by an appraiser acceptable to the Administrative Agent, net of all costs of liquidation thereof.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Borrower Representative).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4" w:name="page215"/>
    <w:bookmarkEnd w:id="2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has the meaning assigned to such term in Section 9.02(d).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has the meaning assigned to such term in Section 10.02.</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Off-Balance Sheet Liability</w:t>
      </w:r>
      <w:r>
        <w:rPr>
          <w:rFonts w:ascii="Times New Roman" w:cs="Times New Roman" w:eastAsia="Times New Roman" w:hAnsi="Times New Roman"/>
          <w:sz w:val="18"/>
          <w:szCs w:val="18"/>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5" w:name="page216"/>
    <w:bookmarkEnd w:id="2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Overadvance</w:t>
      </w:r>
      <w:r>
        <w:rPr>
          <w:rFonts w:ascii="Times New Roman" w:cs="Times New Roman" w:eastAsia="Times New Roman" w:hAnsi="Times New Roman"/>
          <w:sz w:val="18"/>
          <w:szCs w:val="18"/>
          <w:color w:val="auto"/>
        </w:rPr>
        <w:t>” has the meaning assigned to such term in Section 2.05(b).</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(a) the indefeasible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Issuing Bank, in an amount equal to 105% of the LC Exposure as of the date of such payment), (c) the indefeasible payment in full in cash of the accrued and unpaid fees, (d)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(e) the termination of all Commitments, and (f) the termination of the Swap Agreement Obligations and the Banking Services Obligations or entering into other arrangements satisfactory to the Secured Parties counterparties thereto.</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assigned to such term in Section 9.04(c).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Condition</w:t>
      </w:r>
      <w:r>
        <w:rPr>
          <w:rFonts w:ascii="Times New Roman" w:cs="Times New Roman" w:eastAsia="Times New Roman" w:hAnsi="Times New Roman"/>
          <w:sz w:val="18"/>
          <w:szCs w:val="18"/>
          <w:color w:val="auto"/>
        </w:rPr>
        <w:t>” shall be deemed to be satisfied in connection with a Subject Transaction if:</w:t>
      </w:r>
    </w:p>
    <w:p>
      <w:pPr>
        <w:spacing w:after="0" w:line="225" w:lineRule="exact"/>
        <w:rPr>
          <w:sz w:val="20"/>
          <w:szCs w:val="20"/>
          <w:color w:val="auto"/>
        </w:rPr>
      </w:pPr>
    </w:p>
    <w:p>
      <w:pPr>
        <w:ind w:left="980" w:hanging="324"/>
        <w:spacing w:after="0"/>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or would result immediately after giving effect to such Subject Transaction;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and at all times during the 30-day period immediately prior to such Subject Transaction, the Borrowers shall have (A) Availability calculated on a pro forma basis after giving effect to such Subject Transaction of not less than the greater of (1) 20% of the Aggregate Revolving Commitment and (2) (x) with respect to the Plateplus Acquisition, $20,000,000, and (y) with respect to any other Subject Transaction, $30,000,000 and (B) a Fixed Charge Coverage Ratio for the most recently completed trailing twelve month period for which the Borrowers are required to have delivered financial statements to the Administrative Agent in accordance with the terms of this Agreement, calculated on a pro forma basis as if such Subject Transaction had been made on the last day of such period, of not less than 1.25 to 1.00; and</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have delivered to the Administrative Agent a certificate in form and substance reasonably satisfactory to the Administrative Agent certifying as to the items described in (a) and (b) above and attaching calculations for item (b).</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any Subject Transaction that is a Permitted Acquisition, item (b) above shall be calculated as if all consideration given in connection with such Acquisition, other than Equity Interests of the applicable Borrower delivered to the seller(s) in such Acquisition, is paid in cash at the time of making such Acquisition.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definition, “Subject Transaction” shall mean any (i) Restricted Payment, (ii) Permitted Acquisition or (iii) an investment, loan, advance or guaranty described in Section 6.04(c), (d) or (e).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any Acquisition by any Loan Party in a transaction that satisfies each of the following requirements:</w:t>
      </w:r>
    </w:p>
    <w:p>
      <w:pPr>
        <w:spacing w:after="0" w:line="225" w:lineRule="exact"/>
        <w:rPr>
          <w:sz w:val="20"/>
          <w:szCs w:val="20"/>
          <w:color w:val="auto"/>
        </w:rPr>
      </w:pPr>
    </w:p>
    <w:p>
      <w:pPr>
        <w:ind w:left="1020" w:hanging="376"/>
        <w:spacing w:after="0"/>
        <w:tabs>
          <w:tab w:leader="none" w:pos="10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is not a hostile or contested acquisition;</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108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acquired in connection with such Acquisition is (i) located in the U.S., (ii) organized under applicable U.S. and state laws, and (iii) not engaged, directly or indirectly, in any line of business other than the businesses in which the Loan Parties are engaged on the Effective Date and any business activities that are substantially similar, related, or incidental thereto;</w:t>
      </w:r>
    </w:p>
    <w:p>
      <w:pPr>
        <w:spacing w:after="0" w:line="175" w:lineRule="exact"/>
        <w:rPr>
          <w:rFonts w:ascii="Times New Roman" w:cs="Times New Roman" w:eastAsia="Times New Roman" w:hAnsi="Times New Roman"/>
          <w:sz w:val="18"/>
          <w:szCs w:val="18"/>
          <w:color w:val="auto"/>
        </w:rPr>
      </w:pPr>
    </w:p>
    <w:p>
      <w:pPr>
        <w:jc w:val="both"/>
        <w:ind w:firstLine="644"/>
        <w:spacing w:after="0" w:line="258" w:lineRule="auto"/>
        <w:tabs>
          <w:tab w:leader="none" w:pos="10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before and after giving effect to such Acquisition and the Loans (if any) requested to be made in connection therewith, each of the representations and warranties in the Loan Documents is true and correct (except any such representation or warranty which relates to a specified prior date) in all material respects (other than any representation or warranty that is expressly qualified by a Material Adverse Effect or other materiality, in which case such representation or warranty shall be true and correct in all respects) and no Default (including any Default in compliance (on a pro forma basis) with the covenants contained in Section 6.12(a)) exists, will exist, or would result therefrom;</w:t>
      </w:r>
    </w:p>
    <w:p>
      <w:pPr>
        <w:spacing w:after="0" w:line="183" w:lineRule="exact"/>
        <w:rPr>
          <w:rFonts w:ascii="Times New Roman" w:cs="Times New Roman" w:eastAsia="Times New Roman" w:hAnsi="Times New Roman"/>
          <w:sz w:val="18"/>
          <w:szCs w:val="18"/>
          <w:color w:val="auto"/>
        </w:rPr>
      </w:pPr>
    </w:p>
    <w:p>
      <w:pPr>
        <w:jc w:val="both"/>
        <w:ind w:right="20" w:firstLine="644"/>
        <w:spacing w:after="0" w:line="266" w:lineRule="auto"/>
        <w:tabs>
          <w:tab w:leader="none" w:pos="111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not less than thirty (30) days prior to such Acquisition, the Borrower Representative has provided the Administrative Agent (i) notice of such Acquisition and (ii) a copy of all business and financial information reasonably requested by the Administrative Agent including pro forma financial statements, statements of cash flow, and Availability projections;</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106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the Equity Interests of a Person, such Acquisition is structured so that the acquired Person shall become a Wholly-Owned Subsidiary of a Borrower or a Loan Party pursuant to the terms of this Agreement;</w:t>
      </w:r>
    </w:p>
    <w:p>
      <w:pPr>
        <w:spacing w:after="0" w:line="161"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assets, such Acquisition is structured so that a Borrower or another Loan Party shall acquire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assets;</w:t>
      </w:r>
    </w:p>
    <w:p>
      <w:pPr>
        <w:spacing w:after="0" w:line="206" w:lineRule="exact"/>
        <w:rPr>
          <w:rFonts w:ascii="Times New Roman" w:cs="Times New Roman" w:eastAsia="Times New Roman" w:hAnsi="Times New Roman"/>
          <w:sz w:val="18"/>
          <w:szCs w:val="18"/>
          <w:color w:val="auto"/>
        </w:rPr>
      </w:pPr>
    </w:p>
    <w:p>
      <w:pPr>
        <w:ind w:left="1040" w:hanging="396"/>
        <w:spacing w:after="0"/>
        <w:tabs>
          <w:tab w:leader="none" w:pos="10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an acquisition of Equity Interests, such Acquisition will not result in any violation of Regulation U;</w:t>
      </w:r>
    </w:p>
    <w:p>
      <w:pPr>
        <w:spacing w:after="0" w:line="225" w:lineRule="exact"/>
        <w:rPr>
          <w:rFonts w:ascii="Times New Roman" w:cs="Times New Roman" w:eastAsia="Times New Roman" w:hAnsi="Times New Roman"/>
          <w:sz w:val="18"/>
          <w:szCs w:val="18"/>
          <w:color w:val="auto"/>
        </w:rPr>
      </w:pPr>
    </w:p>
    <w:p>
      <w:pPr>
        <w:ind w:right="20" w:firstLine="644"/>
        <w:spacing w:after="0" w:line="282" w:lineRule="auto"/>
        <w:tabs>
          <w:tab w:leader="none" w:pos="104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involves a merger or a consolidation involving a Borrower or any other Loan Party, such Borrower or such Loan Party, as applicable, shall be the surviving entity;</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04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shall, as a result of or in connection with any such Acquisition, assume or incur any direct or contingent liabilities (whether relating to environmental, Tax, litigation, or other matters) that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107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 Acquisition of the Equity Interests of any Person, all Liens on property of such Person (other than Liens permitted by Section 6.02) shall be terminated unless the Administrative Agent and the Lenders in their sole discretion consent otherwise, and in connection with an Acquisition of the assets of any Person, all Liens on such assets (other than Liens permitted by Section 6.02) shall be terminated;</w:t>
      </w:r>
    </w:p>
    <w:p>
      <w:pPr>
        <w:spacing w:after="0" w:line="179" w:lineRule="exact"/>
        <w:rPr>
          <w:rFonts w:ascii="Times New Roman" w:cs="Times New Roman" w:eastAsia="Times New Roman" w:hAnsi="Times New Roman"/>
          <w:sz w:val="18"/>
          <w:szCs w:val="18"/>
          <w:color w:val="auto"/>
        </w:rPr>
      </w:pPr>
    </w:p>
    <w:p>
      <w:pPr>
        <w:jc w:val="both"/>
        <w:ind w:firstLine="644"/>
        <w:spacing w:after="0" w:line="258" w:lineRule="auto"/>
        <w:tabs>
          <w:tab w:leader="none" w:pos="10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(i) the total consideration (including the maximum potential total amount of all deferred payment obligations (including earn-outs) and Indebtedness assumed or incurred) of such Acquisition does not exceed $2,000,000 or (ii) the purchase price for such Acquisition is paid exclusively with (a) the proceeds of a cash equity contribution to the Company, (b) the proceeds of the issuance by the Company of any Equity Interests or (c) Equity Interests of the Company delivered to the seller(s) in such Acquisition, or a combination thereof, then, with respect to such Acquisition, the Payment Condition has been satisfied;</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17" w:name="page218"/>
    <w:bookmarkEnd w:id="217"/>
    <w:p>
      <w:pPr>
        <w:ind w:left="660" w:firstLine="644"/>
        <w:spacing w:after="0" w:line="282" w:lineRule="auto"/>
        <w:tabs>
          <w:tab w:leader="none" w:pos="170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required to be taken with respect to any newly acquired or formed Wholly-Owned Subsidiary of a Borrower or a Loan Party, as applicable, required under Section 5.14 shall have been taken;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75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have delivered to the Administrative Agent the final executed material documentation relating to such Acquisition within 10 days following the consummation thereof.</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Discretion</w:t>
      </w:r>
      <w:r>
        <w:rPr>
          <w:rFonts w:ascii="Times New Roman" w:cs="Times New Roman" w:eastAsia="Times New Roman" w:hAnsi="Times New Roman"/>
          <w:sz w:val="18"/>
          <w:szCs w:val="18"/>
          <w:color w:val="auto"/>
        </w:rPr>
        <w:t>” means a determination made in good faith and in the exercise of reasonable (from the perspective of a secured asset-based lender) business judgment.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1900" w:hanging="596"/>
        <w:spacing w:after="0"/>
        <w:tabs>
          <w:tab w:leader="none" w:pos="19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that are not yet delinquent or are being contested in compliance with Section 5.04;</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1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15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and deposits made in the ordinary course of business in compliance with workers' compensation, unemployment insurance and other social security laws or regulations;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0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in respect of judgments that do not constitute an Event of Default under clause (k) of Article VII;</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6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the Commodities Intermediary in the Commodities Intermediary Account, provided that such Liens secure obligations permitted by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 except with respect to clause (e) above.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shall mean (i) Dimensional Fund Advisors LP and their Affiliates (ii) Renaissance Technologies Holdings Corporation and their Affiliates and (iii) members of management of the Company who are holders of Equity Interests of the Company on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right="20" w:firstLine="644"/>
        <w:spacing w:after="0" w:line="266" w:lineRule="auto"/>
        <w:tabs>
          <w:tab w:leader="none" w:pos="19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07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8" w:name="page219"/>
    <w:bookmarkEnd w:id="218"/>
    <w:p>
      <w:pPr>
        <w:jc w:val="both"/>
        <w:ind w:left="660" w:firstLine="644"/>
        <w:spacing w:after="0" w:line="261" w:lineRule="auto"/>
        <w:tabs>
          <w:tab w:leader="none" w:pos="214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6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6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means 29 CFR § 2510.3-101 et seq., as modified by Section 3(42) of ERISA, as amended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Plateplus Acquisition</w:t>
      </w:r>
      <w:r>
        <w:rPr>
          <w:rFonts w:ascii="Times New Roman" w:cs="Times New Roman" w:eastAsia="Times New Roman" w:hAnsi="Times New Roman"/>
          <w:sz w:val="18"/>
          <w:szCs w:val="18"/>
          <w:color w:val="auto"/>
        </w:rPr>
        <w:t>” means the acquisition, on or about the Second Amendment Effective Date, by the Company of certain assets of Plate Plus, Inc. pursuant to and in accordance with the Plateplus Purchase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Plateplus Assets</w:t>
      </w:r>
      <w:r>
        <w:rPr>
          <w:rFonts w:ascii="Times New Roman" w:cs="Times New Roman" w:eastAsia="Times New Roman" w:hAnsi="Times New Roman"/>
          <w:sz w:val="18"/>
          <w:szCs w:val="18"/>
          <w:color w:val="auto"/>
        </w:rPr>
        <w:t>” means, the assets acquired by the Borrowers in connection with the Plateplus Acquisition.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Plateplus Purchase Agreement</w:t>
      </w:r>
      <w:r>
        <w:rPr>
          <w:rFonts w:ascii="Times New Roman" w:cs="Times New Roman" w:eastAsia="Times New Roman" w:hAnsi="Times New Roman"/>
          <w:sz w:val="18"/>
          <w:szCs w:val="18"/>
          <w:color w:val="auto"/>
        </w:rPr>
        <w:t>” means, the Asset Purchase Agreement, dated as of April 26, 2022, by and among the Company, Plateplus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sole stockholder of Plateplus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Event</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left="660" w:firstLine="644"/>
        <w:spacing w:after="0" w:line="282" w:lineRule="auto"/>
        <w:tabs>
          <w:tab w:leader="none" w:pos="192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(including pursuant to a sale and leaseback transaction) of any property or asset of any Loan Party or Subsidiary, other than Dispositions described in Section 6.05;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9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casualty or other insured damage to, or any taking under power of eminent domain or by condemnation or similar proceeding of, any property or asset of any Loan Party or Subsidiary with a fair value immediately prior to such event equal to or greater than $100,000.</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6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any Equity Interests, or the receipt by the Company of any capital contribution (unless, in each case, the proceeds thereof are used to finance a substantially contemporaneous Permitted Acquisition); or</w:t>
      </w:r>
    </w:p>
    <w:p>
      <w:pPr>
        <w:spacing w:after="0" w:line="161" w:lineRule="exact"/>
        <w:rPr>
          <w:rFonts w:ascii="Times New Roman" w:cs="Times New Roman" w:eastAsia="Times New Roman" w:hAnsi="Times New Roman"/>
          <w:sz w:val="18"/>
          <w:szCs w:val="18"/>
          <w:color w:val="auto"/>
        </w:rPr>
      </w:pPr>
    </w:p>
    <w:p>
      <w:pPr>
        <w:ind w:left="5540" w:right="160" w:hanging="4236"/>
        <w:spacing w:after="0" w:line="532" w:lineRule="auto"/>
        <w:tabs>
          <w:tab w:leader="none" w:pos="192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by any Loan Party or any Subsidiary of any Indebtedness, other than Indebtedness permitted under Section 6.01.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9" w:name="page220"/>
    <w:bookmarkEnd w:id="2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claim, litigation, investigation, action, suit, arbitration or administrative, judicial or regulatory action or proceeding in any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has the meaning assigned to such term in Section 5.01(f).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Protective Advance</w:t>
      </w:r>
      <w:r>
        <w:rPr>
          <w:rFonts w:ascii="Times New Roman" w:cs="Times New Roman" w:eastAsia="Times New Roman" w:hAnsi="Times New Roman"/>
          <w:sz w:val="18"/>
          <w:szCs w:val="18"/>
          <w:color w:val="auto"/>
        </w:rPr>
        <w:t>” has the meaning assigned to such term in Section 2.04.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Public-Sider</w:t>
      </w:r>
      <w:r>
        <w:rPr>
          <w:rFonts w:ascii="Times New Roman" w:cs="Times New Roman" w:eastAsia="Times New Roman" w:hAnsi="Times New Roman"/>
          <w:sz w:val="18"/>
          <w:szCs w:val="18"/>
          <w:color w:val="auto"/>
        </w:rPr>
        <w:t>” means a Lender whose representatives may trade in securities of the Company or its Controlling Person or any of its Subsidiaries while in possession of the financial statements provided by the Company under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as applicable, (a) the Administrative Agent, (b) any Lender and (c) any Issuing Bank, or any combination thereof (as the context requires).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Time</w:t>
      </w:r>
      <w:r>
        <w:rPr>
          <w:rFonts w:ascii="Times New Roman" w:cs="Times New Roman" w:eastAsia="Times New Roman" w:hAnsi="Times New Roman"/>
          <w:sz w:val="18"/>
          <w:szCs w:val="18"/>
          <w:color w:val="auto"/>
        </w:rPr>
        <w:t>” with respect to any setting of the then-current Benchmark means the time determined by the Administrative Agent in its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 Indebtedness</w:t>
      </w:r>
      <w:r>
        <w:rPr>
          <w:rFonts w:ascii="Times New Roman" w:cs="Times New Roman" w:eastAsia="Times New Roman" w:hAnsi="Times New Roman"/>
          <w:sz w:val="18"/>
          <w:szCs w:val="18"/>
          <w:color w:val="auto"/>
        </w:rPr>
        <w:t>” has the meaning assigned to such term in Section 6.01(f).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assigned to such term in Section 9.04(b).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Federal Reserve Board, as in effect from time to time and all official rulings and interpretations thereunder or thereof.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0" w:name="page221"/>
    <w:bookmarkEnd w:id="2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Federal Reserve Board, as in effect from time to time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Federal Reserve Board, as in effect from time to time and all official rulings and interpretations thereunder or thereof.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releasing, spilling, leaking, pumping, pouring, emitting, emptying, discharging, injecting, escaping, leaching, migrating, disposing or dumping of any substance into the environment.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Federal Reserve Board and/or the NYFRB, the CME Term SOFR Administrator, as applicable, or a committee officially endorsed or convened by the Federal Reserve Board and/or the NYFRB or, in each case, any successor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subject to Section 2.20, (a) at any time prior to the earlier of the Loans becoming due and payable pursuant to Article VII or the Commitments terminating or expiring, Lenders having Credit Exposures and Unfunded Commitments representing at least 66.70% of the sum of the Aggregate Credit Exposure and Unfunded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long as there are only two Lenders, Required Lenders shall mean both Lenders;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solely for purposes of declaring the Loans to be due and payable pursuant to Article VII, the Unfunded Commitment of each Lender shall be deemed to be zero in determining the Required Lenders and (b) for all purposes after the Loans become due and payable pursuant to Article VII or the Commitments expire or terminate, Lenders having Credit Exposures representing at least 66.70% of the Aggregate Credit Exposure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long as there are only two Lenders, Required Lenders shall mean both Lenders.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Revolving Lenders</w:t>
      </w:r>
      <w:r>
        <w:rPr>
          <w:rFonts w:ascii="Times New Roman" w:cs="Times New Roman" w:eastAsia="Times New Roman" w:hAnsi="Times New Roman"/>
          <w:sz w:val="18"/>
          <w:szCs w:val="18"/>
          <w:color w:val="auto"/>
        </w:rPr>
        <w:t xml:space="preserve">” means, at any time, Lenders (other than Defaulting Lenders) having Revolving Exposures and unused Revolving Commitments representing at least 66.70%% of the sum of the Aggregate Revolving Exposure and unused Revolving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long as there are only two Revolving Lenders, Required Revolving Lenders shall mean both Revolving Lenders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Reserves</w:t>
      </w:r>
      <w:r>
        <w:rPr>
          <w:rFonts w:ascii="Times New Roman" w:cs="Times New Roman" w:eastAsia="Times New Roman" w:hAnsi="Times New Roman"/>
          <w:sz w:val="18"/>
          <w:szCs w:val="18"/>
          <w:color w:val="auto"/>
        </w:rPr>
        <w:t>” means any and all reserves which the Administrative Agent deems necessary, in its sole discretion, to maintain (including, without limitation, an availability reserve, reserves for accrued and unpaid interest on the Secured Obligations, Banking Services Reserves, volatility reserves, reserves for rent at locations leased by any Loan Party and for consignee's, warehousemen’s and bailee’s charges, reserves for dilution of Accounts, reserves for Inventory shrinkage,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1" w:name="page222"/>
    <w:bookmarkEnd w:id="2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president, Financial Officer or other executive officer of a Borrower.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Reuters</w:t>
      </w:r>
      <w:r>
        <w:rPr>
          <w:rFonts w:ascii="Times New Roman" w:cs="Times New Roman" w:eastAsia="Times New Roman" w:hAnsi="Times New Roman"/>
          <w:sz w:val="18"/>
          <w:szCs w:val="18"/>
          <w:color w:val="auto"/>
        </w:rPr>
        <w:t>” means, as applicable, Thomson Reuters Corp, Refinitiv,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Borrowing</w:t>
      </w:r>
      <w:r>
        <w:rPr>
          <w:rFonts w:ascii="Times New Roman" w:cs="Times New Roman" w:eastAsia="Times New Roman" w:hAnsi="Times New Roman"/>
          <w:sz w:val="18"/>
          <w:szCs w:val="18"/>
          <w:color w:val="auto"/>
        </w:rPr>
        <w:t>” means Revolving Loans of the same Type, made, converted or continued on the same date and, in the case of Term Benchmark Loans, as to which a single Interest Period is in effect.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means, with respect to each Lender, the amount set forth on the Commitment Schedule opposite such Lender’s name, or in the Assignment and Assumption or other documentation or record (as such term is defined in Section 9-102(a)(70) of the New York Uniform Commercial Code) as provided in Section 9.04(b)(ii)(C) pursuant to which such Lender shall have assumed its Revolving Commitment, as applicable, as such Revolving Commitment may be reduced or increased from time to time pursuant to (a) Section 2.09 and (b) assignments by or to such Lender pursuant to Section 9.04; provided, that at no time shall the Revolving Exposure of any Lender exceed its Revolving Commitment. As of the Second Amendment Effective Date, the aggregate amount of the Lenders’ Revolving Commitment is $150,000,000.</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Exposure</w:t>
      </w:r>
      <w:r>
        <w:rPr>
          <w:rFonts w:ascii="Times New Roman" w:cs="Times New Roman" w:eastAsia="Times New Roman" w:hAnsi="Times New Roman"/>
          <w:sz w:val="18"/>
          <w:szCs w:val="18"/>
          <w:color w:val="auto"/>
        </w:rPr>
        <w:t xml:space="preserve">” means, with respect to any Lender at any time, the sum of (a) the outstanding principal amount of such Lender’s Revolving Loans, its LC Exposure and its Swingline Exposure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an amount equal to its Applicable Percentage of the aggregate principal amount of Protective Advances outstanding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an amount equal to its Applicable Percentage of the aggregate principal amount of Overadvances outstanding at such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as of any date of determination, a Lender with a Revolving Commitment or, if the Revolving Commitments have terminated or expired, a Lender with Revolving Exposure.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pursuant to Section 2.01.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has the meaning assigned to such term in Section 6.06.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2" w:name="page223"/>
    <w:bookmarkEnd w:id="22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any Sanctions (at the time of this Agreement, Crimea, Cuba, Iran, North Korea and Syria).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of the 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Effective Date</w:t>
      </w:r>
      <w:r>
        <w:rPr>
          <w:rFonts w:ascii="Times New Roman" w:cs="Times New Roman" w:eastAsia="Times New Roman" w:hAnsi="Times New Roman"/>
          <w:sz w:val="18"/>
          <w:szCs w:val="18"/>
          <w:color w:val="auto"/>
        </w:rPr>
        <w:t>” means April 29, 2022.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Amendment Fee Letter</w:t>
      </w:r>
      <w:r>
        <w:rPr>
          <w:rFonts w:ascii="Times New Roman" w:cs="Times New Roman" w:eastAsia="Times New Roman" w:hAnsi="Times New Roman"/>
          <w:sz w:val="18"/>
          <w:szCs w:val="18"/>
          <w:color w:val="auto"/>
        </w:rPr>
        <w:t>” means that certain Fee Letter by and among Administrative Agent and the Borrowers, dated as of the Second Amendment Effective Date, as the same may be amended, restated, supplemented or otherwise modified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all Obligations, together with all (a) Banking Services Obligations and (b) Swap Agreement Obligations owing to one or more Lenders or their respective Affiliates;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definition of “Secured Obligations” shall not create any guarantee by any Guarantor of (or grant of security interest by any Guarantor to support, as applicable) any Excluded Swap Obligations of such Guarantor for purposes of determining any obligations of any Guarantor.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(a) the Administrative Agent, (b) the Lenders,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has the meaning assigned to such term in Section 2.05(d).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has the meaning assigned to such term in Section 2.05(d).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3" w:name="page224"/>
    <w:bookmarkEnd w:id="2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Standby LC Exposure</w:t>
      </w:r>
      <w:r>
        <w:rPr>
          <w:rFonts w:ascii="Times New Roman" w:cs="Times New Roman" w:eastAsia="Times New Roman" w:hAnsi="Times New Roman"/>
          <w:sz w:val="18"/>
          <w:szCs w:val="18"/>
          <w:color w:val="auto"/>
        </w:rPr>
        <w:t xml:space="preserve">” means, at any time, the sum of (a) the aggregate undrawn amount of all standby Letters of Credit outstanding at such time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aggregate amount of all LC Disbursements relating to standby Letters of Credit that have not yet been reimbursed by or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at such time. The Standby LC Exposure of any Revolving Lender at any time shall be its Applicable Percentage of the aggregate Standby LC Exposure at such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has the meaning assigned to such term in Section 2.18(f).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of a Person means any Indebtedness of such Person the payment of which is subordinated to payment of the Secured Obligations to the written satisfaction of the Administrative Agent.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direct or indirect subsidiary of the Company or a Loan Party,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Borrowers or the Subsidiaries shall be a Swap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 Obligations</w:t>
      </w:r>
      <w:r>
        <w:rPr>
          <w:rFonts w:ascii="Times New Roman" w:cs="Times New Roman" w:eastAsia="Times New Roman" w:hAnsi="Times New Roman"/>
          <w:sz w:val="18"/>
          <w:szCs w:val="18"/>
          <w:color w:val="auto"/>
        </w:rPr>
        <w:t>” means any and all obligations of the Loan Parties,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Swap Agreement transaction permitted hereunder with a Lender or an Affiliate of a Lender.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4" w:name="page225"/>
    <w:bookmarkEnd w:id="2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Loan Guarantor, any obligation to pay or perform under any agreement, contract or transaction that constitutes a “swap” within the meaning of section 1a(47) of the Commodity Exchange Act or any rules or regulations promulgated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Revolving Lender at any time shall be its Applicable Percentage of the total Swingline Exposure at such time.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JPMCB (or any of its designated branch offices or affiliates),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has the meaning assigned to such term in Section 2.05(a).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Loan or Borrowing, refers to whether such Loan, or the Loans comprising such Borrowing, are bearing interest at a rate determined by reference to the Adjusted Term SOFR Rate.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Rate</w:t>
      </w:r>
      <w:r>
        <w:rPr>
          <w:rFonts w:ascii="Times New Roman" w:cs="Times New Roman" w:eastAsia="Times New Roman" w:hAnsi="Times New Roman"/>
          <w:sz w:val="18"/>
          <w:szCs w:val="18"/>
          <w:color w:val="auto"/>
        </w:rPr>
        <w:t>” means, with respect to any Term Benchmark Borrowing for any tenor comparable to the applicable Interest Period, the Term SOFR Reference Rate at approximately 5:00 a.m. Dallas time, two (2) U.S. Government Securities Business Days prior to the commencement of such tenor comparable to the applicable Interest Period, as such rate is published by the CME Term SOFR Administrator.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for any day and time (such day, the “</w:t>
      </w:r>
      <w:r>
        <w:rPr>
          <w:rFonts w:ascii="Times New Roman" w:cs="Times New Roman" w:eastAsia="Times New Roman" w:hAnsi="Times New Roman"/>
          <w:sz w:val="18"/>
          <w:szCs w:val="18"/>
          <w:u w:val="single" w:color="auto"/>
          <w:color w:val="auto"/>
        </w:rPr>
        <w:t>Term SOFR Determination Day</w:t>
      </w:r>
      <w:r>
        <w:rPr>
          <w:rFonts w:ascii="Times New Roman" w:cs="Times New Roman" w:eastAsia="Times New Roman" w:hAnsi="Times New Roman"/>
          <w:sz w:val="18"/>
          <w:szCs w:val="18"/>
          <w:color w:val="auto"/>
        </w:rPr>
        <w:t>”), and for any tenor comparable to the applicable Interest Period, the rate per annum determined by the Administrative Agent as the forward-looking term rate based on SOFR. If by 5:00 p.m. (City of Dallas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Borrowers of this Agreement and the other Loan Documents, the borrowing of Loans and other credit extensions, the use of the proceeds thereof and the issuance of Letters of Credit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means, the Transition Services Agreement, dated as of April 29, 2022, by and between the Company and Plateplus Inc.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Adjusted Term SOFR Rate or the CBFR.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5" w:name="page226"/>
    <w:bookmarkEnd w:id="22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in any other state the laws of which are required to be applied in connection with the issue of perfection of security interests.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Institutions</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Unfinanced Capital Expenditures</w:t>
      </w:r>
      <w:r>
        <w:rPr>
          <w:rFonts w:ascii="Times New Roman" w:cs="Times New Roman" w:eastAsia="Times New Roman" w:hAnsi="Times New Roman"/>
          <w:sz w:val="18"/>
          <w:szCs w:val="18"/>
          <w:color w:val="auto"/>
        </w:rPr>
        <w:t>” means, for any period, Capital Expenditures made during such period which are not financed from the proceeds of any Indebtedness (other than the Revolving Loans; it being understood and agreed that, to the extent any Capital Expenditures are financed with Revolving Loans, such Capital Expenditures shall be deemed Unfinanced Capital Expenditures).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Commitment</w:t>
      </w:r>
      <w:r>
        <w:rPr>
          <w:rFonts w:ascii="Times New Roman" w:cs="Times New Roman" w:eastAsia="Times New Roman" w:hAnsi="Times New Roman"/>
          <w:sz w:val="18"/>
          <w:szCs w:val="18"/>
          <w:color w:val="auto"/>
        </w:rPr>
        <w:t xml:space="preserve">” means, with respect to each Lender, the Revolving Commitment of such Lender </w:t>
      </w:r>
      <w:r>
        <w:rPr>
          <w:rFonts w:ascii="Times New Roman" w:cs="Times New Roman" w:eastAsia="Times New Roman" w:hAnsi="Times New Roman"/>
          <w:sz w:val="18"/>
          <w:szCs w:val="18"/>
          <w:i w:val="1"/>
          <w:iCs w:val="1"/>
          <w:u w:val="single" w:color="auto"/>
          <w:color w:val="auto"/>
        </w:rPr>
        <w:t>less</w:t>
      </w:r>
      <w:r>
        <w:rPr>
          <w:rFonts w:ascii="Times New Roman" w:cs="Times New Roman" w:eastAsia="Times New Roman" w:hAnsi="Times New Roman"/>
          <w:sz w:val="18"/>
          <w:szCs w:val="18"/>
          <w:color w:val="auto"/>
        </w:rPr>
        <w:t xml:space="preserve"> its Revolving Exposure.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Unliquidated Obligations</w:t>
      </w:r>
      <w:r>
        <w:rPr>
          <w:rFonts w:ascii="Times New Roman" w:cs="Times New Roman" w:eastAsia="Times New Roman" w:hAnsi="Times New Roman"/>
          <w:sz w:val="18"/>
          <w:szCs w:val="18"/>
          <w:color w:val="auto"/>
        </w:rPr>
        <w:t>” means,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“United States person” within the meaning of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has the meaning assigned to it in Section 9.21.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has the meaning assigned to such term in Section 2.17(f)(ii)(B)(3).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6" w:name="page227"/>
    <w:bookmarkEnd w:id="22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xml:space="preserve"> For purposes of this Agreement, Loans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Loan”)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Loan”)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Revolving Loan”). Borrowings also may be classified and referred to by Class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“Revolving Borrowing”) or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Borrowing”) or by Class and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Benchmark Revolving Borrowing”).</w:t>
      </w:r>
    </w:p>
    <w:p>
      <w:pPr>
        <w:spacing w:after="0" w:line="180"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xml:space="preserve"> The definitions of terms herein shall apply equally to the singular and plural forms of the terms defined. Whenever the context may require, any pronoun shall include the corresponding mascu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2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 xml:space="preserve"> (a)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the date hereof there occurs any change in GAAP or in the application thereof on the operation of any provision hereof and the Borrower Representative notifies the Administrative Agent that the Borrowers request an amendment to any provision hereof to eliminate the effect of such change in GAAP or in the application thereof (or 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migration or change shall have become effective until such notice shall have been withdrawn or such provision amended in accordance herewith. In the event that historical accounting practices, systems or reserves relating to the components of the Borrowing Base are modified in a manner that is adverse to the Lenders in any material respect, the Borrowers will agree to maintain such additional reserves (for purposes of computing the Borrowing Base) in respect of the components of the Borrowing Base and make such other adjustments (which may include maintaining additional reserves, modifying the advance rates or modifying the eligibility criteria for the components of the Borrowing Base).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Company or any Subsidiary at “fair value”, as defined therein and (ii) without giving effect to any treatment of Indebtedness under Financial Accounting Standards Board Accounting Standards Codification 470-20 or 2105-03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7" w:name="page228"/>
    <w:bookmarkEnd w:id="227"/>
    <w:p>
      <w:pPr>
        <w:jc w:val="both"/>
        <w:ind w:firstLine="656"/>
        <w:spacing w:after="0" w:line="256" w:lineRule="auto"/>
        <w:tabs>
          <w:tab w:leader="none" w:pos="131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Interest Rates; Benchmark Notifications</w:t>
      </w:r>
      <w:r>
        <w:rPr>
          <w:rFonts w:ascii="Times New Roman" w:cs="Times New Roman" w:eastAsia="Times New Roman" w:hAnsi="Times New Roman"/>
          <w:sz w:val="18"/>
          <w:szCs w:val="18"/>
          <w:color w:val="auto"/>
        </w:rPr>
        <w:t>. The interest rate on a Loan denominated in dollars may be derived from an interest rate benchmark that may be discontinued or is, or may be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successor rate thereto, or replacement rate thereof, including without limitation, whether the composition or characteristics of any such alternative successor or replacement reference rate will be similar to, or produce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hereto, in each case, in a manner adverse to the Borrowers. The Administrative Agent may select information sources or services in it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1.06. Reserved.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Status of Obligations</w:t>
      </w:r>
      <w:r>
        <w:rPr>
          <w:rFonts w:ascii="Times New Roman" w:cs="Times New Roman" w:eastAsia="Times New Roman" w:hAnsi="Times New Roman"/>
          <w:sz w:val="18"/>
          <w:szCs w:val="18"/>
          <w:color w:val="auto"/>
        </w:rPr>
        <w:t>. In the event that any Borrower or any other Loan Party shall at any time issue or have outstanding any Subordinated Indebtedness, such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8" w:name="page229"/>
    <w:bookmarkEnd w:id="22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amount of such Letter of Credit available to be drawn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Credits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Subject to the terms and conditions set forth herein, each Lender severally (and not jointly) agrees to make Revolving Loans in dollars to the Borrowers from time to time during the Availability Period in an aggregate principal amount that will not result in (i) such Lender's Revolving Exposure exceeding such Lender's Revolving Commitment or (ii) the Aggregate Revolving Exposure exceeding the lesser of (x) the Aggregate Revolving Commitment and (y) the Borrowing Base, subject to the Administrative Agent’s authority, in its sole discretion, to make Protective Advances and Overadvances pursuant to the terms of Section 2.04, by making immediately available funds available to the Administrative Agent’s designated account, not later than 2:00 p.m., Chicago time. Within the foregoing limits and subject to the terms and conditions set forth herein, the Borrowers may borrow, prepay and reborrow Revolving Loans.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9" w:name="page230"/>
    <w:bookmarkEnd w:id="22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 xml:space="preserve">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Protective Advance, Overadvance and any Swingline Loan shall be made in accordance with the procedures set forth in Sections 2.04 and 2.05.</w:t>
      </w:r>
    </w:p>
    <w:p>
      <w:pPr>
        <w:spacing w:after="0" w:line="183" w:lineRule="exact"/>
        <w:rPr>
          <w:sz w:val="20"/>
          <w:szCs w:val="20"/>
          <w:color w:val="auto"/>
        </w:rPr>
      </w:pPr>
    </w:p>
    <w:p>
      <w:pPr>
        <w:jc w:val="both"/>
        <w:ind w:firstLine="656"/>
        <w:spacing w:after="0" w:line="219" w:lineRule="exact"/>
        <w:tabs>
          <w:tab w:leader="none" w:pos="147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2.14, each Revolving Borrowing shall be comprised entirely of CBFR Loans or Term Benchmark Loans as the Borrower Representative may request in accordance 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Borrowings made on the Second Amendment Effective Date must be made as CBFR Borrowings but may be converted into Term Benchmark Borrowings in accordance with Section 2.08. Each Swingline Loan shall be a CBFR Loan. Each Lender at its option may make any Term Benchmark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Borrowers to repay such Loan in accord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ance with the terms of this Agreement. After giving effect to each requested Term Benchmark Borrowing, including those which are converted from a CBFR Borrowing in accordance with Section 2.08, there shall not be outstanding more than five (5) Term Benchmark Borrowings, in the aggregate at any time.</w:t>
      </w:r>
    </w:p>
    <w:p>
      <w:pPr>
        <w:spacing w:after="0" w:line="198" w:lineRule="exact"/>
        <w:rPr>
          <w:rFonts w:ascii="Times New Roman" w:cs="Times New Roman" w:eastAsia="Times New Roman" w:hAnsi="Times New Roman"/>
          <w:sz w:val="18"/>
          <w:szCs w:val="18"/>
          <w:color w:val="auto"/>
        </w:rPr>
      </w:pPr>
    </w:p>
    <w:p>
      <w:pPr>
        <w:ind w:firstLine="656"/>
        <w:spacing w:after="0" w:line="282" w:lineRule="auto"/>
        <w:tabs>
          <w:tab w:leader="none" w:pos="128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commencement of each Interest Period for any Term Benchmark Borrowing, such Borrowing shall be in an aggregate amount that is an integral multiple of $100,000 and not less than $1,000,000. CBFR Borrowings may be in any amount.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7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Representative shall not be entitled to request, or to elect to convert or continue, any Borrowing if the Interest Period requested with respect thereto would end after the Maturity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Revolving Borrowings .</w:t>
      </w:r>
      <w:r>
        <w:rPr>
          <w:rFonts w:ascii="Times New Roman" w:cs="Times New Roman" w:eastAsia="Times New Roman" w:hAnsi="Times New Roman"/>
          <w:sz w:val="18"/>
          <w:szCs w:val="18"/>
          <w:color w:val="auto"/>
        </w:rPr>
        <w:t xml:space="preserve"> To request a Revolving Borrowing, the Borrower Representative shall notify the Administrative Agent of such request either in writing (delivered by hand or fax) by delivering a Borrowing Request signed by a Responsible Officer of the Borrower Representative or through Electronic System if arrangements for doing so have been approved by the Administrative Agent (or if an Extenuating Circumstance shall exist, by telephone) not later than (a) in the case of a Term Benchmark Borrowing, 10:00 a.m., Chicago time, three (3) Business Days before the date of the proposed Borrowing or (b) in the case of a CBFR Borrowing, noon, Chicago time, on the date of the proposed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of a CBFR Borrowing to finance the reimbursement of an LC Disbursement as contemplated by Section 2.06(e) may be given not later than 9:00 a.m., Chicago time, on the date of such proposed Borrowing. Each such Borrowing Request shall be irrevocable and each such telephonic Borrowing Request, if permitted, shall be confirmed immediately upon the cessation of the Extenuating Circumstance by hand delivery, facsimile or a communication through Electronic System to the Administrative Agent of a written Borrowing Request in a form approved by the Administrative Agent and signed by a Responsible Officer of the Borrower Representative. Each such written (or if permitted, telephonic) Borrowing Request shall specify the following information in compliance with Section 2.02:</w:t>
      </w:r>
    </w:p>
    <w:p>
      <w:pPr>
        <w:spacing w:after="0" w:line="192" w:lineRule="exact"/>
        <w:rPr>
          <w:sz w:val="20"/>
          <w:szCs w:val="20"/>
          <w:color w:val="auto"/>
        </w:rPr>
      </w:pPr>
    </w:p>
    <w:p>
      <w:pPr>
        <w:ind w:left="1880" w:hanging="576"/>
        <w:spacing w:after="0"/>
        <w:tabs>
          <w:tab w:leader="none" w:pos="18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Borrower(s);</w:t>
      </w:r>
    </w:p>
    <w:p>
      <w:pPr>
        <w:spacing w:after="0" w:line="225" w:lineRule="exact"/>
        <w:rPr>
          <w:rFonts w:ascii="Times New Roman" w:cs="Times New Roman" w:eastAsia="Times New Roman" w:hAnsi="Times New Roman"/>
          <w:sz w:val="18"/>
          <w:szCs w:val="18"/>
          <w:color w:val="auto"/>
        </w:rPr>
      </w:pPr>
    </w:p>
    <w:p>
      <w:pPr>
        <w:ind w:left="5540" w:right="840" w:hanging="4236"/>
        <w:spacing w:after="0" w:line="532" w:lineRule="auto"/>
        <w:tabs>
          <w:tab w:leader="none" w:pos="193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 and a breakdown of the separate wires comprising such Borrowing;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0" w:name="page231"/>
    <w:bookmarkEnd w:id="230"/>
    <w:p>
      <w:pPr>
        <w:ind w:left="1980" w:hanging="676"/>
        <w:spacing w:after="0"/>
        <w:tabs>
          <w:tab w:leader="none" w:pos="19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 CBFR Borrowing or a Term Benchmark Borrowing; and</w:t>
      </w:r>
    </w:p>
    <w:p>
      <w:pPr>
        <w:spacing w:after="0" w:line="225" w:lineRule="exact"/>
        <w:rPr>
          <w:rFonts w:ascii="Times New Roman" w:cs="Times New Roman" w:eastAsia="Times New Roman" w:hAnsi="Times New Roman"/>
          <w:sz w:val="18"/>
          <w:szCs w:val="18"/>
          <w:color w:val="auto"/>
        </w:rPr>
      </w:pPr>
    </w:p>
    <w:p>
      <w:pPr>
        <w:ind w:left="1300" w:firstLine="4"/>
        <w:spacing w:after="0" w:line="282" w:lineRule="auto"/>
        <w:tabs>
          <w:tab w:leader="none" w:pos="214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Benchmark Borrowing, the initial Interest Period to be applicable thereto, which shall be a period contemplated by the definition of the term “Interest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the requested Borrowing shall be a CBFR Borrowing. If no Interest Period is specified with respect to any requested Term Benchmark Borrowing, then the applicable Borrower(s)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(a) Subject to the limitations set forth below, the Administrative Agent is authorized by the Borrowers and the Lenders, from time to time in the Administrative Agent’s sole discretion (but shall have absolutely no obligation to), to make Loans to the Borrowers, on behalf of all Lenders, which the Administrative Agent, in its Permitted Discretion, deems necessary or desirable (i) to preserve or protect the Collateral, or any portion thereof, (ii) if an Event of Default under clauses (a), (b), (h) or (i) of the definition thereof or resulting from a breach of Section 6.12 has occurred and is continuing, to enhance the likelihood of, or maximize the amount of, repayment of the Loans and other Obligations, or (iii) to pay any other amount chargeable to or required to be paid by the Borrowers pursuant to the terms of this Agreement that have not been paid by Borrowers on or before the date required, including payments of reimbursable expenses (including costs, fees, and expenses as described in Section 9.03) and other sums payable under the Loan Documents (any of such Loans are herein referred to as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Revolving Exposure after giving effect to the Protective Advances being made shall not exceed the Aggregate Revolving Commitment. Protective Advances may be made even if the conditions precedent set forth in Section 4.02 have not been satisfied. The Protective Advances shall be secured by the Liens in favor of the Administrative Agent in and to the Collateral and shall constitute Obligations hereunder. All Protective Advances shall be CBFR Borrowings. The making of a Protective Advance on any one occasion shall not obligate the Administrative Agent to make any Protective Advance on any other occasion. The Administrative Agent’s authorization to make Protective Advances may be revoked at any time by 100% of the Lenders (other than any Defaulting Lender). Any such revocation must be in writing and shall become effective prospectively upon the Administrative Agent’s receipt thereof. At any time that there is sufficient Availability and the conditions precedent set forth in Section 4.02 have been satisfied, the Administrative Agent may request the Revolving Lenders to make a Revolving Loan to repay a Protective Advance. At any other time the Administrative Agent may require the Lenders to fund their risk participations described in Section 2.04(b).</w:t>
      </w:r>
    </w:p>
    <w:p>
      <w:pPr>
        <w:spacing w:after="0" w:line="193" w:lineRule="exact"/>
        <w:rPr>
          <w:sz w:val="20"/>
          <w:szCs w:val="20"/>
          <w:color w:val="auto"/>
        </w:rPr>
      </w:pPr>
    </w:p>
    <w:p>
      <w:pPr>
        <w:jc w:val="both"/>
        <w:ind w:firstLine="656"/>
        <w:spacing w:after="0" w:line="256" w:lineRule="auto"/>
        <w:tabs>
          <w:tab w:leader="none" w:pos="127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1" w:name="page232"/>
    <w:bookmarkEnd w:id="231"/>
    <w:p>
      <w:pPr>
        <w:ind w:left="6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Swingline Loans and Overadvances.</w:t>
      </w:r>
    </w:p>
    <w:p>
      <w:pPr>
        <w:spacing w:after="0" w:line="225" w:lineRule="exact"/>
        <w:rPr>
          <w:sz w:val="20"/>
          <w:szCs w:val="20"/>
          <w:color w:val="auto"/>
        </w:rPr>
      </w:pPr>
    </w:p>
    <w:p>
      <w:pPr>
        <w:jc w:val="both"/>
        <w:ind w:firstLine="656"/>
        <w:spacing w:after="0" w:line="252" w:lineRule="auto"/>
        <w:tabs>
          <w:tab w:leader="none" w:pos="13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the Swingline Lender and the Revolving Lenders agree that in order to facilitate the administration of this Agreement and the other Loan Documents, promptly after the Borrower Representative requests a CBFR Borrowing, the Swingline Lender may elect to have the terms of this Section 2.05(a) apply to such Borrowing Request by advancing, on behalf of the Revolving Lenders and in the amount requested, same day funds to the Borrowers, on the date of the applicable Borrowing to a Funding Accounts (each such Loan made solely by the Swingline Lender pursuant to this Section 2.05(a) is referred to in this Agreement as a “</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xml:space="preserve">”), with settlement among them as to the Swingline Loans to take place on a periodic basis as set forth in Section 2.05(d). Each Swingline Loan shall be subject to all the terms and conditions applicable to other CBFR Loans funded by the Revolving Lenders, except that all payments thereon shall be payable to the Swingline Lender solely for its own account. In addition, the Borrowers hereby authorize the Swingline Lender to, and the Swingline Lender may, subject to the terms and conditions set forth herein (but without any further written notice required), not later than 1:00 p.m., Chicago time, on each Business Day, make available to the Borrowers by means of a credit to a Funding Accounts, the proceeds of a Swingline Loan to the extent necessary to pay items to be drawn on any Controlled Disbursement Account that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any Business Day there is insufficient borrowing capacity to permit the Swingline Lender to make available to the Borrowers a Swingline Loan in the amount necessary to pay all items to be so drawn on any such Controlled Disbursement Account on such Business Day, then the Borrowers shall be deemed to have requested a CBFR Borrowing pursuant to Section 2.03 in the amount of such deficiency to be made on such Business Day. The Swingline Lender shall not make any Swingline Loan if the requested Swingline Loan exceeds Availability (before or after giving effect to such Swingline Loan). All Swingline Loans shall be CBFR Borrowings.</w:t>
      </w:r>
    </w:p>
    <w:p>
      <w:pPr>
        <w:spacing w:after="0" w:line="195" w:lineRule="exact"/>
        <w:rPr>
          <w:rFonts w:ascii="Times New Roman" w:cs="Times New Roman" w:eastAsia="Times New Roman" w:hAnsi="Times New Roman"/>
          <w:sz w:val="18"/>
          <w:szCs w:val="18"/>
          <w:color w:val="auto"/>
        </w:rPr>
      </w:pPr>
    </w:p>
    <w:p>
      <w:pPr>
        <w:jc w:val="both"/>
        <w:ind w:firstLine="656"/>
        <w:spacing w:after="0" w:line="253" w:lineRule="auto"/>
        <w:tabs>
          <w:tab w:leader="none" w:pos="119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to the contrary notwithstanding, at the request of the Borrower Representative, the Administrative Agent may in its sole discretion (but with absolutely no obligation), on behalf of the Revolving Lenders, (x) make Revolving Loans to the Borrowers in amounts that exceed Availability (any such excess Revolving Loans are herein referred to collectively as “</w:t>
      </w:r>
      <w:r>
        <w:rPr>
          <w:rFonts w:ascii="Times New Roman" w:cs="Times New Roman" w:eastAsia="Times New Roman" w:hAnsi="Times New Roman"/>
          <w:sz w:val="18"/>
          <w:szCs w:val="18"/>
          <w:u w:val="single" w:color="auto"/>
          <w:color w:val="auto"/>
        </w:rPr>
        <w:t>Overadvances</w:t>
      </w:r>
      <w:r>
        <w:rPr>
          <w:rFonts w:ascii="Times New Roman" w:cs="Times New Roman" w:eastAsia="Times New Roman" w:hAnsi="Times New Roman"/>
          <w:sz w:val="18"/>
          <w:szCs w:val="18"/>
          <w:color w:val="auto"/>
        </w:rPr>
        <w:t xml:space="preserve">”) or (y) deem the amount of Revolving Loans outstanding to the Borrowers that are in excess of Availability to be Overadvances;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Overadvance shall result in a Default due to Borrowers’ failure to comply with Section 2.01 for so long as such Overadvance remains outstanding in accordance with the terms of this paragraph, but solely with respect to the amount of such Overadvance. In addition, Overadvances may be made even if the condition precedent set forth in Section 4.02(c) has not been satisfied. All Overadvances shall constitute CBFR Borrowings. The making of an Overadvance on any one occasion shall not obligate the Administrative Agent to make any Overadvance on any other occasion. The authority of the Administrative Agent to make Overadvances is limited to an aggregate amount not to exceed an amount equal to ten percent (10%) of Availability at any time, no Overadvance may remain outstanding for more than thirty days and no Overadvance shall cause any Revolving Lender's Revolving Exposure to exceed its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Required Revolving Lenders may at any time revoke the Administrative Agent’s authorization to make Overadvances. Any such revocation must be in writing and shall become effective prospectively upon the Administrative Agent’s receipt thereof.</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126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a Swingline Loan or an Overadvance (whether before or after the occurrence of a Default and regardless of whether a Settlement has been requested with respect to such Swingline Loan or Overadvance), each Revolving Lender shall be deemed, without further action by any party hereto, to have unconditionally and irrevocably purchased from the Swingline Lender or the Administrative Agent, as the case may be, without recourse or warranty, an undivided interest and participation in such Swingline Loan or Overadvance in proportion to its Applicable Percentage of the Revolving Commitment. The Swingline Lender or the Administrative Agent may, at any time, require the Revolving Lenders to fund their participations. From and after the date, if any, on which any Revolving Lender is required to fund its participation in any Swingline Loan or Overadvance purchased hereunder, the Administrative Agent shall promptly distribute to such Lender, such Lender's Applicable Percentage of all payments of principal and interest and all proceeds of Collateral received by the Administrative Agent in respect of such Swingline Loan or Overadvance.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2" w:name="page233"/>
    <w:bookmarkEnd w:id="232"/>
    <w:p>
      <w:pPr>
        <w:jc w:val="both"/>
        <w:ind w:firstLine="656"/>
        <w:spacing w:after="0" w:line="253" w:lineRule="auto"/>
        <w:tabs>
          <w:tab w:leader="none" w:pos="128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on behalf of the Swingline Lender, shall request settlement (a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with the Revolving Lenders on at least a weekly basis or on any date that the Administrative Agent elects, by notifying the Revolving Lenders of such requested Settlement by facsimile, telephone, or e-mail no later than 12:00 noon Chicago time on the date of such requested Settlement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Each Revolving Lender (other than the Swingline Lender, in the case of the Swingline Loans) shall transfer the amount of such Revolving Lender’s Applicable Percentage of the outstanding principal amount of the applicable Loan with respect to which Settlement is requested to the Administrative Agent, to such account of the Administrative Agent as the Administrative Agent may designate, not later than 2:00 p.m., Chicago time, on such Settlement Date. Settlements may occur during the existence of a Default and whether or not the applicable conditions precedent set forth in Section 4.02 have then been satisfied. Such amounts transferred to the Administrative Agent shall be applied against the amounts of the Swingline Lender’s Swingline Loans and, together with Swingline Lender’s Applicable Percentage of such Swingline Loan, shall constitute Revolving Loans of such Revolving Lenders, respectively. If any such amount is not transferred to the Administrative Agent by any Revolving Lender on such Settlement Date, the Swingline Lender shall be entitled to recover from such Lender on demand such amount, together with interest thereon, as specified in Section 2.07.</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the Borrower Representative may request any Issuing Bank to issue Letters of Credit for its own account or for the account of another Borrower denominated in dollars as the applicant thereof for the support of its or its Subsidiaries’ obligations, in a form reasonably acceptable to such Issuing Bank, at any time and from time to time during the Availability Period, and such Issuing Bank may, but shall have no obligation, to issue such requested Letters of Credit pursuant to this Agreement.</w:t>
      </w:r>
    </w:p>
    <w:p>
      <w:pPr>
        <w:spacing w:after="0" w:line="180" w:lineRule="exact"/>
        <w:rPr>
          <w:sz w:val="20"/>
          <w:szCs w:val="20"/>
          <w:color w:val="auto"/>
        </w:rPr>
      </w:pPr>
    </w:p>
    <w:p>
      <w:pPr>
        <w:jc w:val="both"/>
        <w:ind w:firstLine="656"/>
        <w:spacing w:after="0" w:line="251" w:lineRule="auto"/>
        <w:tabs>
          <w:tab w:leader="none" w:pos="142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Extension; Certain Conditions.</w:t>
      </w:r>
      <w:r>
        <w:rPr>
          <w:rFonts w:ascii="Times New Roman" w:cs="Times New Roman" w:eastAsia="Times New Roman" w:hAnsi="Times New Roman"/>
          <w:sz w:val="18"/>
          <w:szCs w:val="18"/>
          <w:color w:val="auto"/>
        </w:rPr>
        <w:t xml:space="preserve"> To request the issuance of a Letter of Credit (or the amendment or extension of an outstanding Letter of Credit), the Borrower Representative shall deliver by hand or facsimile (or transmit through Electronic System, if arrangements for doing so have been approved by the respective Issuing Bank) to an Issuing Bank selected by it and to the Administrative Agent (reasonably in advance of, but in any event prior to 9:00 am, Chicago time, at least three (3) Business Days prior to the requested date of issuance, amendment or extension)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Borrowers shall be deemed to represent and warrant that), after giving effect to such issuance, amendment or extension (i) the aggregate LC Exposure shall not exceed $15,000,000, (ii) no Revolving Lender’s Revolving Exposure shall exceed its Revolving Commitment and (iii) the Aggregate Revolving Exposure shall not exceed the lesser of (x) the Aggregate Revolving Commitment and (y) the Borrowing Base.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clause (i) of this Section 2.06(b).</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3" w:name="page234"/>
    <w:bookmarkEnd w:id="233"/>
    <w:p>
      <w:pPr>
        <w:ind w:left="660"/>
        <w:spacing w:after="0"/>
        <w:rPr>
          <w:sz w:val="20"/>
          <w:szCs w:val="20"/>
          <w:color w:val="auto"/>
        </w:rPr>
      </w:pPr>
      <w:r>
        <w:rPr>
          <w:rFonts w:ascii="Times New Roman" w:cs="Times New Roman" w:eastAsia="Times New Roman" w:hAnsi="Times New Roman"/>
          <w:sz w:val="18"/>
          <w:szCs w:val="18"/>
          <w:color w:val="auto"/>
        </w:rPr>
        <w:t>An Issuing Bank shall not be under any obligation to issue any Letter of Credit if:</w:t>
      </w:r>
    </w:p>
    <w:p>
      <w:pPr>
        <w:spacing w:after="0" w:line="225" w:lineRule="exact"/>
        <w:rPr>
          <w:sz w:val="20"/>
          <w:szCs w:val="20"/>
          <w:color w:val="auto"/>
        </w:rPr>
      </w:pPr>
    </w:p>
    <w:p>
      <w:pPr>
        <w:jc w:val="both"/>
        <w:ind w:left="660" w:firstLine="644"/>
        <w:spacing w:after="0" w:line="255" w:lineRule="auto"/>
        <w:tabs>
          <w:tab w:leader="none" w:pos="1743"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such Letter of Credit, or any Requirement of Law relating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or</w:t>
      </w:r>
    </w:p>
    <w:p>
      <w:pPr>
        <w:spacing w:after="0" w:line="188"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Issuing Bank applicable to letters of credit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extension of the expiration thereof, including, without limitation, any automatic renewal provision, one year after such extension) and (ii) the date that is five Business Days prior to the Maturity Date.</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43"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respective Issuing Bank, such Lender's Applicable Percentage of each LC Disbursement made by such Issuing Bank and not reimbursed by the Borrowers on the date due as provided in paragraph (e) of this Section, or of any reimbursement payment required to be refunded to the Borrowers for any reason, including after the Maturity Date. Each such payment shall be made without any offset, abatement, withholding or reduction whatsoever. Each Revolving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Commitments.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4" w:name="page235"/>
    <w:bookmarkEnd w:id="234"/>
    <w:p>
      <w:pPr>
        <w:jc w:val="both"/>
        <w:ind w:firstLine="656"/>
        <w:spacing w:after="0" w:line="252" w:lineRule="auto"/>
        <w:tabs>
          <w:tab w:leader="none" w:pos="127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xml:space="preserve"> If an Issuing Bank shall make any LC Disbursement in respect of a Letter of Credit, the Borrowers shall reimburse such LC Disbursement by paying to the Administrative Agent an amount equal to such LC Disbursement not later than 11:00 a.m., Chicago time, on (a) (i) the Business Day that the Borrower Representative receives notice of such LC Disbursement, if such notice is received prior to 9:00 a.m., Chicago time, on the day of receipt, or (ii) the Business Day immediately following the day that the Borrower Representative receives such notice, if such notice is received after 9:00 a.m. Chicago time on the day of receipt;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may, subject to the conditions to borrowing set forth herein, request in accordance with Section 2.03 that such payment be financed with a CBFR Borrowing in an equivalent amount and, to the extent so financed, the Borrowers’ obligation to make such payment shall be discharged and replaced by the resulting CBFR Borrowing or Swingline Loan. If the Borrowers fail to make such payment when due, the Administrative Agent shall notify each Revolving Lender of the applicable LC Disbursement,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Section 2.07 with respect to Loans made by such Lender (and Section 2.07 shall apply,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 to the payment obligations of the Revolving Lenders), and the Administrative Agent shall promptly pay to the respective Issuing Bank the amounts so received by it from the Revolving Lenders. Promptly following receipt by the Administrative Agent of any payment from the Borrowers pursuant to this paragraph, the Administrative Agent shall distribute such payment to the respective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an Issuing Bank for any LC Disbursement (other than the funding of CBFR Revolving Loans or Swingline Loans as contemplated above) shall not constitute a Loan and shall not relieve the Borrowers of their obligation to reimburse such LC Disbursement.</w:t>
      </w:r>
    </w:p>
    <w:p>
      <w:pPr>
        <w:spacing w:after="0" w:line="193" w:lineRule="exact"/>
        <w:rPr>
          <w:rFonts w:ascii="Times New Roman" w:cs="Times New Roman" w:eastAsia="Times New Roman" w:hAnsi="Times New Roman"/>
          <w:sz w:val="18"/>
          <w:szCs w:val="18"/>
          <w:color w:val="auto"/>
        </w:rPr>
      </w:pPr>
    </w:p>
    <w:p>
      <w:pPr>
        <w:jc w:val="both"/>
        <w:ind w:firstLine="656"/>
        <w:spacing w:after="0" w:line="251" w:lineRule="auto"/>
        <w:tabs>
          <w:tab w:leader="none" w:pos="1327"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joint and several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respective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Revolving Lenders, nor any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5" w:name="page236"/>
    <w:bookmarkEnd w:id="235"/>
    <w:p>
      <w:pPr>
        <w:jc w:val="both"/>
        <w:ind w:firstLine="656"/>
        <w:spacing w:after="0" w:line="256" w:lineRule="auto"/>
        <w:tabs>
          <w:tab w:leader="none" w:pos="126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applicable Borrower by telephone (confirmed by fax or through Electronic Systems) of such demand for payment if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Borrowers of their obligation to reimburse such Issuing Bank and the Revolving Lenders with respect to any such LC Disbursement.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27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the Issuing Bank for any Letter of Credit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CBFR Revolving Loans and such interest shall be due and payable on the date when such reimbursement is payable;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Borrowers fail to reimburse such LC Disbursement when due pursuant to paragraph (e) of this Section, then Section 2.13(d) shall apply. Interest accrued pursuant to this paragraph shall be for the account of such Issuing Bank, except that interest accrued on and after the date of payment by any Revolving Lender pursuant to paragraph (e) of this Section to reimburse such Issuing Bank for such LC Disbursement shall be for the account of such Lender to the extent of such payment.</w:t>
      </w:r>
    </w:p>
    <w:p>
      <w:pPr>
        <w:spacing w:after="0" w:line="19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and Resignation of an Issuing Bank.</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53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Issuing Bank may be replaced at any time by written agreement among the Borrower Representative, the Administrative Agent, the replaced Issuing Bank and the successor Issuing Bank. The Administrative Agent shall notify the Revolving Lenders of any such replacement of an Issuing Bank. At the time any such replacement shall become effective, the Borrowers shall pay all unpaid fees accrued for the account of the replaced Issuing Bank pursuant to Section 2.12(c). From and after the effective date of any such replacement, (A) the successor Issuing Bank shall have all the rights and obligations of an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8"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appointment and acceptance of a successor Issuing Bank, any Issuing Bank may resign as an Issuing Bank at any time upon thirty days’ prior written notice to the Administrative Agent, the Borrower Representative and the Lenders, in which case, such resigning Issuing Bank shall be replaced in accordance with Section 2.06(i)(i)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6" w:name="page237"/>
    <w:bookmarkEnd w:id="236"/>
    <w:p>
      <w:pPr>
        <w:jc w:val="both"/>
        <w:ind w:firstLine="656"/>
        <w:spacing w:after="0" w:line="253" w:lineRule="auto"/>
        <w:tabs>
          <w:tab w:leader="none" w:pos="1371"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 xml:space="preserve"> If any Event of Default shall occur and be continuing, on the Business Day that the Borrower Representative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Borrowers shall deposit in an account with the Administrative Agent, in the name of the Administrative Agent and for the benefit of the Revolving Lenders (the “</w:t>
      </w:r>
      <w:r>
        <w:rPr>
          <w:rFonts w:ascii="Times New Roman" w:cs="Times New Roman" w:eastAsia="Times New Roman" w:hAnsi="Times New Roman"/>
          <w:sz w:val="18"/>
          <w:szCs w:val="18"/>
          <w:u w:val="single" w:color="auto"/>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an amount in cash equal to 105% of the amount of the LC Exposure as of such date plus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3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VII. Such Borrower also shall deposit cash collateral in accordance with this paragraph as and to the extent required by Sections 2.10(b),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Borrowers shall immediately deposit in the LC Collateral Account an amount in cash equal to 105% of such LC Exposure as of such date plus any accrued and unpaid interest thereon. The Administrative Agent shall have exclusive dominion and control, including the exclusive right of withdrawal, over the LC Collateral Account and the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50% of the aggregate LC Exposure),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w:t>
      </w:r>
    </w:p>
    <w:p>
      <w:pPr>
        <w:spacing w:after="0" w:line="190" w:lineRule="exact"/>
        <w:rPr>
          <w:rFonts w:ascii="Times New Roman" w:cs="Times New Roman" w:eastAsia="Times New Roman" w:hAnsi="Times New Roman"/>
          <w:sz w:val="18"/>
          <w:szCs w:val="18"/>
          <w:color w:val="auto"/>
        </w:rPr>
      </w:pPr>
    </w:p>
    <w:p>
      <w:pPr>
        <w:jc w:val="both"/>
        <w:ind w:firstLine="656"/>
        <w:spacing w:after="0" w:line="253" w:lineRule="auto"/>
        <w:tabs>
          <w:tab w:leader="none" w:pos="133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Issuing Bank Reports to the Administrative Agent</w:t>
      </w:r>
      <w:r>
        <w:rPr>
          <w:rFonts w:ascii="Times New Roman" w:cs="Times New Roman" w:eastAsia="Times New Roman" w:hAnsi="Times New Roman"/>
          <w:sz w:val="18"/>
          <w:szCs w:val="18"/>
          <w:color w:val="auto"/>
        </w:rPr>
        <w:t>. Unless otherwise agreed by the Administrative Agent, each Issuing Bank that is not the Administrative Agent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and amendments, all expirations and cancelations and all disbursements and reimbursements, (ii) reasonably prior to the time that such Issuing Bank issues, amends or extends any Letter of Credit, the date of such issuance, amendment or extension, and the stated amount of the Letters of Credit issued, amended or extended by it and outstanding after giving effect to such issuance, amendment or extension (and whether the amounts thereof shall have changed), (iii) on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128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Account of Subsidiaries.</w:t>
      </w:r>
      <w:r>
        <w:rPr>
          <w:rFonts w:ascii="Times New Roman" w:cs="Times New Roman" w:eastAsia="Times New Roman" w:hAnsi="Times New Roman"/>
          <w:sz w:val="18"/>
          <w:szCs w:val="18"/>
          <w:color w:val="auto"/>
        </w:rPr>
        <w:t xml:space="preserve">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Borrowers (i) shall reimburse, indemnify and compensate the Issuing Bank hereunder for such Letter of Credit (including to reimburse any and all drawings thereunder) as if such Letter of Credit had been issued solely for the account of a Borrower and (ii) irrevocably waives any and all defenses that might otherwise be available to it as a guarantor or surety of any or all of the obligations of such Subsidiary in respect of such Letter of Credit. Each Borrower hereby acknowledges that the issuance of such Letters of Credit for its Subsidiaries inures to the benefit of the Borrowers, and that each Borrower’s business derives substantial benefits from the businesses of such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7" w:name="page238"/>
    <w:bookmarkEnd w:id="23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 xml:space="preserve"> (a) Each Lender shall make each Loan to be made by such Lender hereunder on the proposed date thereof solely by wire transfer of immediately available funds by 2:00 p.m., Chicago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2.05. The Administrative Agent will make such Loans available to the Borrower Representative by promptly crediting the funds so received in the aforesaid account of the Administrative Agent to a Funding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CBFR Revolving Loans made to finance the reimbursement of (i) an LC Disbursement as provided in Section 2.06(e) shall be remitted by the Administrative Agent to the Issuing Bank and (ii) a Protective Advance or an Overadvance shall be retained by the Administrative Agent.</w:t>
      </w:r>
    </w:p>
    <w:p>
      <w:pPr>
        <w:spacing w:after="0" w:line="189" w:lineRule="exact"/>
        <w:rPr>
          <w:sz w:val="20"/>
          <w:szCs w:val="20"/>
          <w:color w:val="auto"/>
        </w:rPr>
      </w:pPr>
    </w:p>
    <w:p>
      <w:pPr>
        <w:jc w:val="both"/>
        <w:ind w:firstLine="656"/>
        <w:spacing w:after="0" w:line="253" w:lineRule="auto"/>
        <w:tabs>
          <w:tab w:leader="none" w:pos="1307"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Borrowers each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Federal Funds Effective Rate and a rate determined by the Administrative Agent in accordance with banking industry rules on interbank compensation and (ii) in the case of the Borrowers, the interest rate applicable to CBFR Loans. If such Lender pays such amount to the Administrative Agent, then such amount shall constitute such Lender's Loan included in such Borrowing,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interest received from a Borrower by the Administrative Agent during the period beginning when Administrative Agent funded the Borrowing until such Lender pays such amount shall be solely for the account of the Administrative Agent.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 Elections.</w:t>
      </w:r>
      <w:r>
        <w:rPr>
          <w:rFonts w:ascii="Times New Roman" w:cs="Times New Roman" w:eastAsia="Times New Roman" w:hAnsi="Times New Roman"/>
          <w:sz w:val="18"/>
          <w:szCs w:val="18"/>
          <w:color w:val="auto"/>
        </w:rPr>
        <w:t xml:space="preserve"> (a) Each Borrowing initially shall be of the Type specified in the applicable Borrowing Request and, in the case of a Term Benchmark Borrowing, shall have an initial Interest Period as specified in such Borrowing Request. Thereafter, the Borrower Representative may elect to convert such Borrowing to a different Type or to continue such Borrowing and, in the case of a Term Benchmark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8" w:name="page239"/>
    <w:bookmarkEnd w:id="238"/>
    <w:p>
      <w:pPr>
        <w:jc w:val="both"/>
        <w:ind w:firstLine="656"/>
        <w:spacing w:after="0" w:line="254" w:lineRule="auto"/>
        <w:tabs>
          <w:tab w:leader="none" w:pos="127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election pursuant to this Section, the Borrower Representative shall notify the Administrative Agent of such election either in writing (delivered by hand or fax) by delivering an Interest Election Request signed by a Responsible Officer of the Borrower Representative or through Electronic System if arrangements for doing so have been approved by the Administrative Agent (or if an Extenuating Circumstance shall exist, by telephone) by the time that a Borrowing Request would be required under Section 2.03 if the Borrowers were requesting a Borrowing of the Type resulting from such election to be made on the effective date of such election. Each such Interest Election Request shall be irrevocable and each such telephonic Interest Election Request, if permitted, shall be confirmed immediately upon the cessation of the Extenuating Circumstance by hand delivery, Electronic System or facsimile to the Administrative Agent of a written Interest Election Request in a form approved by the Administrative Agent and signed by a Responsible Officer of the Borrower Representative.</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257"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written (or if permitted, telephonic) Interest Election Request (including requests submitted through Electronic System) shall specify the following information in compliance with Section 2.02:</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2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of the election made pursuant to such Interest Election Request, which shall be a Business Day;</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resulting Borrowing is to be a CBFR Borrowing or a Term Benchmark Borrowing;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77"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resulting Borrowing is a Term Benchmark Borrowing, the Interest Period to be applicable thereto after giving effect to such election, which shall be a period contemplated by the definition of the term “Interest Period”.</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any such Interest Election Request requests a Term Benchmark Borrowing but does not specify an Interest Period, then the Borrowers shall be deemed to have selected an Interest Period of one month's duration.</w:t>
      </w:r>
    </w:p>
    <w:p>
      <w:pPr>
        <w:spacing w:after="0" w:line="162" w:lineRule="exact"/>
        <w:rPr>
          <w:sz w:val="20"/>
          <w:szCs w:val="20"/>
          <w:color w:val="auto"/>
        </w:rPr>
      </w:pPr>
    </w:p>
    <w:p>
      <w:pPr>
        <w:ind w:right="20" w:firstLine="656"/>
        <w:spacing w:after="0" w:line="282" w:lineRule="auto"/>
        <w:tabs>
          <w:tab w:leader="none" w:pos="131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2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Representative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 CBFR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Term Benchmark Borrowing and (ii) unless repaid, each Term Benchmark Borrowing shall be converted to a CBFR Borrowing at the end of the Interest Period applicable thereto.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9" w:name="page240"/>
    <w:bookmarkEnd w:id="239"/>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of Commitments; Increase in Revolving Commitments.</w:t>
      </w:r>
      <w:r>
        <w:rPr>
          <w:rFonts w:ascii="Times New Roman" w:cs="Times New Roman" w:eastAsia="Times New Roman" w:hAnsi="Times New Roman"/>
          <w:sz w:val="18"/>
          <w:szCs w:val="18"/>
          <w:color w:val="auto"/>
        </w:rPr>
        <w:t xml:space="preserve"> (a) Unless previously terminated, the Revolving Commitments shall terminate on the Maturity Date.</w:t>
      </w:r>
    </w:p>
    <w:p>
      <w:pPr>
        <w:spacing w:after="0" w:line="162" w:lineRule="exact"/>
        <w:rPr>
          <w:sz w:val="20"/>
          <w:szCs w:val="20"/>
          <w:color w:val="auto"/>
        </w:rPr>
      </w:pPr>
    </w:p>
    <w:p>
      <w:pPr>
        <w:ind w:left="1260" w:hanging="604"/>
        <w:spacing w:after="0"/>
        <w:tabs>
          <w:tab w:leader="none" w:pos="126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at any time terminate the Revolving Commitments upon the Payment in Full of the Secured Obligations.</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281"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shall notify the Administrative Agent of any election to terminate the Commitments under paragraph (b) of this Section at least three (3) Business Days prior to the effective date of such termination, specifying such election and the effective date thereof. Promptly following receipt of any notice, the Administrative Agent shall advise the Lenders of the contents thereof. Each notice delivered by the Borrower Representative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of the Commitments shall be permanent. Each reduction of the Commitments shall be made ratably among the Lenders in accordance with their respective Commitments.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shall have the right to increase the Revolving Commitments by obtaining additional Revolving Commitments, either from one or more of the Lenders or another lending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request for an increase shall be in a minimum amount of $5,000,000,</w:t>
      </w:r>
    </w:p>
    <w:p>
      <w:pPr>
        <w:jc w:val="both"/>
        <w:ind w:firstLine="8"/>
        <w:spacing w:after="0" w:line="253" w:lineRule="auto"/>
        <w:tabs>
          <w:tab w:leader="none" w:pos="26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on behalf of the Borrowers, may make a maximum of two (2) such requests, (iii) after giving effect thereto, the sum of the total of the additional Commitments does not exceed $25,000,000, (iv) the Administrative Agent and the Issuing Bank have approved the identity of any such new Lender, such approvals not to be unreasonably withheld, (v) any such new Lender assumes all of the rights and obligations of a “Lender” hereunder, and (vi) the procedure described in Section 2.09(f) have been satisfied. Nothing contained in this Section 2.09 shall constitute, or otherwise be deemed to be, a commitment on the part of any Lender to increase its Commitment hereunder at any time.</w:t>
      </w:r>
    </w:p>
    <w:p>
      <w:pPr>
        <w:spacing w:after="0" w:line="186" w:lineRule="exact"/>
        <w:rPr>
          <w:rFonts w:ascii="Times New Roman" w:cs="Times New Roman" w:eastAsia="Times New Roman" w:hAnsi="Times New Roman"/>
          <w:sz w:val="18"/>
          <w:szCs w:val="18"/>
          <w:color w:val="auto"/>
        </w:rPr>
      </w:pPr>
    </w:p>
    <w:p>
      <w:pPr>
        <w:jc w:val="both"/>
        <w:ind w:firstLine="656"/>
        <w:spacing w:after="0" w:line="253" w:lineRule="auto"/>
        <w:tabs>
          <w:tab w:leader="none" w:pos="1283"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hereto for such an increase or addition shall be in form and substance satisfactory to the Administrative Agent and shall only require the written signatures of the Administrative Agent, the Borrowers and each Lender being added or increasing its Commitment subject only to the approval of all Lenders if any such increase or addition would cause the Revolving Commitments to exceed $175,000,000. As a condition precedent to such an increase or addition,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 (1) the representations and warranties contained in Article III and the other Loan Documents are true and correct, except to the extent that such representations and warranties specifically refer to an earlier date, in which case they are true and correct as of such earlier date, (2) no Default exists and (3) the Borrowers are in compliance (on a pro forma basis) with the covenants contained in Section 6.12(a) and (ii) legal opinions and documents consistent with those delivered on the Effective Date, to the extent requested by the Administrative Agent.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0" w:name="page241"/>
    <w:bookmarkEnd w:id="240"/>
    <w:p>
      <w:pPr>
        <w:jc w:val="both"/>
        <w:ind w:firstLine="656"/>
        <w:spacing w:after="0" w:line="252" w:lineRule="auto"/>
        <w:tabs>
          <w:tab w:leader="none" w:pos="125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of any such increase or addition,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Representative,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Borrowers pursuant to the provisions of Section 2.16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 and Amortization of Loans; Evidence of Debt.</w:t>
      </w:r>
      <w:r>
        <w:rPr>
          <w:rFonts w:ascii="Times New Roman" w:cs="Times New Roman" w:eastAsia="Times New Roman" w:hAnsi="Times New Roman"/>
          <w:sz w:val="18"/>
          <w:szCs w:val="18"/>
          <w:color w:val="auto"/>
        </w:rPr>
        <w:t xml:space="preserve"> (a) The Borrowers hereby unconditionally promise to pay (i) to the Administrative Agent for the account of each Revolving Lender the then unpaid principal amount of each Revolving Loan on the Maturity Date, and (ii) to the Administrative Agent the then unpaid amount of each Protective Advance on the earlier of the Maturity Date and demand by the Administrative Agent.</w:t>
      </w:r>
    </w:p>
    <w:p>
      <w:pPr>
        <w:spacing w:after="0" w:line="176" w:lineRule="exact"/>
        <w:rPr>
          <w:sz w:val="20"/>
          <w:szCs w:val="20"/>
          <w:color w:val="auto"/>
        </w:rPr>
      </w:pPr>
    </w:p>
    <w:p>
      <w:pPr>
        <w:jc w:val="both"/>
        <w:ind w:firstLine="656"/>
        <w:spacing w:after="0" w:line="256" w:lineRule="auto"/>
        <w:tabs>
          <w:tab w:leader="none" w:pos="154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all times that full cash dominion is in effect pursuant to Section 7.3 of the Security Agreement, on each Business Day, the Administrative Agent shall apply all funds credited to the Collection Account on the immediately preceding Business Day (at the discretion of the Administrative Agent, whether or not immediately available)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prepay any Protective Advances and Overadvances that may be outstanding, pro rata,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prepay the Revolving Loans (including Swingline Loans)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an Event of Default has occurred and is continuing, to cash collateralize outstanding LC Exposure. Notwithstanding the foregoing, to the extent any funds credited to the Collection Account constitute Net Proceeds, the application of such Net Proceeds shall be subject to Section 2.11(c).</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67"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(c) or (d) of this Section shall be </w:t>
      </w:r>
      <w:r>
        <w:rPr>
          <w:rFonts w:ascii="Times New Roman" w:cs="Times New Roman" w:eastAsia="Times New Roman" w:hAnsi="Times New Roman"/>
          <w:sz w:val="18"/>
          <w:szCs w:val="18"/>
          <w:u w:val="single" w:color="auto"/>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1" w:name="page242"/>
    <w:bookmarkEnd w:id="2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 xml:space="preserve"> (a) The Borrowers shall have the right at any time and from time to time to prepay any Borrowing in whole or in part, subject to prior notice in accordance with paragraph (e) of this Section and, if applicable, payment of any break funding expenses under Section 2.16.</w:t>
      </w:r>
    </w:p>
    <w:p>
      <w:pPr>
        <w:spacing w:after="0" w:line="176" w:lineRule="exact"/>
        <w:rPr>
          <w:sz w:val="20"/>
          <w:szCs w:val="20"/>
          <w:color w:val="auto"/>
        </w:rPr>
      </w:pPr>
    </w:p>
    <w:p>
      <w:pPr>
        <w:jc w:val="both"/>
        <w:ind w:firstLine="656"/>
        <w:spacing w:after="0" w:line="261" w:lineRule="auto"/>
        <w:tabs>
          <w:tab w:leader="none" w:pos="1263"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Overadvances permitted under Section 2.05, in the event and on such occasion that the Aggregate Revolving Exposure exceeds the lesser of (i) the Aggregate Revolving Commitment and (ii) the Borrowing Base, the Borrowers shall prepay the Revolving Loans, LC Exposure and/or Swingline Loans or cash collateralize the LC Exposure in an account with the Administrative Agent pursuant to Section 2.06(j), as applicable, in an aggregate amount equal to such excess.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56"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and on each occasion that any Net Proceeds are received by or on behalf of any Loan Party in respect of any Prepayment Event, the Borrowers shall, immediately after such Net Proceeds are received by any Loan Party, prepay the Obligations and cash collateralize the LC Exposure as set forth in Section 2.11(d) below in an aggregate amount equal to (x) in the case of a prepayment event described in clause (c) of the definition of the term “Prepayment Event”, 20% of such Net Proceeds and (y) in the case of all other Prepayment Events, 100% of such Net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a prepayment event described in clause (c) of the definition of the term “Prepayment Event”, unless an Event of Default has occurred and is continuing, there shall be no requirement to cash collateralize the LC Exposure, and (y) in the case of any event described in clause (a) or</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6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the term “Prepayment Event”, if the Borrower Representative shall deliver to the Administrative Agent a certificate of a Financial Officer to the effect that the Loan Parties intend to apply the Net Proceeds from such event (or a portion thereof specified in such certificate), within 180 days after receipt of such Net Proceeds, to acquire (or replace or rebuild) equipment or other tangible assets (excluding inventory) to be used in the business of the Loan Parties, and certifying that no Default has occurred and is continuing, then either (i) so long as full cash dominion is not in effect, no prepayment shall be required pursuant to this paragraph in respect of the Net Proceeds specified in such certificate or (ii) if full cash dominion is in effect, then, if the Net Proceeds specified in such certificate are to be applied to acquire, replace or rebuild such assets by (A) the Borrowers, such Net Proceeds shall be applied by the Administrative Agent to reduce the outstanding principal balance of the Revolving Loans (without a permanent reduction of the Revolving Commitment) and upon such application, the Administrative Agent shall establish a Reserve against the Borrowing Base in an amount equal to the amount of such proceeds so applied and (B) any Loan Party that is not a Borrower, such Net Proceeds shall be deposited in a cash collateral account, and in the case of either (A) or (B), thereafter, such funds shall be made available to the applicable Loan Party as follows:</w:t>
      </w:r>
    </w:p>
    <w:p>
      <w:pPr>
        <w:spacing w:after="0" w:line="192" w:lineRule="exact"/>
        <w:rPr>
          <w:rFonts w:ascii="Times New Roman" w:cs="Times New Roman" w:eastAsia="Times New Roman" w:hAnsi="Times New Roman"/>
          <w:sz w:val="18"/>
          <w:szCs w:val="18"/>
          <w:color w:val="auto"/>
        </w:rPr>
      </w:pPr>
    </w:p>
    <w:p>
      <w:pPr>
        <w:ind w:left="660" w:firstLine="644"/>
        <w:spacing w:after="0" w:line="282" w:lineRule="auto"/>
        <w:tabs>
          <w:tab w:leader="none" w:pos="1945"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Representative shall request a Revolving Borrowing (specifying that the request is to use Net Proceeds pursuant to this Section) or the applicable Loan Party shall request a release from the cash collateral account be made in the amount needed;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65"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conditions set forth in Section 4.02 have been met, the Revolving Lenders shall make such Revolving Borrowing or the Administrative Agent shall release funds from the cash collateral account;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40"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Net Proceeds applied against the Revolving Borrowing, the Reserve established with respect to such insurance proceeds shall be reduced by the amount of such Revolving Borrowing;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2" w:name="page243"/>
    <w:bookmarkEnd w:id="242"/>
    <w:p>
      <w:pPr>
        <w:ind w:right="20"/>
        <w:spacing w:after="0" w:line="239" w:lineRule="exact"/>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of any such Net Proceeds therefrom that have not been so applied by the end of such 180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a prepayment shall be required at such time in an amount equal to such Net Proceeds that have not been so applied.</w:t>
      </w:r>
    </w:p>
    <w:p>
      <w:pPr>
        <w:spacing w:after="0" w:line="199" w:lineRule="exact"/>
        <w:rPr>
          <w:sz w:val="20"/>
          <w:szCs w:val="20"/>
          <w:color w:val="auto"/>
        </w:rPr>
      </w:pPr>
    </w:p>
    <w:p>
      <w:pPr>
        <w:jc w:val="both"/>
        <w:ind w:firstLine="656"/>
        <w:spacing w:after="0" w:line="258" w:lineRule="auto"/>
        <w:tabs>
          <w:tab w:leader="none" w:pos="1293"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prepayments made pursuant to Section 2.11(a) shall be applied, if made with respect to the Revolving Loans or the Swingline Loans, to prepay such Loans in accordance with the Lenders’ respective Applicable Percentages without a corresponding reduction in the Revolving Commitments and to cash collateralize outstanding LC Exposure. All such amounts pursuant to Section 2.11(c)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prepay any Protective Advances and Overadvances that may be outstanding, pro rata,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prepay the Revolving Loans (including Swingline Loans) without a corresponding reduction in the Revolving Commitments and, if required in accordance with Section 2.11(c), to cash collateralize outstanding LC Exposure.</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31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shall notify the Administrative Agent (and, in the case of prepayment of a Swingline Loan, the Swingline Lender) by telephone (confirmed by fax) or through Electronic System, if arrangements for doing so have been approved by the Administrative Agent, of any prepayment hereunder not later than 10:00 a.m., Chicago time, (A) in the case of prepayment of a Term Benchmark Borrowing, three (3) Business Days before the date of prepayment, or (B) in the case of prepayment of a CBFR Revolving Borrowing, one (1) Business Day before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Revolving Loans included in the prepaid Borrowing. Prepayments shall be accompanied by (i) accrued interest to the extent required by Section 2.13 and (ii) break funding payments pursuant to Section 2.16.</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 The Borrowers agree to pay to the Administrative Agent for the account of each Lender a commitment fee, which shall accrue at the Applicable Rate on the average daily amount of the Available Revolving Commitment of such Lender during the period from and including the Effective Date to but excluding the date on which the Revolving Commitments terminate. Accrued commitment fees shall be payable in arrears on the first Business Day of each calendar month and on the date on which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w:t>
      </w:r>
    </w:p>
    <w:p>
      <w:pPr>
        <w:spacing w:after="0" w:line="187" w:lineRule="exact"/>
        <w:rPr>
          <w:sz w:val="20"/>
          <w:szCs w:val="20"/>
          <w:color w:val="auto"/>
        </w:rPr>
      </w:pPr>
    </w:p>
    <w:p>
      <w:pPr>
        <w:ind w:firstLine="656"/>
        <w:spacing w:after="0" w:line="282" w:lineRule="auto"/>
        <w:tabs>
          <w:tab w:leader="none" w:pos="1294"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to pay Administrative Agent for its own account, all fees and other amounts required to be paid pursuant to the Fee Letter and the Second Amendment Fee Letter, at the times and in the amounts as specified therein.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43" w:name="page244"/>
    <w:bookmarkEnd w:id="243"/>
    <w:p>
      <w:pPr>
        <w:jc w:val="both"/>
        <w:ind w:firstLine="656"/>
        <w:spacing w:after="0" w:line="252" w:lineRule="auto"/>
        <w:tabs>
          <w:tab w:leader="none" w:pos="130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agree to pay (i) to the Administrative Agent for the account of each Revolving Lender a participation fee with respect to its participations in each outstanding Letter of Credit, which shall accrue on the daily maximum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per annum on the daily maximum amount then available to be drawn under such Letter of Credit, during the period from and including the Effective Date to but excluding the later of the date of termination of the Revolving Commitments and the date on which there ceases to be any LC Exposure with respect to Letters of Credit issued by such Issuing Bank, as well as such Issuing Bank’s standard fees and commissions with respect to the issuance, amendment or extension of any Letter of Credit and other processing fees and other standard costs and charges, of such Issuing Bank relating to Letters of Credit as from time to time in effect. Participation fees and fronting fees accrued through and including the last day of each calendar month shall be payable on the first Business Day of each calendar month following such last day, commencing on the first such date to occur after the Effective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95" w:lineRule="exact"/>
        <w:rPr>
          <w:rFonts w:ascii="Times New Roman" w:cs="Times New Roman" w:eastAsia="Times New Roman" w:hAnsi="Times New Roman"/>
          <w:sz w:val="18"/>
          <w:szCs w:val="18"/>
          <w:color w:val="auto"/>
        </w:rPr>
      </w:pPr>
    </w:p>
    <w:p>
      <w:pPr>
        <w:ind w:right="20" w:firstLine="656"/>
        <w:spacing w:after="0" w:line="282" w:lineRule="auto"/>
        <w:tabs>
          <w:tab w:leader="none" w:pos="136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to pay to the Administrative Agent, for its own account, fees payable in the amounts and at the times separately agreed upon between the Borrowers and the Administrative Agent.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dollars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p>
    <w:p>
      <w:pPr>
        <w:spacing w:after="0" w:line="225" w:lineRule="exact"/>
        <w:rPr>
          <w:sz w:val="20"/>
          <w:szCs w:val="20"/>
          <w:color w:val="auto"/>
        </w:rPr>
      </w:pPr>
    </w:p>
    <w:p>
      <w:pPr>
        <w:ind w:left="1300" w:hanging="644"/>
        <w:spacing w:after="0"/>
        <w:tabs>
          <w:tab w:leader="none" w:pos="130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CBFR Borrowings (including all Swingline Loans) shall bear interest at the CBFR plus (or minus) the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firstLine="656"/>
        <w:spacing w:after="0" w:line="282" w:lineRule="auto"/>
        <w:tabs>
          <w:tab w:leader="none" w:pos="135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Term Benchmark Borrowing shall bear interest at the Adjusted Term SOFR Rate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Protective Advance and each Overadvance shall bear interest at the CBFR plus (or minus) the Applicable Rate for Revolving Loans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2%.</w:t>
      </w:r>
    </w:p>
    <w:p>
      <w:pPr>
        <w:spacing w:after="0" w:line="206" w:lineRule="exact"/>
        <w:rPr>
          <w:rFonts w:ascii="Times New Roman" w:cs="Times New Roman" w:eastAsia="Times New Roman" w:hAnsi="Times New Roman"/>
          <w:sz w:val="18"/>
          <w:szCs w:val="18"/>
          <w:color w:val="auto"/>
        </w:rPr>
      </w:pPr>
    </w:p>
    <w:p>
      <w:pPr>
        <w:jc w:val="both"/>
        <w:ind w:firstLine="656"/>
        <w:spacing w:after="0" w:line="258" w:lineRule="auto"/>
        <w:tabs>
          <w:tab w:leader="none" w:pos="130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281"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(for CBFR Loans, accrued through the last day of the prior calendar month) shall be payable in arrears on each Interest Payment Date for such Loan and upon termination of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(d) of this Section shall be payable on demand, (ii) in the event of any repayment or prepayment of any Loan (other than a prepayment of a CBFR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4" w:name="page245"/>
    <w:bookmarkEnd w:id="244"/>
    <w:p>
      <w:pPr>
        <w:jc w:val="both"/>
        <w:ind w:firstLine="656"/>
        <w:spacing w:after="0" w:line="261" w:lineRule="auto"/>
        <w:tabs>
          <w:tab w:leader="none" w:pos="1252"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computed by reference to the CB Floating Rate shall be computed on the basis of a year of 365 days (or 366 days in a leap year), and in each case shall be payable for the actual number of days elapsed (including the first day but excluding the last day). The applicable CB Floating Rate and the Adjusted Term SOFR Rate shall be determined by the Administrative Agent, and such determination shall be conclusive absent manifest error.</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 Illegality.</w:t>
      </w:r>
    </w:p>
    <w:p>
      <w:pPr>
        <w:spacing w:after="0" w:line="225" w:lineRule="exact"/>
        <w:rPr>
          <w:sz w:val="20"/>
          <w:szCs w:val="20"/>
          <w:color w:val="auto"/>
        </w:rPr>
      </w:pPr>
    </w:p>
    <w:p>
      <w:pPr>
        <w:ind w:left="1040" w:hanging="384"/>
        <w:spacing w:after="0"/>
        <w:tabs>
          <w:tab w:leader="none" w:pos="10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(b), (c), (d), (e) and (f) of this Section 2.14 if:</w:t>
      </w:r>
    </w:p>
    <w:p>
      <w:pPr>
        <w:spacing w:after="0" w:line="225" w:lineRule="exact"/>
        <w:rPr>
          <w:rFonts w:ascii="Times New Roman" w:cs="Times New Roman" w:eastAsia="Times New Roman" w:hAnsi="Times New Roman"/>
          <w:sz w:val="18"/>
          <w:szCs w:val="18"/>
          <w:color w:val="auto"/>
        </w:rPr>
      </w:pPr>
    </w:p>
    <w:p>
      <w:pPr>
        <w:jc w:val="both"/>
        <w:ind w:left="660" w:firstLine="482"/>
        <w:spacing w:after="0" w:line="261" w:lineRule="auto"/>
        <w:tabs>
          <w:tab w:leader="none" w:pos="197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and binding absent manifest error) prior to commencement of any Interest Period for a Term Benchmark Borrowing, that the adequate and reasonable means do not exist for ascertaining the Adjusted Term SOFR Rate or the Term SOFR Rate (including because the Term SOFR Reference Rate is not available or published on a current basis), for such Interest Period (each a “</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or</w:t>
      </w:r>
    </w:p>
    <w:p>
      <w:pPr>
        <w:spacing w:after="0" w:line="179" w:lineRule="exact"/>
        <w:rPr>
          <w:rFonts w:ascii="Times New Roman" w:cs="Times New Roman" w:eastAsia="Times New Roman" w:hAnsi="Times New Roman"/>
          <w:sz w:val="18"/>
          <w:szCs w:val="18"/>
          <w:color w:val="auto"/>
        </w:rPr>
      </w:pPr>
    </w:p>
    <w:p>
      <w:pPr>
        <w:jc w:val="both"/>
        <w:ind w:left="660" w:firstLine="482"/>
        <w:spacing w:after="0" w:line="266" w:lineRule="auto"/>
        <w:tabs>
          <w:tab w:leader="none" w:pos="1847"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prior to the commencement of any Interest Period for a Term Benchmark Borrowing, the Adjusted Term SOFR Rate for such Interest Period will not adequately and fairly reflect the cost to such Lenders (or Lender) of making or maintaining their Loans (or its Loan) included in such Borrowing for such interest period;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then the Administrative Agent shall give notice thereof to the Borrower Representative and the Lenders through Electronic System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9.01</w:t>
      </w:r>
      <w:r>
        <w:rPr>
          <w:rFonts w:ascii="Times New Roman" w:cs="Times New Roman" w:eastAsia="Times New Roman" w:hAnsi="Times New Roman"/>
          <w:sz w:val="18"/>
          <w:szCs w:val="18"/>
          <w:color w:val="auto"/>
        </w:rPr>
        <w:t xml:space="preserve"> as promptly as practicable thereafter and, until (x) the Administrative Agent notifies the Borrower Representative and the Lenders that the circumstances giving rise to such notice no longer exist with respect to the relevant Benchmark and (y) the Borrowers deliver a new Interest Election Request in accordance with the terms of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a new Borrowing Request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a CBFR Borrowing; provided that if the circumstances giving rise to such notice affect only one Type of Borrowings, then all other Types of Borrowings shall be permitted. Furthermore, if any Term Benchmark Loan is outstanding on the date the Borrower Representative’s receipt of the notice from the Administrative Agent referred to in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with respect to a Relevant Rate applicable to such Term Benchmark Loan, then until (x) the Administrative Agent notifies the Borrower Representative and the Lenders that the circumstances giving rise to such notice no longer exist with respect to the relevant Benchmark and (y) the Borrowers deliver a new Interest Election Request in accordance with the terms of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a new Borrowing Request in accordance with the terms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any Term Benchmark Loan shall on the last day of the Interest Period applicable to such Loan (or the next succeeding Business Day if such day is not a Business Day), be converted by the Administrative Agent to, and shall constitute, a CBFR Loan.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5" w:name="page246"/>
    <w:bookmarkEnd w:id="245"/>
    <w:p>
      <w:pPr>
        <w:jc w:val="both"/>
        <w:ind w:firstLine="656"/>
        <w:spacing w:after="0" w:line="257" w:lineRule="auto"/>
        <w:tabs>
          <w:tab w:leader="none" w:pos="1108"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58"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(City of Dallas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462"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will promptly notify the Borrower Representative and the Lenders of (i) an occurrence of a Benchmark Transition Event, (ii) the implementation of any Benchmark Replacement, (iii) the effectiveness of any Benchmark Replacement Conforming Changes and (iv) of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89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1"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Borrower Representative’s receipt of notice of the commencement of a Benchmark Unavailability Period, the Borrowers may revoke any request for a Term Benchmark Borrowing of, conversion to or continuation of Term Benchmark Loans to be made, converted or continued during any Benchmark Unavailability Period and, failing that, the Borrowers will be deemed to have converted any such request for a Term Benchmark Borrowing into a request for a Borrowing of or conversion to a CBFR Borrowing. Furthermore, if any Term Benchmark Loan is outstanding on the date of the Borrower Representative’s receipt of notice of the commencement of a Benchmark Unavailability Period with respect to a Relevant Rate applicable to such Term Benchmark Loan, then until such time as a Benchmark Replacement is implemented pursuant to this Section 2.14, Term Benchmark Loan shall on the last day of the Interest Period applicable to such Loan (or the next succeeding Business Day if such day is not a Business Day), be converted by the Administrative Agent to, and shall constitute, a CBFR Loan.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6" w:name="page247"/>
    <w:bookmarkEnd w:id="246"/>
    <w:p>
      <w:pPr>
        <w:ind w:left="66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 xml:space="preserve"> (a) If any Change in Law shall:</w:t>
      </w:r>
    </w:p>
    <w:p>
      <w:pPr>
        <w:spacing w:after="0" w:line="225" w:lineRule="exact"/>
        <w:rPr>
          <w:sz w:val="20"/>
          <w:szCs w:val="20"/>
          <w:color w:val="auto"/>
        </w:rPr>
      </w:pPr>
    </w:p>
    <w:p>
      <w:pPr>
        <w:jc w:val="both"/>
        <w:ind w:left="1300" w:firstLine="652"/>
        <w:spacing w:after="0" w:line="266" w:lineRule="auto"/>
        <w:tabs>
          <w:tab w:leader="none" w:pos="2797"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or the Issuing Bank;</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62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72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47"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into or main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taining any Loan (or of maintaining its obligation to make any such Loan) or to increase the cost to such Lender, the Issuing Bank or such other Recipient of participating in, issuing or maintaining any Letter of Credit or to reduce the amount of any sum received or receiv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200" w:lineRule="exact"/>
        <w:rPr>
          <w:sz w:val="20"/>
          <w:szCs w:val="20"/>
          <w:color w:val="auto"/>
        </w:rPr>
      </w:pPr>
    </w:p>
    <w:p>
      <w:pPr>
        <w:jc w:val="both"/>
        <w:ind w:firstLine="656"/>
        <w:spacing w:after="0" w:line="254" w:lineRule="auto"/>
        <w:tabs>
          <w:tab w:leader="none" w:pos="132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w:t>
      </w:r>
    </w:p>
    <w:p>
      <w:pPr>
        <w:spacing w:after="0" w:line="191"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348"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Representative and shall be conclusive absent manifest error. The Borrowers shall pay such Lender or the Issuing Bank, as the case may be, the amount shown as due on any such certificate within ten (10) days after receipt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7" w:name="page248"/>
    <w:bookmarkEnd w:id="247"/>
    <w:p>
      <w:pPr>
        <w:jc w:val="both"/>
        <w:ind w:firstLine="656"/>
        <w:spacing w:after="0" w:line="256" w:lineRule="auto"/>
        <w:tabs>
          <w:tab w:leader="none" w:pos="1373"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not be required to compensate a Lender or the Issuing Bank pursuant to this Section for any increased costs or reductions incurred more than 270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87" w:lineRule="exact"/>
        <w:rPr>
          <w:sz w:val="20"/>
          <w:szCs w:val="20"/>
          <w:color w:val="auto"/>
        </w:rPr>
      </w:pPr>
    </w:p>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In the event of (a) the payment of any principal of any Term Benchmark Loan other than on the last day of an Interest Period applicable thereto (including as a result of an Event of Default or as a result of any prepayment pursuant to Section 2.11), (b) the conversion of any Term Benchmark Loan other than on the last day of the Interest Period applicable thereto, (c) the failure to borrow, convert, continue or prepay any Term Benchmark Loan on the date specified in any notice delivered pursuant hereto (regardless of whether such notice may be revoked under Section 2.09(c) and is revoked in accordance therewith), or (d) the assignment of any Term Benchmark Loan other than on the last day of the Interest Period applicable thereto as a result of a request by the Borrower Representative pursuant to Section 2.19 or 9.02(d), then, in any such event, the Borrowers shall compensate each Lender for the loss, cost and expense attributable to such event. In the case of a Term Benchmark Loan, such loss, cost or expense to any Lender shall be deemed to include an amount determined by such Lender to be the excess, if any, of (i) the amount of interest which would have accrued on the principal amount of such Term Benchmark Loan had such event not occurred, at the Adjusted Term SOFR Rate that would have been applicable to such Term Benchmark Loan, for the period from the date of such event to the last day of the then current Interest Period therefor (or, in the case of a failure to borrow, convert or continue, for the period that would have been the Interest Period for such Term Benchmark Loan), over (ii) the amount of interest which would accrue on such principal amount for such period at the interest rate which such Lender would bid were it to bid, at the commencement of such period, for dollar deposits of a comparable amount and period from other banks in the U.S. market. A certifi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ten (10) days after receipt thereof.</w:t>
      </w:r>
    </w:p>
    <w:p>
      <w:pPr>
        <w:spacing w:after="0" w:line="2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Withholding of Taxes; Gross-Up</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Payments Free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92" w:lineRule="exact"/>
        <w:rPr>
          <w:sz w:val="20"/>
          <w:szCs w:val="20"/>
          <w:color w:val="auto"/>
        </w:rPr>
      </w:pPr>
    </w:p>
    <w:p>
      <w:pPr>
        <w:ind w:firstLine="656"/>
        <w:spacing w:after="0" w:line="282" w:lineRule="auto"/>
        <w:tabs>
          <w:tab w:leader="none" w:pos="1357"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xml:space="preserve"> The Loan Parties shall timely pay to the relevant Governmental Authority in accordance with applicable law, or at the option of the Administrative Agent timely reimburse it for the payment of, Other Taxes.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6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w:t>
      </w:r>
      <w:r>
        <w:rPr>
          <w:rFonts w:ascii="Times New Roman" w:cs="Times New Roman" w:eastAsia="Times New Roman" w:hAnsi="Times New Roman"/>
          <w:sz w:val="18"/>
          <w:szCs w:val="18"/>
          <w:color w:val="auto"/>
        </w:rPr>
        <w:t xml:space="preserve">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8" w:name="page249"/>
    <w:bookmarkEnd w:id="248"/>
    <w:p>
      <w:pPr>
        <w:jc w:val="both"/>
        <w:ind w:firstLine="656"/>
        <w:spacing w:after="0" w:line="254" w:lineRule="auto"/>
        <w:tabs>
          <w:tab w:leader="none" w:pos="137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Loan Parties.</w:t>
      </w:r>
      <w:r>
        <w:rPr>
          <w:rFonts w:ascii="Times New Roman" w:cs="Times New Roman" w:eastAsia="Times New Roman" w:hAnsi="Times New Roman"/>
          <w:sz w:val="18"/>
          <w:szCs w:val="18"/>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(other than (i) Indemnified Taxes that a court of competent jurisdiction finally determines to have resulted from the gross negligence or willful misconduct of such Recipient or (ii) interest or penalties attributable to the failure or delay by such Recipient to make a written demand to the Loan Party within 180 days of receiving written notice that such Taxes subject to indemnification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have been levied, imposed or asserted against it).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401"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Lenders</w:t>
      </w:r>
      <w:r>
        <w:rPr>
          <w:rFonts w:ascii="Times New Roman" w:cs="Times New Roman" w:eastAsia="Times New Roman" w:hAnsi="Times New Roman"/>
          <w:sz w:val="18"/>
          <w:szCs w:val="18"/>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1314"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w:t>
      </w:r>
      <w:r>
        <w:rPr>
          <w:rFonts w:ascii="Times New Roman" w:cs="Times New Roman" w:eastAsia="Times New Roman" w:hAnsi="Times New Roman"/>
          <w:sz w:val="18"/>
          <w:szCs w:val="18"/>
          <w:color w:val="auto"/>
        </w:rPr>
        <w:t>.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in the event that any Borrower is a U.S. Person,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9" w:name="page250"/>
    <w:bookmarkEnd w:id="249"/>
    <w:p>
      <w:pPr>
        <w:jc w:val="both"/>
        <w:ind w:left="180" w:firstLine="652"/>
        <w:spacing w:after="0" w:line="261" w:lineRule="auto"/>
        <w:tabs>
          <w:tab w:leader="none" w:pos="150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an executed copy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58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5" w:lineRule="auto"/>
        <w:tabs>
          <w:tab w:leader="none" w:pos="218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an executed copy of IRS Form W-8BEN, IRS Form W-8BEN-E or Form W-8IMY (or successor form), as applicable, establishing an exemption from, or reduction of, U.S. federal withholding Tax pursuant to the “interest” article of such tax treaty and (y) with respect to any other applicable payments under any Loan Document, IRS Form W-8BEN, IRS Form W-8BEN-E or Form W-8IMY (or successor form), as applicable, establishing an exemption from, or reduction of, U.S. federal withholding Tax pursuant to the “business profits” or “other income” article of such tax treaty;</w:t>
      </w:r>
    </w:p>
    <w:p>
      <w:pPr>
        <w:spacing w:after="0" w:line="188" w:lineRule="exact"/>
        <w:rPr>
          <w:rFonts w:ascii="Times New Roman" w:cs="Times New Roman" w:eastAsia="Times New Roman" w:hAnsi="Times New Roman"/>
          <w:sz w:val="18"/>
          <w:szCs w:val="18"/>
          <w:color w:val="auto"/>
        </w:rPr>
      </w:pPr>
    </w:p>
    <w:p>
      <w:pPr>
        <w:ind w:left="840" w:right="20" w:firstLine="640"/>
        <w:spacing w:after="0" w:line="282" w:lineRule="auto"/>
        <w:tabs>
          <w:tab w:leader="none" w:pos="2191"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that its extension of credit will generate U.S. effectively connected income, an executed copy of IRS Form W-8ECI (or successor form);</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56" w:lineRule="auto"/>
        <w:tabs>
          <w:tab w:leader="none" w:pos="2248"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 percent shareholder” of a Borrower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 Compliance Certificate</w:t>
      </w:r>
      <w:r>
        <w:rPr>
          <w:rFonts w:ascii="Times New Roman" w:cs="Times New Roman" w:eastAsia="Times New Roman" w:hAnsi="Times New Roman"/>
          <w:sz w:val="18"/>
          <w:szCs w:val="18"/>
          <w:color w:val="auto"/>
        </w:rPr>
        <w:t>”) and (y) an executed copy of IRS Form W-8BEN, IRS Form W-8BEN-E or Form W-8IMY (or successor form) (with proper attachments), as applicable; or</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55" w:lineRule="auto"/>
        <w:tabs>
          <w:tab w:leader="none" w:pos="2319"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Foreign Lender is not the beneficial owner, an executed copy of IRS Form W-8IMY (or successor form), accompanied by IRS Form W-8ECI, IRS Form W-8BEN or IRS Form W-8BEN-E (or successor form), as applicable, a U.S. Tax Compliance Certificate substantially in the form of Exhibit E-2 or Exhibit E-3,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50" w:name="page251"/>
    <w:bookmarkEnd w:id="250"/>
    <w:p>
      <w:pPr>
        <w:jc w:val="both"/>
        <w:ind w:left="1300" w:firstLine="652"/>
        <w:spacing w:after="0" w:line="255" w:lineRule="auto"/>
        <w:tabs>
          <w:tab w:leader="none" w:pos="270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71" w:lineRule="auto"/>
        <w:tabs>
          <w:tab w:leader="none" w:pos="2603"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62" w:lineRule="exact"/>
        <w:rPr>
          <w:sz w:val="20"/>
          <w:szCs w:val="20"/>
          <w:color w:val="auto"/>
        </w:rPr>
      </w:pPr>
    </w:p>
    <w:p>
      <w:pPr>
        <w:jc w:val="both"/>
        <w:ind w:firstLine="656"/>
        <w:spacing w:after="0" w:line="253" w:lineRule="auto"/>
        <w:tabs>
          <w:tab w:leader="none" w:pos="133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1" w:name="page252"/>
    <w:bookmarkEnd w:id="251"/>
    <w:p>
      <w:pPr>
        <w:jc w:val="both"/>
        <w:ind w:firstLine="656"/>
        <w:spacing w:after="0" w:line="266" w:lineRule="auto"/>
        <w:tabs>
          <w:tab w:leader="none" w:pos="1411"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 (including the Payment in Full of the Secured Obligations).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Allocation of Proceeds; Sharing of Setoffs.</w:t>
      </w:r>
      <w:r>
        <w:rPr>
          <w:rFonts w:ascii="Times New Roman" w:cs="Times New Roman" w:eastAsia="Times New Roman" w:hAnsi="Times New Roman"/>
          <w:sz w:val="18"/>
          <w:szCs w:val="18"/>
          <w:color w:val="auto"/>
        </w:rPr>
        <w:t xml:space="preserve"> (a) The Borrowers shall make each payment or prepayment required to be made by them hereunder (whether of principal, interest, fees or reimbursement of LC Disbursements, or of amounts payable under Section 2.15, 2.16 or 2.17, or otherwise) prior to 2:00 p.m., Chicago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92" w:lineRule="exact"/>
        <w:rPr>
          <w:sz w:val="20"/>
          <w:szCs w:val="20"/>
          <w:color w:val="auto"/>
        </w:rPr>
      </w:pPr>
    </w:p>
    <w:p>
      <w:pPr>
        <w:jc w:val="both"/>
        <w:ind w:firstLine="656"/>
        <w:spacing w:after="0" w:line="251" w:lineRule="auto"/>
        <w:tabs>
          <w:tab w:leader="none" w:pos="134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and any proceeds of Collateral received by the Administrative Agent (i) not constituting either (A) a specific payment of principal, interest, fees or other sum payable under the Loan Documents (which shall be applied as specified by the Borrowers), (B) a mandatory prepayment (which shall be applied in accordance with Section 2.11) or (C) amounts to be applied from the Collection Account when full cash dominion is in effect (which shall be applied in accordance with Section 2.10(b)) or (ii) after an Event of Default has occurred and is continuing and the Administrative Agent so elects or the Required Lenders so direct, shall be applied ratably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 any fees, indemnities, or expense reimbursements then due to the Administrative Agent and the Issuing Bank from the Borrowers (other than in connection with Banking Services Obligations or Swap Agreement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 any fees, indemnities, or expense reimbursements then due to the Lenders from the Borrowers (other than in connection with Banking Services Obligations or Swap Agreement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due in respect of the Overadvances and Protective Advances,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 the principal of the Overadvances and Protective Advances,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pay interest then due and payable on the Loans (other than the Overadvances and Protective Advances) ratably,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prepay principal on the Loans (other than the Overadvances and Protective Advances) and unreimbursed LC Disbursements, to pay an amount to the Administrative Agent equal to one hundred five percent (105%) of the aggregate LC Exposure, to be held as cash collateral for such Obligations, and to pay any amounts owing in respect of Swap Agreement Obligations up to and including the amount most recently provided to the Administrative Agent pursuant to Section 2.22, for which Reserves have been established, ratably,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payment of any amounts owing in respect of Banking Services Obligations and Swap Agreement Obligations up to and including the amount most recently provided to the Administrative Agent pursuant to Section 2.22 and to the extent not paid pursuant to clause sixth above,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the payment of any other Secured Obligation due to the Administrative Agent or any Lender by the Borrowers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the foregoing amounts received from any Loan Party shall not be applied to any Excluded Swap Obligation of such Loan Party. Notwithstanding anything to the contrary contained in this Agreement, unless so directed by the Borrower Representative, or unless a Default is in existence, neither the Administrative Agent nor any Lender shall apply any payment which it receives to any Term Benchmark Loan of a Class, except (a) on the expiration date of the Interest Period applicable thereto or (b) in the event, and only to the extent, that there are no outstanding CBFR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2" w:name="page253"/>
    <w:bookmarkEnd w:id="252"/>
    <w:p>
      <w:pPr>
        <w:jc w:val="both"/>
        <w:ind w:firstLine="656"/>
        <w:spacing w:after="0" w:line="253" w:lineRule="auto"/>
        <w:tabs>
          <w:tab w:leader="none" w:pos="106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Representative pursuant to Section 2.03 or a deemed request as provided in this Section or may be deducted from any deposit account of any Borrower maintained with the Administrative Agent.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 2.03, 2.04 or 2.05, as applicable, and (ii) the Administrative Agent to charge any deposit account of any Borrower maintained with the Administrative Agent for each payment of principal, interest and fees as it becomes due hereunder or any other amount due under the Loan Documents.</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129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7" w:lineRule="exact"/>
        <w:rPr>
          <w:rFonts w:ascii="Times New Roman" w:cs="Times New Roman" w:eastAsia="Times New Roman" w:hAnsi="Times New Roman"/>
          <w:sz w:val="18"/>
          <w:szCs w:val="18"/>
          <w:color w:val="auto"/>
        </w:rPr>
      </w:pPr>
    </w:p>
    <w:p>
      <w:pPr>
        <w:jc w:val="both"/>
        <w:ind w:firstLine="656"/>
        <w:spacing w:after="0" w:line="254" w:lineRule="auto"/>
        <w:tabs>
          <w:tab w:leader="none" w:pos="130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prior to any date on which any payment is due to the Administrative Agent for the account of the Lenders or the Issuing Bank pursuant to the terms hereof or any other Loan Document (including any date that is fixed for prepayment by notice from the Borrower Representative to the Administrative Agent pursuant to Section 2.11(e)), notice from the Borrower Representative that the Borrowers will not make such payment or prepayment,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3" w:name="page254"/>
    <w:bookmarkEnd w:id="253"/>
    <w:p>
      <w:pPr>
        <w:jc w:val="both"/>
        <w:ind w:firstLine="656"/>
        <w:spacing w:after="0" w:line="255" w:lineRule="auto"/>
        <w:tabs>
          <w:tab w:leader="none" w:pos="131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from time to time provide the Borrowers with account statements or invoices with respect to any of the Secured Obligations (the “</w:t>
      </w:r>
      <w:r>
        <w:rPr>
          <w:rFonts w:ascii="Times New Roman" w:cs="Times New Roman" w:eastAsia="Times New Roman" w:hAnsi="Times New Roman"/>
          <w:sz w:val="18"/>
          <w:szCs w:val="18"/>
          <w:u w:val="single" w:color="auto"/>
          <w:color w:val="auto"/>
        </w:rPr>
        <w:t>Statements</w:t>
      </w:r>
      <w:r>
        <w:rPr>
          <w:rFonts w:ascii="Times New Roman" w:cs="Times New Roman" w:eastAsia="Times New Roman" w:hAnsi="Times New Roman"/>
          <w:sz w:val="18"/>
          <w:szCs w:val="18"/>
          <w:color w:val="auto"/>
        </w:rPr>
        <w:t xml:space="preserve">”).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p>
    <w:p>
      <w:pPr>
        <w:spacing w:after="0" w:line="225" w:lineRule="exact"/>
        <w:rPr>
          <w:sz w:val="20"/>
          <w:szCs w:val="20"/>
          <w:color w:val="auto"/>
        </w:rPr>
      </w:pPr>
    </w:p>
    <w:p>
      <w:pPr>
        <w:jc w:val="both"/>
        <w:ind w:firstLine="656"/>
        <w:spacing w:after="0" w:line="255" w:lineRule="auto"/>
        <w:tabs>
          <w:tab w:leader="none" w:pos="137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2.15, or if the Borrowers are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88" w:lineRule="exact"/>
        <w:rPr>
          <w:rFonts w:ascii="Times New Roman" w:cs="Times New Roman" w:eastAsia="Times New Roman" w:hAnsi="Times New Roman"/>
          <w:sz w:val="18"/>
          <w:szCs w:val="18"/>
          <w:color w:val="auto"/>
        </w:rPr>
      </w:pPr>
    </w:p>
    <w:p>
      <w:pPr>
        <w:jc w:val="both"/>
        <w:ind w:firstLine="656"/>
        <w:spacing w:after="0" w:line="217" w:lineRule="exact"/>
        <w:tabs>
          <w:tab w:leader="none" w:pos="138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Section 2.15, or if the Borrowers are required to pay any Indemnified Taxes or additional amounts to any Lender or any Governmental Authority for the account of any Lender pursuant to Section 2.17, and, in each case, such Lender has declined or is unable to designate a different lending office in accordance with paragraph (a) of this Section,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Borrowers shall have received the prior written consent of the Administrative Agent (and in circumstances where its consent would be required under Section 9.04, the Issuing Bank and the Swingline Lender), which consent shall not unrea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4" w:name="page255"/>
    <w:bookmarkEnd w:id="254"/>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1040" w:hanging="384"/>
        <w:spacing w:after="0"/>
        <w:tabs>
          <w:tab w:leader="none" w:pos="10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shall cease to accrue on the unfunded portion of the Revolving Commitment of such Defaulting Lender pursuant to Section 2.12(a);</w:t>
      </w:r>
    </w:p>
    <w:p>
      <w:pPr>
        <w:spacing w:after="0" w:line="225" w:lineRule="exact"/>
        <w:rPr>
          <w:rFonts w:ascii="Times New Roman" w:cs="Times New Roman" w:eastAsia="Times New Roman" w:hAnsi="Times New Roman"/>
          <w:sz w:val="18"/>
          <w:szCs w:val="18"/>
          <w:color w:val="auto"/>
        </w:rPr>
      </w:pPr>
    </w:p>
    <w:p>
      <w:pPr>
        <w:jc w:val="both"/>
        <w:ind w:firstLine="656"/>
        <w:spacing w:after="0" w:line="251" w:lineRule="auto"/>
        <w:tabs>
          <w:tab w:leader="none" w:pos="108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Bank or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the LC Exposure with respect to such Defaulting Lender in accordance with this Section;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4" w:lineRule="exact"/>
        <w:rPr>
          <w:rFonts w:ascii="Times New Roman" w:cs="Times New Roman" w:eastAsia="Times New Roman" w:hAnsi="Times New Roman"/>
          <w:sz w:val="18"/>
          <w:szCs w:val="18"/>
          <w:color w:val="auto"/>
        </w:rPr>
      </w:pPr>
    </w:p>
    <w:p>
      <w:pPr>
        <w:jc w:val="both"/>
        <w:ind w:firstLine="656"/>
        <w:spacing w:after="0" w:line="256" w:lineRule="auto"/>
        <w:tabs>
          <w:tab w:leader="none" w:pos="14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Defaulting Lender shall not have the right to vote on any issue on which voting is required (other than to the extent expressly provided in Section 9.02(b)) and the Commitment and Revolving Exposure of such Defaulting Lender shall not be included in determining whether the Required Lenders have taken or may take any action hereunder (including any consent to any amendment, waiver or other modification pursuant to Section 9.02)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5" w:name="page256"/>
    <w:bookmarkEnd w:id="255"/>
    <w:p>
      <w:pPr>
        <w:ind w:left="1320" w:hanging="664"/>
        <w:spacing w:after="0"/>
        <w:tabs>
          <w:tab w:leader="none" w:pos="132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Swingline Exposure or LC Exposure exists at the time such Lender becomes a Defaulting Lender then:</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58"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the Swingline Exposure and LC Exposure of such Defaulting Lender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58"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clause (i) above cannot, or can only partially, be effected, the Borrowers shall within five (5) Business Days following notice by the Administrative Agent (x)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such Swingline Exposure and (y)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3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Borrowers cash collateralize any portion of such Defaulting Lender’s LC Exposure pursuant to clause (ii) above, the Borrowers shall not be required to pay any fees to such Defaulting Lender pursuant to Section 2.12(c) with respect to such Defaulting Lender’s LC Exposure during the period such Defaulting Lender’s LC Exposure is cash collateralized;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153"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LC Exposure of the non-Defaulting Lenders is reallocated pursuant to clause (i) above, then the fees payable to the Lenders pursuant to Sections 2.12(a) and 2.12(c) shall be adjusted in accordance with such non-Defaulting Lenders’ Applicable Percentages;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48"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2.12(c) with respect to such Defaulting Lender’s LC Exposure shall be payable to the Issuing Bank until and to the extent that such LC Exposure is reallocated and/or cash collateralized; and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53"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such Lender is a Defaulting Lender, the Issuing Bank shall not be required to issue, amend, renew, extend or increase any Letter of Credit, unless it is satisfied that the related exposure and such Defaulting Lender’s then outstanding LC Exposure will be 100% covered by the Commitments of the non-Defaulting Lenders and/or cash collateral will be provided by the Borrowers in accordance with Section 2.20(d), and LC Exposure related to any newly issued or increased Letter of Credit shall be allocated among non-Defaulting Lenders in a manner consistent with Section 2.20(d)(i) (and such Defaulting Lender shall not participate therein).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(i) a Bankruptcy Event or a Bail-In Action with respect to a Lender Parent shall occur following the date hereof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shall have entered into arrangements with the Borrowers or such Lender, satisfactory to the Issuing Bank to defease any risk to it in respect of such Lender hereunder.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6" w:name="page257"/>
    <w:bookmarkEnd w:id="25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each of the Administrative Agent, the Borrowers and the Issuing Bank agrees that a Defaulting Lender has adequately remedied all matters that caused such Lender to be a Defaulting Lender, then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Returned Payments</w:t>
      </w:r>
      <w:r>
        <w:rPr>
          <w:rFonts w:ascii="Times New Roman" w:cs="Times New Roman" w:eastAsia="Times New Roman" w:hAnsi="Times New Roman"/>
          <w:sz w:val="18"/>
          <w:szCs w:val="18"/>
          <w:color w:val="auto"/>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Banking Services and Swap Agreements</w:t>
      </w:r>
      <w:r>
        <w:rPr>
          <w:rFonts w:ascii="Times New Roman" w:cs="Times New Roman" w:eastAsia="Times New Roman" w:hAnsi="Times New Roman"/>
          <w:sz w:val="18"/>
          <w:szCs w:val="18"/>
          <w:color w:val="auto"/>
        </w:rPr>
        <w:t>. Each Lender or Affiliate thereof providing Banking Services for, or having Swap Agreements with, any Loan Party shall deliver to the Administrative Agent, promptly after entering into such Banking Services or Swap Agreements, written notice setting forth the aggregate amount of all Banking Services Obligations and Swap Agreement Obligations of such Loan Party to such Lender or Affiliate (whether matured or unmatured, absolute or contingent). In addition, each such Lender or Affiliate thereof shall deliver to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Section 2.18(b) and which tier of the waterfall, contained in Section 2.18(b), such Banking Services Obligations and/or Swap Agreement Obligations will be placed. For the avoidance of doubt, so long as JPMCB or its Affiliate is the Administrative Agent, neither JPMCB nor any of its Affiliates providing Banking Services for, or having Swap Agreements with, any Loan Party shall be required to provide any notice described in this Section 2.22 in respect of such Banking Services or Swap Agreements.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29"/>
          <w:szCs w:val="29"/>
          <w:u w:val="single" w:color="auto"/>
          <w:color w:val="auto"/>
          <w:vertAlign w:val="superscript"/>
        </w:rPr>
        <w:t>1</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Loan Party represents and warrants to the Lenders that:</w:t>
      </w:r>
    </w:p>
    <w:p>
      <w:pPr>
        <w:spacing w:after="0" w:line="225"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xml:space="preserve"> Each Loan Party and each Subsidiary is duly organized or formed,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and is in good standing, in every juris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diction where such qualification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1" w:lineRule="exact"/>
        <w:rPr>
          <w:sz w:val="20"/>
          <w:szCs w:val="20"/>
          <w:color w:val="auto"/>
        </w:rPr>
      </w:pPr>
    </w:p>
    <w:p>
      <w:pPr>
        <w:ind w:left="5540" w:right="3140" w:hanging="5532"/>
        <w:spacing w:after="0" w:line="372" w:lineRule="auto"/>
        <w:tabs>
          <w:tab w:leader="none" w:pos="134" w:val="left"/>
        </w:tabs>
        <w:numPr>
          <w:ilvl w:val="0"/>
          <w:numId w:val="2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provide updated schedules to the Credit Agreement and the Security Agreement to the extent necessary.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7" w:name="page258"/>
    <w:bookmarkEnd w:id="25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xml:space="preserve">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Subsidiary, (c) will not violate or result in a default under any indenture, agreement or other instrument binding upon any Loan Party or any Subsidiary or the assets of any Loan Party or any Subsidiary, or give rise to a right thereunder to require any payment to be made by any Loan Party or any Subsidiary, and (d) will not result in the creation or imposition of, or the requirement to create, any Lien on any asset of any Loan Party or any Subsidiary, except Liens created pursuant to the Loan Documents. No consent or approval of, registration or filing with, or any other action by, any Governmental Authority or approval, consent or authorization of any Person is required for the execution, delivery and performance of the Plateplus Purchase Agreement and the Transition Services Agreement by the parties thereto, except such as have been obtained or made and are in full force and effect.</w:t>
      </w:r>
    </w:p>
    <w:p>
      <w:pPr>
        <w:spacing w:after="0" w:line="188"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 No Material Adverse Change.</w:t>
      </w:r>
      <w:r>
        <w:rPr>
          <w:rFonts w:ascii="Times New Roman" w:cs="Times New Roman" w:eastAsia="Times New Roman" w:hAnsi="Times New Roman"/>
          <w:sz w:val="18"/>
          <w:szCs w:val="18"/>
          <w:color w:val="auto"/>
        </w:rPr>
        <w:t xml:space="preserve"> (a) The Company has heretofore furnished to the Lenders its consolidated balance sheet and statements of income, stockholders equity and cash flows (i) as of and for the fiscal year ended March 31, 2020, reported on by Moss Adams LLP, independent public accountants, (ii) as of and for the fiscal month and the portion of the fiscal year ended February 28, 2021, certi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fied by a Financial Officer and (iii) a draft of the consolidated balance sheet and statements of income, stockholders equity and cash flows of the Company for the fiscal year ended March 31, 2021. Such financial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ments present fairly, in all material respects, the financial position and results of operations and cash flows of the Company and its consolidated Subsidiaries as of such dates and for such periods in accordance with GAAP, subject to normal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end audit adjustments (all of which, when taken as a whole, would not be materially adverse) and the absence of footnotes in the case of the statements referred to in clause (ii) and (iii) above.</w:t>
      </w:r>
    </w:p>
    <w:p>
      <w:pPr>
        <w:spacing w:after="0" w:line="198" w:lineRule="exact"/>
        <w:rPr>
          <w:sz w:val="20"/>
          <w:szCs w:val="20"/>
          <w:color w:val="auto"/>
        </w:rPr>
      </w:pPr>
    </w:p>
    <w:p>
      <w:pPr>
        <w:ind w:left="1280" w:hanging="624"/>
        <w:spacing w:after="0"/>
        <w:tabs>
          <w:tab w:leader="none" w:pos="12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change or condition has occurred that has had, or could reasonably be expected to have, a Material Adverse Effect, since March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31, 2020.</w:t>
      </w:r>
    </w:p>
    <w:p>
      <w:pPr>
        <w:spacing w:after="0" w:line="207"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xml:space="preserve"> (a) As of the date of this Agreement,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Each of the Loan Parties and each of its Subsidiar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ies has good and indefeasible title to, or valid leasehold interests in, all of its real and personal property, free of all Liens other than those permitted by Section 6.02.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8" w:name="page259"/>
    <w:bookmarkEnd w:id="258"/>
    <w:p>
      <w:pPr>
        <w:jc w:val="both"/>
        <w:ind w:firstLine="656"/>
        <w:spacing w:after="0" w:line="261" w:lineRule="auto"/>
        <w:tabs>
          <w:tab w:leader="none" w:pos="135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and each Subsidiary owns, or is licensed to use, all trademarks, tradenames, copyrights, patents and other intellectual property necessary to its business as currently conducted, a correct and complete list of which, as of the date of this Agreement, is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and the use thereof by each Loan Party and each Subsidiary does not infringe in any material respect upon the rights of any other Person, and each Loan Party’s and each Subsidiary’s rights thereto are not subject to any licensing agreement or similar arrangement.</w:t>
      </w:r>
    </w:p>
    <w:p>
      <w:pPr>
        <w:spacing w:after="0" w:line="180"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 xml:space="preserve"> (a) There are no actions, suits or proceedings by or before any arbitrator or Governmental Authority pending against or, to the knowledge of any Loan Party, threatened against or affecting any Loan Party or any Subsidiary (i) as to which there is a reasonable possi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bility of an adverse determination and that, if adversely deter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mined, could reasonably be expected, individually or in the aggregate, to result in a Material Adverse Effect (other than the Disclosed Matters) or (ii) that involve any Loan Document or the Transactions.</w:t>
      </w:r>
    </w:p>
    <w:p>
      <w:pPr>
        <w:spacing w:after="0" w:line="200" w:lineRule="exact"/>
        <w:rPr>
          <w:sz w:val="20"/>
          <w:szCs w:val="20"/>
          <w:color w:val="auto"/>
        </w:rPr>
      </w:pPr>
    </w:p>
    <w:p>
      <w:pPr>
        <w:jc w:val="both"/>
        <w:ind w:firstLine="656"/>
        <w:spacing w:after="0" w:line="256" w:lineRule="auto"/>
        <w:tabs>
          <w:tab w:leader="none" w:pos="129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Disclosed Matters (i) no Loan Party or any Subsidiary has received notice of any claim with respect to any Environmental Liability or knows of any basis for any Environmental Liability and (ii) except with respect to any other matters that, individually or in the aggregate, could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25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has been no change in the status of the Disclosed Matters that, individually or in the aggregate, has resulted in, or could reasonably be expected to result in a Material Adverse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 No Default.</w:t>
      </w:r>
      <w:r>
        <w:rPr>
          <w:rFonts w:ascii="Times New Roman" w:cs="Times New Roman" w:eastAsia="Times New Roman" w:hAnsi="Times New Roman"/>
          <w:sz w:val="18"/>
          <w:szCs w:val="18"/>
          <w:color w:val="auto"/>
        </w:rPr>
        <w:t xml:space="preserve"> Except where the failure to do so, individually or in the aggregate, could not reasonably be expected to result in a Material Adverse Effect, each Loan Party and each Subsidiary is in compliance with (a) all Requirements of Law applicable to it or its property and (b) all indentures, agreements and other instruments binding upon it or its property. No Default has occurred and is continuing.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xml:space="preserve"> No Loan Party or any Subsidiary is an “investment company” as defined in, or subject to regulation under, the Investment Company Act of 1940.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Each Loan Party and each Subsidiary has timely filed (taking into account extensions) or caused to be filed all income and other material Tax returns required to have been filed and has paid or caused to be paid all income and other material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be expected to result in a Material Adverse Effect.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xml:space="preserve"> No ERISA Event has occurred or is reasonably expected to occur that, when taken together with all other such ERISA Events for which liability is reasonably expected to occur, could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by more than $50,000 the fair market value of the assets of such Plan, and the present value of all accumulated benefit obligations of all underfunded Plans (based on the assumptions used for purposes of Statement of Financial Accounting Standards No. 87 or subsequent recodification thereof, as applicable) did not, as of the date of the most recent financial statements reflecting such amounts, exceed by more than $50,000 the fair market value of the assets of all such underfunded Plans.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9" w:name="page260"/>
    <w:bookmarkEnd w:id="25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 The Loan Parties have disclosed to the Lenders all agreements, instruments and corporate or other restrictions to which any Loan Party or any Subsidiary is subject, and all other matters known to it, that, individually or in the aggregate, could reasonably be expected to result in a Material Adverse Effect. None of the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w:t>
      </w:r>
    </w:p>
    <w:p>
      <w:pPr>
        <w:spacing w:after="0" w:line="192" w:lineRule="exact"/>
        <w:rPr>
          <w:sz w:val="20"/>
          <w:szCs w:val="20"/>
          <w:color w:val="auto"/>
        </w:rPr>
      </w:pPr>
    </w:p>
    <w:p>
      <w:pPr>
        <w:ind w:firstLine="656"/>
        <w:spacing w:after="0" w:line="282" w:lineRule="auto"/>
        <w:tabs>
          <w:tab w:leader="none" w:pos="139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to the best knowledge of any Borrower, the information included in the Beneficial Ownership Certification provided on or prior to the Effective Date to any Lender in connection with this Agreement is true and correct in all respects.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Material Agreements</w:t>
      </w:r>
      <w:r>
        <w:rPr>
          <w:rFonts w:ascii="Times New Roman" w:cs="Times New Roman" w:eastAsia="Times New Roman" w:hAnsi="Times New Roman"/>
          <w:sz w:val="18"/>
          <w:szCs w:val="18"/>
          <w:color w:val="auto"/>
        </w:rPr>
        <w:t xml:space="preserve">. All material agreements and contracts to which any Loan Party is a party or is bound as of the date of this Agreement are listed on </w:t>
      </w:r>
      <w:r>
        <w:rPr>
          <w:rFonts w:ascii="Times New Roman" w:cs="Times New Roman" w:eastAsia="Times New Roman" w:hAnsi="Times New Roman"/>
          <w:sz w:val="18"/>
          <w:szCs w:val="18"/>
          <w:u w:val="single" w:color="auto"/>
          <w:color w:val="auto"/>
        </w:rPr>
        <w:t>Schedule 3.12</w:t>
      </w:r>
      <w:r>
        <w:rPr>
          <w:rFonts w:ascii="Times New Roman" w:cs="Times New Roman" w:eastAsia="Times New Roman" w:hAnsi="Times New Roman"/>
          <w:sz w:val="18"/>
          <w:szCs w:val="18"/>
          <w:color w:val="auto"/>
        </w:rPr>
        <w:t>. No Loan Party is in default in the performance, observance or fulfillment of any of the obligations, covenants or conditions contained in (a) any material agreement to which it is a party or (b) any agreement or instrument evidencing or governing Indebtedness, in each case which could reasonably be expected to result in a Material Adverse Effect.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 Immediately after the consummation of the Transactions to occur on the Second Amendment Effective Date, (i) the fair value of the assets of each Loan Party, at a fair valuation, will exceed its debts and liabilities, subordinated, contingent or otherwise; (ii) the present fair saleable value of the property of each Loan Party will be greater than the amount that will be required to pay the probable liability of its debts and other liabilities, subordinated, contingent or otherwise, as such debts and other liabilities become absolute and matured; (iii) each Loan Party will be able to pay its debts and liabilities, subordinated, contingent or otherwise, as such debts and liabilities become absolute and matured; and (iv) no Loan Party will have unreasonably small capital with which to conduct the business in which it is engaged as such business is now conducted and is proposed to be conducted after the Second Amendment Effective Date.</w:t>
      </w:r>
    </w:p>
    <w:p>
      <w:pPr>
        <w:spacing w:after="0" w:line="189" w:lineRule="exact"/>
        <w:rPr>
          <w:sz w:val="20"/>
          <w:szCs w:val="20"/>
          <w:color w:val="auto"/>
        </w:rPr>
      </w:pPr>
    </w:p>
    <w:p>
      <w:pPr>
        <w:jc w:val="both"/>
        <w:ind w:firstLine="656"/>
        <w:spacing w:after="0" w:line="266" w:lineRule="auto"/>
        <w:tabs>
          <w:tab w:leader="none" w:pos="1281"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Insurance. Schedule 3.14</w:t>
      </w:r>
      <w:r>
        <w:rPr>
          <w:rFonts w:ascii="Times New Roman" w:cs="Times New Roman" w:eastAsia="Times New Roman" w:hAnsi="Times New Roman"/>
          <w:sz w:val="18"/>
          <w:szCs w:val="18"/>
          <w:color w:val="auto"/>
        </w:rPr>
        <w:t xml:space="preserve"> sets forth a description of all insurance maintained by or on behalf of the Loan Parties and their Subsidiaries as of the Second Amendment Effective Date. As of the Second Amendment Effective Date, all premiums in respect of such insurance have been paid. Each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0" w:name="page261"/>
    <w:bookmarkEnd w:id="260"/>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Capitalization and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xml:space="preserve"> sets forth as of the Second Amendment Effective Date (a) a correct and complete list of the name and relationship to the Company of each and all of the Company’s Subsidiaries, (b) a true and complete listing of each class of each Borrower’s authorized Equity Interests, all of which issued Equity Interests are validly issued, outstanding, fully paid and non-assessable, and owned beneficially and of record by the Persons identified on </w:t>
      </w:r>
      <w:r>
        <w:rPr>
          <w:rFonts w:ascii="Times New Roman" w:cs="Times New Roman" w:eastAsia="Times New Roman" w:hAnsi="Times New Roman"/>
          <w:sz w:val="18"/>
          <w:szCs w:val="18"/>
          <w:u w:val="single" w:color="auto"/>
          <w:color w:val="auto"/>
        </w:rPr>
        <w:t>Schedule 3.15</w:t>
      </w:r>
      <w:r>
        <w:rPr>
          <w:rFonts w:ascii="Times New Roman" w:cs="Times New Roman" w:eastAsia="Times New Roman" w:hAnsi="Times New Roman"/>
          <w:sz w:val="18"/>
          <w:szCs w:val="18"/>
          <w:color w:val="auto"/>
        </w:rPr>
        <w:t>, and (c) the type of entity of the Company and each of its Subsidiaries. All of the issued and outstanding Equity Interests owned by any Loan Party have been (to the extent such concepts are relevant with respect to such ownership interests) duly authorized and issued and are fully paid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assessable. As of the Second Amendment Effective Date, there are no outstanding commitments or other obligations of any Loan Party to issue, and no options, warrants or other rights of any Person to acquire, any shares of any class of capital stock or other equity interests of any Loan Party.</w:t>
      </w:r>
    </w:p>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xml:space="preserve"> The provisions of this Agreement and the other Loan Documents create legal and valid Liens on all of the Collateral in favor of the Administrative Agent, for the benefit of the Secured Parties, and such Liens constitute perfected and continuing Liens on the Collateral,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and (b) Liens perfected only by possession (including possession of any certificate of title) to the extent the Administrative Agent has not obtained or does not maintain possession of such Collateral.</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Employment Matters</w:t>
      </w:r>
      <w:r>
        <w:rPr>
          <w:rFonts w:ascii="Times New Roman" w:cs="Times New Roman" w:eastAsia="Times New Roman" w:hAnsi="Times New Roman"/>
          <w:sz w:val="18"/>
          <w:szCs w:val="18"/>
          <w:color w:val="auto"/>
        </w:rPr>
        <w:t>. As of the Second Amendment Effective Date, there are no strikes, lockouts or slowdowns against any Loan Party or any Subsidiary pending or, to the knowledge of any Loan Party, threatened. The hours worked by and payments made to employees of the Loan Parties and their Subsidiaries have not been in violation of the Fair Labor Standards Act or any other applicable Federal, state, local or foreign law dealing with such matters.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have been used and will be used, whether directly or indirectly as set forth in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5.08.</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No Burdensome Restrictions</w:t>
      </w:r>
      <w:r>
        <w:rPr>
          <w:rFonts w:ascii="Times New Roman" w:cs="Times New Roman" w:eastAsia="Times New Roman" w:hAnsi="Times New Roman"/>
          <w:sz w:val="18"/>
          <w:szCs w:val="18"/>
          <w:color w:val="auto"/>
        </w:rPr>
        <w:t>. No Loan Party is subject to any Burdensome Restrictions except Burdensome Restrictions permitted under Section 6.10.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1" w:name="page262"/>
    <w:bookmarkEnd w:id="26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Anti-Corruption Laws and Sanctions</w:t>
      </w:r>
      <w:r>
        <w:rPr>
          <w:rFonts w:ascii="Times New Roman" w:cs="Times New Roman" w:eastAsia="Times New Roman" w:hAnsi="Times New Roman"/>
          <w:sz w:val="18"/>
          <w:szCs w:val="18"/>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None of (a) any Loan Party, any Subsidiary or any of their respective directors, officers or, to the knowledge of any such Loan Party or Subsidiary,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Common Enterprise</w:t>
      </w:r>
      <w:r>
        <w:rPr>
          <w:rFonts w:ascii="Times New Roman" w:cs="Times New Roman" w:eastAsia="Times New Roman" w:hAnsi="Times New Roman"/>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Borrowers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3.23. </w:t>
      </w:r>
      <w:r>
        <w:rPr>
          <w:rFonts w:ascii="Times New Roman" w:cs="Times New Roman" w:eastAsia="Times New Roman" w:hAnsi="Times New Roman"/>
          <w:sz w:val="18"/>
          <w:szCs w:val="18"/>
          <w:u w:val="single" w:color="auto"/>
          <w:color w:val="auto"/>
        </w:rPr>
        <w:t>EEA Financial Institutions</w:t>
      </w:r>
      <w:r>
        <w:rPr>
          <w:rFonts w:ascii="Times New Roman" w:cs="Times New Roman" w:eastAsia="Times New Roman" w:hAnsi="Times New Roman"/>
          <w:sz w:val="18"/>
          <w:szCs w:val="18"/>
          <w:color w:val="auto"/>
        </w:rPr>
        <w:t>. No Loan Party is an EEA Financial Institution.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u w:val="single" w:color="auto"/>
          <w:color w:val="auto"/>
        </w:rPr>
        <w:t>Plan Assets; Prohibited Transactions</w:t>
      </w:r>
      <w:r>
        <w:rPr>
          <w:rFonts w:ascii="Times New Roman" w:cs="Times New Roman" w:eastAsia="Times New Roman" w:hAnsi="Times New Roman"/>
          <w:sz w:val="18"/>
          <w:szCs w:val="18"/>
          <w:color w:val="auto"/>
        </w:rPr>
        <w:t>. No Loan Party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u w:val="single" w:color="auto"/>
          <w:color w:val="auto"/>
        </w:rPr>
        <w:t>Margin Regulations</w:t>
      </w:r>
      <w:r>
        <w:rPr>
          <w:rFonts w:ascii="Times New Roman" w:cs="Times New Roman" w:eastAsia="Times New Roman" w:hAnsi="Times New Roman"/>
          <w:sz w:val="18"/>
          <w:szCs w:val="18"/>
          <w:color w:val="auto"/>
        </w:rPr>
        <w:t>.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obligations of the Lenders to amend and restate the Existing Credit Agreement in the form of this Agreement, and the obligation to make Loans and of the Issuing Bank to issue Letters of Credit hereunder shall not become effective until the date on which each of the following conditions is satisfied (or waived in accordance with Section 9.02):</w:t>
      </w:r>
    </w:p>
    <w:p>
      <w:pPr>
        <w:spacing w:after="0" w:line="176" w:lineRule="exact"/>
        <w:rPr>
          <w:sz w:val="20"/>
          <w:szCs w:val="20"/>
          <w:color w:val="auto"/>
        </w:rPr>
      </w:pPr>
    </w:p>
    <w:p>
      <w:pPr>
        <w:jc w:val="both"/>
        <w:ind w:left="660" w:firstLine="644"/>
        <w:spacing w:after="0" w:line="253" w:lineRule="auto"/>
        <w:tabs>
          <w:tab w:leader="none" w:pos="2358"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 and Other Loan Documents</w:t>
      </w:r>
      <w:r>
        <w:rPr>
          <w:rFonts w:ascii="Times New Roman" w:cs="Times New Roman" w:eastAsia="Times New Roman" w:hAnsi="Times New Roman"/>
          <w:sz w:val="18"/>
          <w:szCs w:val="18"/>
          <w:color w:val="auto"/>
        </w:rPr>
        <w:t>. The Administrative Agent (or its counsel) shall have received (i) from each party hereto a counterpart of this Agreement signed on behalf of such party (which, subject to Section 9.06(b), may include any Electronic Signatures transmitted by facsimile, emailed pdf. or any other electronic means that reproduces an image of an actual executed signature page), (ii) either (A) a counterpart of each other Loan Document signed on behalf of each party thereto or (B) written evidence satisfactory to the Administrative Agent (which may include facsimile or other electronic transmission of a signed signature page thereof) that each such party has signed a counterpart of such Loan Document and (iii)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and a customary legal opinion of the Loan Parties' counsel, addressed to the Administrative Agent, the Issuing Bank and the Lenders, all in form and substance satisfactory to the Administrative Agent and its counsel.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2" w:name="page263"/>
    <w:bookmarkEnd w:id="262"/>
    <w:p>
      <w:pPr>
        <w:jc w:val="both"/>
        <w:ind w:left="-460" w:firstLine="644"/>
        <w:spacing w:after="0" w:line="254" w:lineRule="auto"/>
        <w:tabs>
          <w:tab w:leader="none" w:pos="128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and Projections</w:t>
      </w:r>
      <w:r>
        <w:rPr>
          <w:rFonts w:ascii="Times New Roman" w:cs="Times New Roman" w:eastAsia="Times New Roman" w:hAnsi="Times New Roman"/>
          <w:sz w:val="18"/>
          <w:szCs w:val="18"/>
          <w:color w:val="auto"/>
        </w:rPr>
        <w:t>. The Lenders shall have received (i) audited consolidated financial statements of the Company for the fiscal years ending March 2018, March 2019, March 2020 (ii) to the extent available as of the Effective Date, a draft of the consolidated financial statements of the Company for the fiscal year ending March 2021, (iii) unaudited interim consolidated financial statements of the Company for each fiscal month ended after the date of the latest applicable financial statements delivered pursuant to clause (i) of this paragraph and on or prior to February 28, 2021, and such financial statements shall not, in the reasonable judgment of the Administrative Agent, reflect any material adverse change in the consolidated financial condition of the Company, as reflected in the audited, consolidated financial statements described in clause (i) of this paragraph and (iv) satisfactory projections for the fiscal years of the Company ending March 2022 and March 2023.</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18" w:lineRule="exact"/>
        <w:tabs>
          <w:tab w:leader="none" w:pos="138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Certificates; Certified Certificate of Incorporation; Good Standing Certificates</w:t>
      </w:r>
      <w:r>
        <w:rPr>
          <w:rFonts w:ascii="Times New Roman" w:cs="Times New Roman" w:eastAsia="Times New Roman" w:hAnsi="Times New Roman"/>
          <w:sz w:val="18"/>
          <w:szCs w:val="18"/>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each Borrower, its Financial Officers, and (C) contain appropriate attachments, including the certificate or articles of incorporation or organization of each Loan Party certified by the relevant authority of the jurisdiction of organization of such Loan Party and a true and correct copy of its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or operating, management or partnership agreement, or other organizational or governing documents, and (ii) a good standing certificate for each Loan Party from its jurisdiction of organization or the substantive equivalent available in the jurisdiction of organization for each Loan Party from the appropriate governmental officer in such jurisdiction.</w:t>
      </w:r>
    </w:p>
    <w:p>
      <w:pPr>
        <w:spacing w:after="0" w:line="20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271"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Certificate</w:t>
      </w:r>
      <w:r>
        <w:rPr>
          <w:rFonts w:ascii="Times New Roman" w:cs="Times New Roman" w:eastAsia="Times New Roman" w:hAnsi="Times New Roman"/>
          <w:sz w:val="18"/>
          <w:szCs w:val="18"/>
          <w:color w:val="auto"/>
        </w:rPr>
        <w:t>. The Administrative Agent shall have received a certificate, signed by a Financial Officer of the Company, dated as of the Effective Date (i) stating that no Default has occurred and is continuing, (ii) stating that the representations and warranties contained in the Loan Documents are true and correct as of such date, and (iii) certifying as to any other factual matters as may be reasonably requested by the Administrative Agent.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17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Lenders and the Administrative Agent shall have received all fees required to be paid, and all expenses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Representative to the Administrative Agent on or before the Effective Date.</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28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Searches</w:t>
      </w:r>
      <w:r>
        <w:rPr>
          <w:rFonts w:ascii="Times New Roman" w:cs="Times New Roman" w:eastAsia="Times New Roman" w:hAnsi="Times New Roman"/>
          <w:sz w:val="18"/>
          <w:szCs w:val="18"/>
          <w:color w:val="auto"/>
        </w:rPr>
        <w:t>. The Administrative Agent shall have received the results of a recent lien search in each jurisdiction where the Loan Parties are organized and where the assets of the Loan Parties are located, and such search shall reveal no Liens on any of the assets of the Loan Parties except for Liens permitted by Section 6.02 or discharged on or prior to the Effective Date pursuant to a pay-off letter or other documentation satisfactory to the Administrative Agent.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63" w:name="page264"/>
    <w:bookmarkEnd w:id="263"/>
    <w:p>
      <w:pPr>
        <w:jc w:val="both"/>
        <w:ind w:firstLine="644"/>
        <w:spacing w:after="0" w:line="261" w:lineRule="auto"/>
        <w:tabs>
          <w:tab w:leader="none" w:pos="145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The Administrative Agent shall have received satisfactory pay-off letters for all existing Indebtedness to be repaid from the proceeds of the initial Borrowing, confirming that all Liens upon any of the property of the Loan Parties constituting Collateral will be terminated concurrently with such payment and all letters of credit issued or guaranteed as part of such Indebtedness shall have been cash collateralized or supported by a Letter of Credit.</w:t>
      </w:r>
    </w:p>
    <w:p>
      <w:pPr>
        <w:spacing w:after="0" w:line="179" w:lineRule="exact"/>
        <w:rPr>
          <w:rFonts w:ascii="Times New Roman" w:cs="Times New Roman" w:eastAsia="Times New Roman" w:hAnsi="Times New Roman"/>
          <w:sz w:val="18"/>
          <w:szCs w:val="18"/>
          <w:color w:val="auto"/>
        </w:rPr>
      </w:pPr>
    </w:p>
    <w:p>
      <w:pPr>
        <w:jc w:val="both"/>
        <w:ind w:right="20" w:firstLine="644"/>
        <w:spacing w:after="0" w:line="266" w:lineRule="auto"/>
        <w:tabs>
          <w:tab w:leader="none" w:pos="141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Account</w:t>
      </w:r>
      <w:r>
        <w:rPr>
          <w:rFonts w:ascii="Times New Roman" w:cs="Times New Roman" w:eastAsia="Times New Roman" w:hAnsi="Times New Roman"/>
          <w:sz w:val="18"/>
          <w:szCs w:val="18"/>
          <w:color w:val="auto"/>
        </w:rPr>
        <w:t>. The Administrative Agent shall have received a notice setting forth the deposit accounts of the Borrowers (the “</w:t>
      </w:r>
      <w:r>
        <w:rPr>
          <w:rFonts w:ascii="Times New Roman" w:cs="Times New Roman" w:eastAsia="Times New Roman" w:hAnsi="Times New Roman"/>
          <w:sz w:val="18"/>
          <w:szCs w:val="18"/>
          <w:u w:val="single" w:color="auto"/>
          <w:color w:val="auto"/>
        </w:rPr>
        <w:t>Funding Accounts</w:t>
      </w:r>
      <w:r>
        <w:rPr>
          <w:rFonts w:ascii="Times New Roman" w:cs="Times New Roman" w:eastAsia="Times New Roman" w:hAnsi="Times New Roman"/>
          <w:sz w:val="18"/>
          <w:szCs w:val="18"/>
          <w:color w:val="auto"/>
        </w:rPr>
        <w:t>”) to which the Administrative Agent is authorized by the Borrowers to transfer the proceeds of any Borrowings requested or authorized pursuant to this Agreement.</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142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List</w:t>
      </w:r>
      <w:r>
        <w:rPr>
          <w:rFonts w:ascii="Times New Roman" w:cs="Times New Roman" w:eastAsia="Times New Roman" w:hAnsi="Times New Roman"/>
          <w:sz w:val="18"/>
          <w:szCs w:val="18"/>
          <w:color w:val="auto"/>
        </w:rPr>
        <w:t>. The Administrative Agent shall have received a true and complete customer list for each Borrower and its Subsidiaries, which list shall state the customer’s name, mailing address and phone number and shall be certified as true and correct by a Financial Officer of the Borrower Representative.</w:t>
      </w:r>
    </w:p>
    <w:p>
      <w:pPr>
        <w:spacing w:after="0" w:line="175" w:lineRule="exact"/>
        <w:rPr>
          <w:rFonts w:ascii="Times New Roman" w:cs="Times New Roman" w:eastAsia="Times New Roman" w:hAnsi="Times New Roman"/>
          <w:sz w:val="18"/>
          <w:szCs w:val="18"/>
          <w:color w:val="auto"/>
        </w:rPr>
      </w:pPr>
    </w:p>
    <w:p>
      <w:pPr>
        <w:jc w:val="both"/>
        <w:ind w:firstLine="644"/>
        <w:spacing w:after="0" w:line="258" w:lineRule="auto"/>
        <w:tabs>
          <w:tab w:leader="none" w:pos="132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Access and Control Agreements</w:t>
      </w:r>
      <w:r>
        <w:rPr>
          <w:rFonts w:ascii="Times New Roman" w:cs="Times New Roman" w:eastAsia="Times New Roman" w:hAnsi="Times New Roman"/>
          <w:sz w:val="18"/>
          <w:szCs w:val="18"/>
          <w:color w:val="auto"/>
        </w:rPr>
        <w:t>. The Administrative Agent shall have received (i) each Collateral Access Agreement required to be provided pursuant to Section 4.13 of the Security Agreement, (ii) each Deposit Account Control Agreement required to be provided pursuant to Section 4.14 of the Security Agreement and (iii) a control agreement acceptable to Administrative Agent in its Permitted Discretion, executed by StoneX Financial Inc. (the “</w:t>
      </w:r>
      <w:r>
        <w:rPr>
          <w:rFonts w:ascii="Times New Roman" w:cs="Times New Roman" w:eastAsia="Times New Roman" w:hAnsi="Times New Roman"/>
          <w:sz w:val="18"/>
          <w:szCs w:val="18"/>
          <w:u w:val="single" w:color="auto"/>
          <w:color w:val="auto"/>
        </w:rPr>
        <w:t>Commodities Intermediary</w:t>
      </w:r>
      <w:r>
        <w:rPr>
          <w:rFonts w:ascii="Times New Roman" w:cs="Times New Roman" w:eastAsia="Times New Roman" w:hAnsi="Times New Roman"/>
          <w:sz w:val="18"/>
          <w:szCs w:val="18"/>
          <w:color w:val="auto"/>
        </w:rPr>
        <w:t>”) with respect to Account #462-24461 maintained with the Commodities Intermediary (the “</w:t>
      </w:r>
      <w:r>
        <w:rPr>
          <w:rFonts w:ascii="Times New Roman" w:cs="Times New Roman" w:eastAsia="Times New Roman" w:hAnsi="Times New Roman"/>
          <w:sz w:val="18"/>
          <w:szCs w:val="18"/>
          <w:u w:val="single" w:color="auto"/>
          <w:color w:val="auto"/>
        </w:rPr>
        <w:t>Commodities Intermediary Account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360" w:hanging="716"/>
        <w:spacing w:after="0"/>
        <w:tabs>
          <w:tab w:leader="none" w:pos="13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The Administrative Agent shall have received a solvency certificate signed by a Financial Officer dated the Effective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6" w:lineRule="exact"/>
        <w:rPr>
          <w:rFonts w:ascii="Times New Roman" w:cs="Times New Roman" w:eastAsia="Times New Roman" w:hAnsi="Times New Roman"/>
          <w:sz w:val="18"/>
          <w:szCs w:val="18"/>
          <w:color w:val="auto"/>
        </w:rPr>
      </w:pPr>
    </w:p>
    <w:p>
      <w:pPr>
        <w:ind w:firstLine="644"/>
        <w:spacing w:after="0" w:line="282" w:lineRule="auto"/>
        <w:tabs>
          <w:tab w:leader="none" w:pos="143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Certificate</w:t>
      </w:r>
      <w:r>
        <w:rPr>
          <w:rFonts w:ascii="Times New Roman" w:cs="Times New Roman" w:eastAsia="Times New Roman" w:hAnsi="Times New Roman"/>
          <w:sz w:val="18"/>
          <w:szCs w:val="18"/>
          <w:color w:val="auto"/>
        </w:rPr>
        <w:t>. The Administrative Agent shall have received a Borrowing Base Certificate which calculates the Borrowing Base as of a recent date determined by the Administrative Agent.</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447"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Availability</w:t>
      </w:r>
      <w:r>
        <w:rPr>
          <w:rFonts w:ascii="Times New Roman" w:cs="Times New Roman" w:eastAsia="Times New Roman" w:hAnsi="Times New Roman"/>
          <w:sz w:val="18"/>
          <w:szCs w:val="18"/>
          <w:color w:val="auto"/>
        </w:rPr>
        <w:t>. After giving effect to all Borrowings to be made on the Effective Date, the issuance of any Letters of Credit on the Effective Date and the payment of all fees and expenses due hereunder, and with all of the Loan Parties’ indebtedness, liabilities, and obligations current, the Excess Availability shall not be less than $20,000,000.</w:t>
      </w:r>
    </w:p>
    <w:p>
      <w:pPr>
        <w:spacing w:after="0" w:line="175" w:lineRule="exact"/>
        <w:rPr>
          <w:rFonts w:ascii="Times New Roman" w:cs="Times New Roman" w:eastAsia="Times New Roman" w:hAnsi="Times New Roman"/>
          <w:sz w:val="18"/>
          <w:szCs w:val="18"/>
          <w:color w:val="auto"/>
        </w:rPr>
      </w:pPr>
    </w:p>
    <w:p>
      <w:pPr>
        <w:jc w:val="both"/>
        <w:ind w:firstLine="644"/>
        <w:spacing w:after="0" w:line="258" w:lineRule="auto"/>
        <w:tabs>
          <w:tab w:leader="none" w:pos="1537"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Equity Interests; Stock Powers; Pledged Notes</w:t>
      </w:r>
      <w:r>
        <w:rPr>
          <w:rFonts w:ascii="Times New Roman" w:cs="Times New Roman" w:eastAsia="Times New Roman" w:hAnsi="Times New Roman"/>
          <w:sz w:val="18"/>
          <w:szCs w:val="18"/>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131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Each document (including any Uniform Commercial Code financing statement) required by the Collateral Documents or under law or requested by the Administrative Agent in its sole discretion to be filed, registered or recorded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Section 6.02), shall be in proper form for filing, registration or recordation.</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264" w:name="page265"/>
    <w:bookmarkEnd w:id="264"/>
    <w:p>
      <w:pPr>
        <w:jc w:val="both"/>
        <w:ind w:left="-460" w:firstLine="644"/>
        <w:spacing w:after="0" w:line="266" w:lineRule="auto"/>
        <w:tabs>
          <w:tab w:leader="none" w:pos="829"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Unless required to be delivered by a later date pursuant to Section 5.16, the Administrative Agent shall have received evidence of insurance coverage in form, scope, and substance reasonably satisfactory to the Administrative Agent and otherwise in compliance with the terms of Section 5.10 hereof and Section 4.12 of the Security Agreement.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4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If a Letter of Credit is requested to be issued on the Effective Date, the Administrative Agent shall have received a properly completed letter of credit application (whether standalone or pursuant to a master agreement, as applicable). The Borrowers shall have executed the Issuing Bank’s master agreement for the issuance of commercial Letters of Credit.</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98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Administrative Agent shall have received a properly completed and signed IRS Form W-8 or W-9, as applicable, for each Loan Party.</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111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Structure</w:t>
      </w:r>
      <w:r>
        <w:rPr>
          <w:rFonts w:ascii="Times New Roman" w:cs="Times New Roman" w:eastAsia="Times New Roman" w:hAnsi="Times New Roman"/>
          <w:sz w:val="18"/>
          <w:szCs w:val="18"/>
          <w:color w:val="auto"/>
        </w:rPr>
        <w:t>. The corporate structure, capital structure and other material debt instruments, material accounts and governing documents of the Borrowers and their Affiliates shall be acceptable to the Administrative Agent in its sole discretion.</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79"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Field Examination</w:t>
      </w:r>
      <w:r>
        <w:rPr>
          <w:rFonts w:ascii="Times New Roman" w:cs="Times New Roman" w:eastAsia="Times New Roman" w:hAnsi="Times New Roman"/>
          <w:sz w:val="18"/>
          <w:szCs w:val="18"/>
          <w:color w:val="auto"/>
        </w:rPr>
        <w:t>. The Administrative Agent or its designee shall have conducted, at the sole cost and expense of the Lenders, a field examination of the Borrower’s Accounts, Inventory and related working capital matters and of the Borrowers’ related data processing and other systems, the results of which shall be satisfactory to the Administrative Agent in its sole discretion. The Loan Parties shall have no obligation to reimburse the Administrative Agent or the Lenders for the cost of such field examination notwithstanding Section 4.01(e).</w:t>
      </w:r>
    </w:p>
    <w:p>
      <w:pPr>
        <w:spacing w:after="0" w:line="179" w:lineRule="exact"/>
        <w:rPr>
          <w:rFonts w:ascii="Times New Roman" w:cs="Times New Roman" w:eastAsia="Times New Roman" w:hAnsi="Times New Roman"/>
          <w:sz w:val="18"/>
          <w:szCs w:val="18"/>
          <w:color w:val="auto"/>
        </w:rPr>
      </w:pPr>
    </w:p>
    <w:p>
      <w:pPr>
        <w:ind w:left="-460" w:firstLine="644"/>
        <w:spacing w:after="0" w:line="282" w:lineRule="auto"/>
        <w:tabs>
          <w:tab w:leader="none" w:pos="105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Due Diligence</w:t>
      </w:r>
      <w:r>
        <w:rPr>
          <w:rFonts w:ascii="Times New Roman" w:cs="Times New Roman" w:eastAsia="Times New Roman" w:hAnsi="Times New Roman"/>
          <w:sz w:val="18"/>
          <w:szCs w:val="18"/>
          <w:color w:val="auto"/>
        </w:rPr>
        <w:t>. The Administrative Agent and its counsel shall have completed all legal due diligence, the results of which shall be satisfactory to Administrative Agent in its sole discretion.</w:t>
      </w:r>
    </w:p>
    <w:p>
      <w:pPr>
        <w:spacing w:after="0" w:line="161"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102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The Administrative Agent shall have received an appraisal of the Borrowers’ Inventory from one or more firms satisfactory to the Administrative Agent, which appraisal shall be satisfactory to the Administrative Agent in its sole discretion.</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1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 Etc</w:t>
      </w:r>
      <w:r>
        <w:rPr>
          <w:rFonts w:ascii="Times New Roman" w:cs="Times New Roman" w:eastAsia="Times New Roman" w:hAnsi="Times New Roman"/>
          <w:sz w:val="18"/>
          <w:szCs w:val="18"/>
          <w:color w:val="auto"/>
        </w:rPr>
        <w:t>. (i) The Administrative Agent shall have received, at least five (5) days prior to the Effective Date, all documentation and other information regarding the Borrowers requested in connection with applicable “know your customer” and anti-money laundering rules and regulations, including the USA PATRIOT Act, to the extent requested in writing of the Borrowers at least ten (10) days prior to the Effective Date, and (ii) to the extent any Borrower qualifies as a “legal entity customer” under the Beneficial Ownership Regulation, at least five (5) days prior to the Effective Date, any Lender that has requested, in a written notice to the Borrowers at least ten (10) days prior to the Effective Date, a Beneficial Ownership Certification in relation to each Borrower shall have received such Beneficial Ownership Certification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execution and delivery by such Lender of its signature page to this Agreement, the condition set forth in this clause (ii) shall be deemed to be satisfied).</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65" w:name="page266"/>
    <w:bookmarkEnd w:id="265"/>
    <w:p>
      <w:pPr>
        <w:ind w:left="660" w:firstLine="644"/>
        <w:spacing w:after="0" w:line="282" w:lineRule="auto"/>
        <w:tabs>
          <w:tab w:leader="none" w:pos="2462"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Administrative Agent shall have received such other documents as the Administrative Agent, the Issuing Bank, any Lender or their respective counsel may have reasonably requested.</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Administrative Agent shall notify the Borrowers, the Lenders and the Issuing Bank of the Effective Date, and such notice shall be conclusive and binding. Notwithstanding the foregoing, the obligations of the Lenders to make Loans and of the Issuing Bank to issue Letters of Credit hereunder shall not become effective unless each of the foregoing conditions is satisfied (or waived pursuant to Section 9.02) at or prior to 2:00 p.m., Chicago time, on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date of this Agreement (and, in the event such conditions are not so satisfied or waived, the Commitments may be terminated at such time by written notice to Borrower Representative delivered by Administrative Agent.).</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Each Credit Event.</w:t>
      </w:r>
      <w:r>
        <w:rPr>
          <w:rFonts w:ascii="Times New Roman" w:cs="Times New Roman" w:eastAsia="Times New Roman" w:hAnsi="Times New Roman"/>
          <w:sz w:val="18"/>
          <w:szCs w:val="18"/>
          <w:color w:val="auto"/>
        </w:rPr>
        <w:t xml:space="preserve"> The obligation of each Lender to make a Loan on the occasion of any Borrowing, and of the Issuing Bank to issue, amend or extend any Letter of Credit, is subject to the satisfaction of the following conditions:</w:t>
      </w:r>
    </w:p>
    <w:p>
      <w:pPr>
        <w:spacing w:after="0" w:line="162" w:lineRule="exact"/>
        <w:rPr>
          <w:sz w:val="20"/>
          <w:szCs w:val="20"/>
          <w:color w:val="auto"/>
        </w:rPr>
      </w:pPr>
    </w:p>
    <w:p>
      <w:pPr>
        <w:jc w:val="both"/>
        <w:ind w:left="660" w:firstLine="644"/>
        <w:spacing w:after="0" w:line="261" w:lineRule="auto"/>
        <w:tabs>
          <w:tab w:leader="none" w:pos="197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Loan Parties set forth in the Loan Documents shall be true and correct with the same effect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only as of such specified date).</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957"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or extension of such Letter of Credit, as applicable, (i) no Default shall have occurred and be continuing and (ii) no Protective Advance shall be outstanding.</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any Borrowing or the issuance of any Letter of Credit, Availability shall not be less than zero.</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shall have occurred and no condition shall exist which has or could be reasonably expected to have a Material Adverse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Borrowing and each issuance, amendment or extension of a Letter of Credit shall be deemed to constitute a representation and warranty by the Borrowers on the date thereof as to the matters specified in paragraphs (a), (b), (c) and (d) of this Section.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failure to satisfy the conditions precedent set forth in paragraphs (a) or (b) of this Section, unless otherwise directed by the Required Lenders, the Administrative Agent may, but shall have no obligation to, continue to make Loans and an Issuing Bank may, but shall have no obligation to, issue, amend or extend, or cause to be issued, amended or extended, any Letter of Credit for the ratable account and risk of Lenders from time to time if the Administrative Agent believes that making such Loans or issuing, amending or extending, or causing the issuance, amendment or extension of, any such Letter of Credit is in the best interests of the Lenders.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Until all of the Secured Obligations have been Paid in Full, each Loan Party executing this Agreement covenants and agrees, jointly and severally with all of the other Loan Parties, with the Lenders that: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Borrowing Base and Other Information.</w:t>
      </w:r>
      <w:r>
        <w:rPr>
          <w:rFonts w:ascii="Times New Roman" w:cs="Times New Roman" w:eastAsia="Times New Roman" w:hAnsi="Times New Roman"/>
          <w:sz w:val="18"/>
          <w:szCs w:val="18"/>
          <w:color w:val="auto"/>
        </w:rPr>
        <w:t xml:space="preserve"> The Borrowers will furnish to the Administrative Agent and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jc w:val="both"/>
        <w:ind w:left="660" w:firstLine="644"/>
        <w:spacing w:after="0" w:line="254" w:lineRule="auto"/>
        <w:tabs>
          <w:tab w:leader="none" w:pos="191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5 days after the date on which such financial statements are required to be filed with the SEC for such fiscal year (after giving effect to any permitted extensions) (or, if such financial statements are not required to be filed with the SEC, on or before the date that is 90 days after the end of each such fiscal year) the audited consolidated balance sheet of the Company and its Subsidiaries and related statements of operations, stockholders' equity and cash flows as of the end of and for each fiscal year of the Company, setting forth in each case in comparative form the figures for the previous fiscal year, all reported on by independent public accountants of recognized national standing (without a “going concern” or like qualification, commentary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18" w:lineRule="exact"/>
        <w:tabs>
          <w:tab w:leader="none" w:pos="191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and in any event within 5 days after the date on which such financial statements are required to be filed with the SEC for such fiscal quarter (after giving effect to any permitted extensions) (or, if such financial statements are not required to be filed with the SEC, on or before the date that is 45 days after the end of each such fiscal quarter), the consolidated balance sheet of the Company and its Subsidiaries and related statements of operations, stockholders' equity and cash flows as of the end of and for each fiscal quarter of the Company and the then elapsed portion of such fiscal year, setting forth in each case in comparative form the figures for the corresponding period or periods of (or, in the case of the balance sheet, as of the end of) the previous fiscal year, all certified by a Finan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cial Officer of the Borrower Representative as presenting fairly in all material respects the financial condition and results of operations of the Company and its consolidated Subsidiaries on a consolidated basis in accordance with GAAP consis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tently applied, subject to normal year-end audit adjustments and the absence of footnotes;</w:t>
      </w:r>
    </w:p>
    <w:p>
      <w:pPr>
        <w:spacing w:after="0" w:line="204" w:lineRule="exact"/>
        <w:rPr>
          <w:rFonts w:ascii="Times New Roman" w:cs="Times New Roman" w:eastAsia="Times New Roman" w:hAnsi="Times New Roman"/>
          <w:sz w:val="18"/>
          <w:szCs w:val="18"/>
          <w:color w:val="auto"/>
        </w:rPr>
      </w:pPr>
    </w:p>
    <w:p>
      <w:pPr>
        <w:jc w:val="both"/>
        <w:ind w:left="660" w:firstLine="644"/>
        <w:spacing w:after="0" w:line="222" w:lineRule="exact"/>
        <w:tabs>
          <w:tab w:leader="none" w:pos="1932"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end of each fiscal month of the Company, the consolidated balance sheet of the Company and its Subsidiaries and related statements of operations, stockholders' equity and cash flows as of the end of and for such fiscal month and the then elapsed portion of the fiscal year, setting forth in each case in comparative form the figures for the corresponding period or periods of (or, in the case of the balance sheet, as of the end of) the previous fiscal year, all certified by a Finan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cial Officer of the Borrower Representative as presenting fairly in all material respects the financial condition and results of operations of the Company and its consolidated Subsidiaries on a consolidated basis in accordance with GAAP consis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tently applied, subject to normal year-end audit adjustments and the absence of footnotes;</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19" w:lineRule="exact"/>
        <w:tabs>
          <w:tab w:leader="none" w:pos="196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delivery of financial statements under clause (a), (b) or (c) above, a Compliance Certificate (i) certifying, in the case of the financial statements delivered under clause (b) or (c), as presenting fairly in all material respects the financial condition and results of operations of the Company and its consolidated Subsidiaries on a consolidated basis in accordance with GAAP consis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Section 6.12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7" w:name="page268"/>
    <w:bookmarkEnd w:id="267"/>
    <w:p>
      <w:pPr>
        <w:jc w:val="both"/>
        <w:ind w:left="4" w:firstLine="644"/>
        <w:spacing w:after="0" w:line="266" w:lineRule="auto"/>
        <w:tabs>
          <w:tab w:leader="none" w:pos="1257"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spacing w:after="0" w:line="175" w:lineRule="exact"/>
        <w:rPr>
          <w:rFonts w:ascii="Times New Roman" w:cs="Times New Roman" w:eastAsia="Times New Roman" w:hAnsi="Times New Roman"/>
          <w:sz w:val="18"/>
          <w:szCs w:val="18"/>
          <w:color w:val="auto"/>
        </w:rPr>
      </w:pPr>
    </w:p>
    <w:p>
      <w:pPr>
        <w:jc w:val="both"/>
        <w:ind w:left="4" w:right="20" w:firstLine="644"/>
        <w:spacing w:after="0" w:line="266" w:lineRule="auto"/>
        <w:tabs>
          <w:tab w:leader="none" w:pos="1309"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 later than 30 days following the end of each fiscal year of the Company, a copy of the plan and forecast (including a projected consolidated and consolidating balance sheet, income statement and cash flow statement) of the Company for each month of the upcoming fiscal year (the “</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in form reasonably satisfactory to the Administrative Agent;</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5" w:lineRule="auto"/>
        <w:tabs>
          <w:tab w:leader="none" w:pos="1285"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available but in any event within 20 days of the end of each calendar month, as of the period then ended, a Borrowing Base Certificate and supporting information in connection therewith, together with any additional reports with respect to the Borrowing Base as the Administrative Agent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at any time that Availability is less than (i) for the ninety (90) day period beginning on the Second Amendment Effective Date, the greater of (A) 8.3% of the Aggregate Revolving Commitment or (B) $12,500,000, and</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27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the greater of (A) 15% of the Aggregate Revolving Commitment or (B) $22,500,000, Borrowers shall deliver the reports set forth in this clause (g) on a weekly basis within 3 Business Days of the end of each calendar week;</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431"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20 days of the end of each calendar month and at such other times as may be requested by the Administrative Agent, as of the period then ended, all delivered electronically in a text formatted file acceptable to the Administrative Agent:</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2119"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detailed aging of the Borrowers’ Accounts, including all invoices aged by invoice date and due date (with an explanation of the terms offered), prepared in a manner reasonably acceptable to the Administrative Agent, together with a summary specifying the name, address, and balance due for each Account Debtor;</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54" w:lineRule="auto"/>
        <w:tabs>
          <w:tab w:leader="none" w:pos="2165"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detailing the Borrowers’ Inventory, in form satisfactory to the Administrative Agent, (1) by location (showing Inventory in transit, any Inventory located with a third party under any consignment, bailee arrangement, or warehouse agreement), by class (raw material, work-in-process and finished goods), by product type, and by volume on hand, which Inventory shall be valued at the lower of cost (determined on a weighted average cost basis) or market and adjusted for Reserves as the Administrative Agent has previously indicated to the Borrower Representative are deemed by the Administrative Agent to be appropriate, and (2) including a report of any variances or other results of Inventory counts performed by the Borrowers since the last Inventory schedule (including information regarding sales or other reductions, additions, returns, credits issued by Borrowers and complaints and claims made against the Borrowers);</w:t>
      </w:r>
    </w:p>
    <w:p>
      <w:pPr>
        <w:spacing w:after="0" w:line="191"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2083"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worksheet of calculations prepared by the Borrowers to determine Eligible Accounts and Eligible Inventory, such worksheets detailing the Accounts and Inventory excluded from Eligible Accounts and Eligible Inventory and the reason for such exclusion;</w:t>
      </w:r>
    </w:p>
    <w:p>
      <w:pPr>
        <w:spacing w:after="0" w:line="17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268" w:name="page269"/>
    <w:bookmarkEnd w:id="268"/>
    <w:p>
      <w:pPr>
        <w:jc w:val="both"/>
        <w:ind w:left="180" w:firstLine="652"/>
        <w:spacing w:after="0" w:line="261" w:lineRule="auto"/>
        <w:tabs>
          <w:tab w:leader="none" w:pos="154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Borrowers’ Accounts and Inventory between (A) the amounts shown in the Borrowers’ general ledger and financial statements and the reports delivered pursuant to clauses (i) and (ii) above and (B) the amounts and dates shown in the reports delivered pursuant to clauses (i) and (ii) above and the Borrowing Base Certificate delivered pursuant to clause (g) above as of such date; and</w:t>
      </w:r>
    </w:p>
    <w:p>
      <w:pPr>
        <w:spacing w:after="0" w:line="179" w:lineRule="exact"/>
        <w:rPr>
          <w:rFonts w:ascii="Times New Roman" w:cs="Times New Roman" w:eastAsia="Times New Roman" w:hAnsi="Times New Roman"/>
          <w:sz w:val="18"/>
          <w:szCs w:val="18"/>
          <w:color w:val="auto"/>
        </w:rPr>
      </w:pPr>
    </w:p>
    <w:p>
      <w:pPr>
        <w:ind w:left="1440" w:hanging="608"/>
        <w:spacing w:after="0"/>
        <w:tabs>
          <w:tab w:leader="none" w:pos="144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the loan balance per the Borrowers’ general ledger to the loan balance under this Agreement;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93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20 days of the end of each calendar month and at such other times as may be requested by the Administrative Agent, as of the month then ended, a schedule and aging of the Borrowers’ accounts payable, delivered electronically in a text formatted file acceptable to the Administrative Agent;</w:t>
      </w:r>
    </w:p>
    <w:p>
      <w:pPr>
        <w:spacing w:after="0" w:line="175" w:lineRule="exact"/>
        <w:rPr>
          <w:rFonts w:ascii="Times New Roman" w:cs="Times New Roman" w:eastAsia="Times New Roman" w:hAnsi="Times New Roman"/>
          <w:sz w:val="18"/>
          <w:szCs w:val="18"/>
          <w:color w:val="auto"/>
        </w:rPr>
      </w:pPr>
    </w:p>
    <w:p>
      <w:pPr>
        <w:ind w:left="760" w:hanging="576"/>
        <w:spacing w:after="0"/>
        <w:tabs>
          <w:tab w:leader="none" w:pos="7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Administrative Agent’s request:</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32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invoices issued by the Borrowers in connection with any Accounts, credit memos, shipping and delivery documents, and other information related thereto;</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252"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purchase orders, invoices, and shipping and delivery documents in connection with any Inventory or Equipment purchased by any Loan Party; and</w:t>
      </w:r>
    </w:p>
    <w:p>
      <w:pPr>
        <w:spacing w:after="0" w:line="161" w:lineRule="exact"/>
        <w:rPr>
          <w:rFonts w:ascii="Times New Roman" w:cs="Times New Roman" w:eastAsia="Times New Roman" w:hAnsi="Times New Roman"/>
          <w:sz w:val="18"/>
          <w:szCs w:val="18"/>
          <w:color w:val="auto"/>
        </w:rPr>
      </w:pPr>
    </w:p>
    <w:p>
      <w:pPr>
        <w:ind w:left="1280" w:hanging="448"/>
        <w:spacing w:after="0"/>
        <w:tabs>
          <w:tab w:leader="none" w:pos="128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detailing the balance of all intercompany accounts of the Loan Parties;</w:t>
      </w:r>
    </w:p>
    <w:p>
      <w:pPr>
        <w:spacing w:after="0" w:line="27"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373"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updated customer list for each Borrower and its Subsidiaries, which list shall state the customer’s name, mailing address and phone number, delivered electronically in a text formatted file acceptable to the Administrative Agent and certified as true and correct by a Financial Officer of the Borrower Representative.</w:t>
      </w:r>
    </w:p>
    <w:p>
      <w:pPr>
        <w:spacing w:after="0" w:line="185"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22" w:lineRule="exact"/>
        <w:tabs>
          <w:tab w:leader="none" w:pos="82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periodic and other reports, proxy statements and other materials filed by any Loan Party or any Subsidiary with the SEC, or any Govern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mental Authority succeeding to any or all of the functions of the SEC, or with any national securities exchange, as the case may be; and</w:t>
      </w:r>
    </w:p>
    <w:p>
      <w:pPr>
        <w:spacing w:after="0" w:line="199"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57"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request therefor by the Administrative Agent or any Lender, copies of (i) any documents described in Section 101(k)(1) of ERISA that any Borrower or any ERISA Affiliate may request with respect to any Multiemployer Plan and (ii) any notices described in Section 101(l)(1) of ERISA that any Borrower or any ERISA Affiliate may request with respect to any Multiemployer Plan;</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87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Administrative Agent, as soon as possible and in any event within twenty (20) Business Days of filing thereof, copies of all U.S. federal income tax returns filed by any Loan Party with the U.S. Internal Revenue Service.</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6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thereof by any Borrower or any Subsidiary, copies of each notice or other correspondence received from the SEC (or comparable agency in any applicable non-U.S. jurisdiction) concerning any investigation or possible investigation or other inquiry by the SEC or such other agency regarding financial or other operational results of any Borrower or any Subsidiary thereof;</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69" w:name="page270"/>
    <w:bookmarkEnd w:id="269"/>
    <w:p>
      <w:pPr>
        <w:jc w:val="both"/>
        <w:ind w:left="660" w:firstLine="644"/>
        <w:spacing w:after="0" w:line="261" w:lineRule="auto"/>
        <w:tabs>
          <w:tab w:leader="none" w:pos="197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and to the extent requested, copies of any detailed audit reports, management letters or recommendations submitted to the board of directors (or the audit committee of the board of directors) of any Borrower by independent accountants in connection with the accounts or books of such Borrower or any Subsidiary, or any audit of any of them as the Administrative Agent or any Lender (through the Administrative Agent) may reasonably request.</w:t>
      </w:r>
    </w:p>
    <w:p>
      <w:pPr>
        <w:spacing w:after="0" w:line="180"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Section 5.01(a), (b) or (l)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a Borrower’s behalf on an Internet or intranet website, if any, to which each Lender and the Administrative Agent have access (whether a commercial, third-party website or whether made available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upon written request by the Administrative Agent (or any Lender through the Administrative Agent) to the Borrower Representative, the Borrower Representative shall deliver paper copies of such documents to the Administrative Agent or such Lender until a written request to cease delivering paper copies is given by the Administrative Agent or such Lender and (B) the Borrower Representative shall notify the Administrative Agent and each Lender (by fax or through Electronic Systems) of the posting of any such documents and provide to the Administrative Agent through Electronic Systems electronic versions (i.e., soft copies) of such documents. The Administrative Agent shall have no obligation to request the delivery of or to maintain paper copies of the documents referred to above, and in any event shall have no responsibility to monitor compliance by any Borrower with any such request by a Lender for delivery, and each Lender shall be solely responsible for timely accessing posted documents or requesting delivery of paper copies of such documents to it and maintaining its copies of such documents.</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The Company represents and warrants that each of it, and its Controlling and Controlled entities, in each case, if any (collectively with the Borrowers, the “</w:t>
      </w:r>
      <w:r>
        <w:rPr>
          <w:rFonts w:ascii="Times New Roman" w:cs="Times New Roman" w:eastAsia="Times New Roman" w:hAnsi="Times New Roman"/>
          <w:sz w:val="18"/>
          <w:szCs w:val="18"/>
          <w:u w:val="single" w:color="auto"/>
          <w:color w:val="auto"/>
        </w:rPr>
        <w:t>Relevant Entities</w:t>
      </w:r>
      <w:r>
        <w:rPr>
          <w:rFonts w:ascii="Times New Roman" w:cs="Times New Roman" w:eastAsia="Times New Roman" w:hAnsi="Times New Roman"/>
          <w:sz w:val="18"/>
          <w:szCs w:val="18"/>
          <w:color w:val="auto"/>
        </w:rPr>
        <w:t>”), either (i) has no SEC registered or unregistered, publicly traded securities outstanding, or (ii) files its financial statements with the SEC and/or makes its financial statements available to potential holders of its securities, and, accordingly, the Company hereby (A) authorizes the Administrative Agent to make the financial statements to be provided under Section 5.01(a) and (b) above (collectively or individually, as the context requires,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along with the Loan Documents, available to Public-Siders and</w:t>
      </w:r>
    </w:p>
    <w:p>
      <w:pPr>
        <w:spacing w:after="0" w:line="3" w:lineRule="exact"/>
        <w:rPr>
          <w:sz w:val="20"/>
          <w:szCs w:val="20"/>
          <w:color w:val="auto"/>
        </w:rPr>
      </w:pPr>
    </w:p>
    <w:p>
      <w:pPr>
        <w:jc w:val="both"/>
        <w:ind w:left="660" w:hanging="4"/>
        <w:spacing w:after="0" w:line="252" w:lineRule="auto"/>
        <w:tabs>
          <w:tab w:leader="none" w:pos="95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at the time such Financial Statements are provided hereunder, they shall already have been made available to holders of any such securities. The Company will not request that any other material be posted to Public-Siders without expressly representing and warranting to the Administrative Agent in writing that such materials do not constitute material non-public information within the meaning of the federal securities laws or that the Relevant Entities have no outstanding SEC registered or unregistered, publicly traded securities. Notwithstanding anything herein to the contrary, in no event shall the Company request that the Administrative Agent make available to Public-Siders budgets or any certificates, reports or calculations with respect to the Borrowers’ compliance with the covenants contained herein or with respect to the Borrowing Base.</w:t>
      </w:r>
    </w:p>
    <w:p>
      <w:pPr>
        <w:spacing w:after="0" w:line="1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xml:space="preserve"> The Borrowers will furnish to the Administrative Agent and each Lender prompt (but in any event within any time period that may be specified below) written notice of the following:</w:t>
      </w:r>
    </w:p>
    <w:p>
      <w:pPr>
        <w:spacing w:after="0" w:line="162" w:lineRule="exact"/>
        <w:rPr>
          <w:sz w:val="20"/>
          <w:szCs w:val="20"/>
          <w:color w:val="auto"/>
        </w:rPr>
      </w:pPr>
    </w:p>
    <w:p>
      <w:pPr>
        <w:ind w:left="5540" w:right="2440" w:hanging="4236"/>
        <w:spacing w:after="0" w:line="532" w:lineRule="auto"/>
        <w:tabs>
          <w:tab w:leader="none" w:pos="191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obtaining knowledge thereof, the occurrence of any Default;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0" w:name="page271"/>
    <w:bookmarkEnd w:id="270"/>
    <w:p>
      <w:pPr>
        <w:jc w:val="both"/>
        <w:ind w:left="660" w:firstLine="644"/>
        <w:spacing w:after="0" w:line="256" w:lineRule="auto"/>
        <w:tabs>
          <w:tab w:leader="none" w:pos="197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following receipt, receipt of any notice of any investigation by a Governmental Authority or any litigation or Proceeding commenced or threatened against any Loan Party or any Subsidiary that (i) seeks damages in excess of $100,000, (ii) seeks injunctive relief, (iii) is asserted or instituted against any Plan, its fiduciaries or its assets, (iv) alleges criminal misconduct by any Loan Party or any Subsidiary, (v) alleges the violation of, or seeks to impose remedies under, any Environmental Law or related Requirement of Law, or seeks to impose Environmental Liability, (vi) asserts liability on the part of any Loan Party or any Subsidiary in excess of $100,000 in respect of any Tax, fee, assessment, or other governmental charge, or (vii) involves any product recall;</w:t>
      </w:r>
    </w:p>
    <w:p>
      <w:pPr>
        <w:spacing w:after="0" w:line="187" w:lineRule="exact"/>
        <w:rPr>
          <w:rFonts w:ascii="Times New Roman" w:cs="Times New Roman" w:eastAsia="Times New Roman" w:hAnsi="Times New Roman"/>
          <w:sz w:val="18"/>
          <w:szCs w:val="18"/>
          <w:color w:val="auto"/>
        </w:rPr>
      </w:pPr>
    </w:p>
    <w:p>
      <w:pPr>
        <w:ind w:left="660" w:firstLine="644"/>
        <w:spacing w:after="0" w:line="282" w:lineRule="auto"/>
        <w:tabs>
          <w:tab w:leader="none" w:pos="197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obtaining knowledge thereof, any Lien (other than Permitted Encumbrances) or claim made or asserted against any of the Collateral;</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4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obtaining knowledge thereof, any loss, damage, or destruction to the Collateral in the amount of $100,000 or more, whether or not covered by insurance;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41"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of receipt thereof, any and all default notices received under or with respect to any leased location or public warehouse where Collateral is located;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6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the execution thereof, all material amendments to any Material Agreement, together with a copy of each such amendment;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44"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after the execution thereof, any Loan Party entering into a Swap Agreement or an amendment thereto, together with copies of all agreements evidencing such Swap Agreement or amendment;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2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obtaining knowledge thereof, the occurrence of any ERISA Event that, alone or together with any other ERISA Events that have occurred, could reasonably be expected to result in liability of the Loan Parties and their Subsidiaries in an aggregate amount exceeding $100,000;</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61" w:lineRule="auto"/>
        <w:tabs>
          <w:tab w:leader="none" w:pos="2172"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the implementation thereof, any material change in accounting or financial reporting practices by any Borrower or any</w:t>
      </w: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207" w:lineRule="exact"/>
        <w:rPr>
          <w:sz w:val="20"/>
          <w:szCs w:val="20"/>
          <w:color w:val="auto"/>
        </w:rPr>
      </w:pPr>
    </w:p>
    <w:p>
      <w:pPr>
        <w:ind w:left="660" w:firstLine="644"/>
        <w:spacing w:after="0" w:line="282" w:lineRule="auto"/>
        <w:tabs>
          <w:tab w:leader="none" w:pos="203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obtaining knowledge thereof, any other development that results, or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7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(2) Business Days after the occurrence thereof, any change in the information provided in the Beneficial Ownership Certification delivered to such Lender that would result in a change to the list of beneficial owners identified in such certification;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5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following the formation or acquisition thereof, any Subsidiary is formed or acquired after the date of this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notice delivered under this Section (i) shall be in writing, (ii) shall contain a heading or a reference line that reads “Notice under Section 5.02 of Amended and Restated Credit Agreement dated May 19, 2021” and (iii) shall be accompanied by a statement of a Financial Officer or other executive officer of the Borrower Representative setting forth the details of the event or development requiring such notice and any action taken or proposed to be taken with respect thereto.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1" w:name="page272"/>
    <w:bookmarkEnd w:id="27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xml:space="preserve">. Each Loan Party will, and will cause each Subsidiary to, (a) do or cause to be done all things necessary to maintain its legal existence, (b) except where the failure to do so could not reasonably be expected to result in a Material Adverse Effect, do all things necessary to maintain and preserve the rights, qualifications, licenses, permits, franchises, governmental authorizations, intellectual property rights, licenses and permits material to the conduct of its business, and all requisite authority to conduct its business in each jurisdiction in which its business is currently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merger, consolidation, liquidation or dissolution permitted under Section 6.03, and (c) carry on and conduct its business in substantially the same manner and in substantially the same fields of enterprise as it is presently conducted.</w:t>
      </w:r>
    </w:p>
    <w:p>
      <w:pPr>
        <w:spacing w:after="0" w:line="189"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Each Loan Party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ate proceedings, (b) such Loan Party or Subsidiary has set aside on its books adequate reserves with respect thereto in accordance with GAAP and (c) the failure to make payment pending such contest could not reasonably be expected to result in a Material Adverse Effect.</w:t>
      </w: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xml:space="preserve"> . Each Loan Party will, and will cause each Subsidiary to, keep and maintain all property material to the conduct of its business in good working order and condition, ordinary wear and tear excepted.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Books and Records; Inspection Rights</w:t>
      </w:r>
      <w:r>
        <w:rPr>
          <w:rFonts w:ascii="Times New Roman" w:cs="Times New Roman" w:eastAsia="Times New Roman" w:hAnsi="Times New Roman"/>
          <w:sz w:val="18"/>
          <w:szCs w:val="18"/>
          <w:color w:val="auto"/>
        </w:rPr>
        <w:t xml:space="preserve">. Each Loan Party will, and will cause each Subsidiary to,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any Lender or any consultants, accountants, lawyers, agents and appraisers retained by the Administrative Agent), upon reasonable prior notice, to visit and inspect its properties, to conduct at such Loan Party’s premises field examinations of such Loan Party’s assets, liabilities, books and records, including examining and making extracts from its books and records, and to discuss its affairs, finances and condition with its officers and independent accountants (and hereby authorizes the Administrative Agent and each Lender to contact its independent accountants directly) and to provide contact information for each bank where each Loan Party has a depository and/or securities account and each such Loan Party hereby authorizes the Administrative Agent and each Lender to contact the bank(s) in order to request bank statements and/or balances, all at such reasonable times and as often as reasonably requested. Each Loan Party acknowledges that the Administrative Agent, after exercising its rights of inspection, may prepare and distribute to the Lenders certain Reports pertaining to each Loan Party’s assets for internal use by the Administrative Agent and the Lenders. The Loan Parties shall be responsible for the costs and expenses of one (1) field examination during any 12-month period and one (1) additional field examination (for the total of two (2) such field examinations during any 12-month period) conducted at any time that Availability is less than (i) for the ninety (90) day period beginning on the Second Amendment Effective Date, the greater of (A) 8.3% of the Aggregate Revolving Commitment or (B) $12,500,000, and (ii) thereafter, the greater of (A) 15% of the Aggregate Revolving Commitment or (B) $22,500,000;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shall be responsible for the costs and expenses of all field examinations conducted while an Event of Default has occurred and is continuing;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the Loan Parties shall not be responsible for the costs and expenses of the initial field examination conducted in connection with entering into this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2" w:name="page273"/>
    <w:bookmarkEnd w:id="27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 and Material Contractual Obligations.</w:t>
      </w:r>
      <w:r>
        <w:rPr>
          <w:rFonts w:ascii="Times New Roman" w:cs="Times New Roman" w:eastAsia="Times New Roman" w:hAnsi="Times New Roman"/>
          <w:sz w:val="18"/>
          <w:szCs w:val="18"/>
          <w:color w:val="auto"/>
        </w:rPr>
        <w:t xml:space="preserve"> Each Loan Party will, and will cause each Subsidiary to, (a) comply with each Requirement of Law applicable to it or its property (including without limitation Environmental Laws) except, in each case, where the failure to do so, individually or in the aggregate, could not reasonably be expected to result in a Material Adverse Effect, and (b) perform in all material respects its obligations under material agreements to which it is a party, except, in each case,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and applicable Sanctions.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jc w:val="both"/>
        <w:ind w:left="660" w:firstLine="644"/>
        <w:spacing w:after="0" w:line="256" w:lineRule="auto"/>
        <w:tabs>
          <w:tab w:leader="none" w:pos="168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Loans and the Letters of Credit will be used only (i) to repay certain indebtedness of the Company existing prior to the Effective Date, (ii) to finance certain Capital Expenditures related to the businesses in which the Loan Parties are engaged on the Effective Date, (iii) to finance a portion of the Plateplus Acquisition on the Second Amendment Effective Date and (iv) other working capital and general organizational purposes in the ordinary course of business. No part of the proceeds of any Loan and no Letter of Credit will be used, whether directly or indirectly, (i) for any purpose that entails a violation of any of the regulations of the Federal Reserve Board, including Regulations T, U and X or (ii) to make any Acquisition other than Permitted Acquisitions.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39"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will request any Borrowing or Letter of Credit, and no Borrower shall use, and each Borrower shall procure that its Subsidiaries and its and their respective directors, officers, employees and agents shall not use, the proceeds of any Borrowing or Letter of Credit</w:t>
      </w:r>
    </w:p>
    <w:p>
      <w:pPr>
        <w:jc w:val="both"/>
        <w:ind w:left="660" w:hanging="4"/>
        <w:spacing w:after="0" w:line="253" w:lineRule="auto"/>
        <w:tabs>
          <w:tab w:leader="none" w:pos="87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Accuracy of Information</w:t>
      </w:r>
      <w:r>
        <w:rPr>
          <w:rFonts w:ascii="Times New Roman" w:cs="Times New Roman" w:eastAsia="Times New Roman" w:hAnsi="Times New Roman"/>
          <w:sz w:val="18"/>
          <w:szCs w:val="18"/>
          <w:color w:val="auto"/>
        </w:rPr>
        <w:t xml:space="preserve">.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Borrowers on the date thereof as to the matters specified in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Loan Parties will only ensure that such information was prepared in good faith based upon assumptions believed to be reasonable at the time.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Loan Party will, and will cause each Subsidiary to, maintain with financially sound and reputable carriers having a financial strength rating of at least A- by A.M. Best Company (a) insurance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Administrative Agent, information in reasonable detail as to the insurance so maintained.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3" w:name="page274"/>
    <w:bookmarkEnd w:id="27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Casualty and Condemnation.</w:t>
      </w:r>
      <w:r>
        <w:rPr>
          <w:rFonts w:ascii="Times New Roman" w:cs="Times New Roman" w:eastAsia="Times New Roman" w:hAnsi="Times New Roman"/>
          <w:sz w:val="18"/>
          <w:szCs w:val="18"/>
          <w:color w:val="auto"/>
        </w:rPr>
        <w:t xml:space="preserve"> The Borrowers will (a)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Appraisals</w:t>
      </w:r>
      <w:r>
        <w:rPr>
          <w:rFonts w:ascii="Times New Roman" w:cs="Times New Roman" w:eastAsia="Times New Roman" w:hAnsi="Times New Roman"/>
          <w:sz w:val="18"/>
          <w:szCs w:val="18"/>
          <w:color w:val="auto"/>
        </w:rPr>
        <w:t>. Subject to the limitations below, at the request of the Administrative Agent, the Borrowers will provide the Administrative Agent with appraisals or updates thereof of the Inventory and/or Equipment of the Loan Parties from an appraiser selected and engaged by the Administrative Agent, and prepared on a basis satisfactory to the Administrative Agent in its Permitted Discretion, such appraisals and updates to include, without limitation, information required by any applicable Requirement of Law. The Loan Parties shall be obligated to arrange or facilitate, and shall be responsible for the costs and expenses of, up to three (3) Inventory per calendar year and one Equipment appraisal during any calendar year that the Borrowing Base is increased by the M&amp;E Component. Additionally, there shall be no limitation on the number or frequency of Inventory and/or Equipment appraisals if an Event of Default has occurred and is continuing, and the Loan Parties shall be responsible for the costs and expenses of any such appraisals conducted while an Event of Default has occurred and is continuing. Notwithstanding the foregoing, an appraisal of the Equipment of the Loan Parties shall be required as a condition to the inclusion thereof in the Borrowing Base, but no appraisal of Equipment shall be required unless and until the Borrowers elect to so include such Equipment in the Borrowing Base.</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Depository Banks</w:t>
      </w:r>
      <w:r>
        <w:rPr>
          <w:rFonts w:ascii="Times New Roman" w:cs="Times New Roman" w:eastAsia="Times New Roman" w:hAnsi="Times New Roman"/>
          <w:sz w:val="18"/>
          <w:szCs w:val="18"/>
          <w:color w:val="auto"/>
        </w:rPr>
        <w:t>. Each Borrower and each Subsidiary will maintain the Administrative Agent as its principal depository bank, including for the maintenance of operating, administrative, cash management, collection activity and other deposit accounts for the conduct of its business. Additionally, the Administrative Agent shall be the principal provider of other Banking Services to the Borrowers and their Subsidiaries.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Additional Collateral; Further Assurances</w:t>
      </w:r>
      <w:r>
        <w:rPr>
          <w:rFonts w:ascii="Times New Roman" w:cs="Times New Roman" w:eastAsia="Times New Roman" w:hAnsi="Times New Roman"/>
          <w:sz w:val="18"/>
          <w:szCs w:val="18"/>
          <w:color w:val="auto"/>
        </w:rPr>
        <w:t>. (a) Subject to applicable Requirement of Law, each Loan Party will cause each Domestic Subsidiary formed or acquired after the date of this Agreement to become a Loan Party by executing a Joinder Agreement. In connection therewith, the Administrative Agent shall have received all documentation and other information regarding such newly formed or acquired Domestic Subsidiaries as may be required to comply with the applicable “know your customer” rules and regulations, including the USA Patriot Act.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which constitutes Collateral.</w:t>
      </w:r>
    </w:p>
    <w:p>
      <w:pPr>
        <w:spacing w:after="0" w:line="189" w:lineRule="exact"/>
        <w:rPr>
          <w:sz w:val="20"/>
          <w:szCs w:val="20"/>
          <w:color w:val="auto"/>
        </w:rPr>
      </w:pPr>
    </w:p>
    <w:p>
      <w:pPr>
        <w:jc w:val="both"/>
        <w:ind w:firstLine="656"/>
        <w:spacing w:after="0" w:line="266" w:lineRule="auto"/>
        <w:tabs>
          <w:tab w:leader="none" w:pos="1323"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will cause 100% of the issued and outstanding Equity Interests of each of its Domestic Subsidiaries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4" w:name="page275"/>
    <w:bookmarkEnd w:id="274"/>
    <w:p>
      <w:pPr>
        <w:jc w:val="both"/>
        <w:ind w:firstLine="656"/>
        <w:spacing w:after="0" w:line="255" w:lineRule="auto"/>
        <w:tabs>
          <w:tab w:leader="none" w:pos="1367"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each Loan Party will, and will cause each Domestic Subsidiary to, execute and deliver, or cause to be executed and delivered, to the Administrative Agent such documents, agreements and instruments, and will take or cause to be taken such further actions (including the filing and recording of financing statements, fixture filings and other documents and such other actions or deliveries of the type required by Section 4.01, as applicable), which may be required by any Requirement of Law or which the Administrative Agent may, from time to time, request in its sole discretion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318"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material assets are acquired by any Loan Party after the Effective Date (other than real property and other than assets constituting Collateral under the Security Agreement that become subject to the Lien under the Security Agreement upon acquisition thereof), the Borrower Representative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requested by the Administrative Agent in its sole discretion to grant and perfect such Liens, including actions described in paragraph</w:t>
      </w:r>
    </w:p>
    <w:p>
      <w:pPr>
        <w:spacing w:after="0" w:line="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all at the expense of the Loan Parties.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Merger of Subsidiary</w:t>
      </w:r>
      <w:r>
        <w:rPr>
          <w:rFonts w:ascii="Times New Roman" w:cs="Times New Roman" w:eastAsia="Times New Roman" w:hAnsi="Times New Roman"/>
          <w:sz w:val="18"/>
          <w:szCs w:val="18"/>
          <w:color w:val="auto"/>
        </w:rPr>
        <w:t>. Within sixty (60) days after the Effective Date, Borrowers shall deliver to the Administrative Agent a plan of merger and certificate of merger, satisfactory to Administrative Agent in its Permitted Discretion, filed with and accepted by the Secretary of State of the state of Texas and giving effect to the merger of Friedman/Decatur L.L.C., an Alabama limited liability company, with and into the Company, with the Company being the surviving entity following the effectiveness of such merger.</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Within twenty (20) days after the Effective Date, or such longer period as may be agreed to by the Administrative Agent in its Permitted Discretion, Borrowers shall deliver to the Administrative Agent all endorsements necessary to comply with the provisions of Section 4.12(b) of the Security Agreement, in each case, in form and substance satisfactory to the Administrative Agent in its Permitted Discretion.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Enforcement of Rights</w:t>
      </w:r>
      <w:r>
        <w:rPr>
          <w:rFonts w:ascii="Times New Roman" w:cs="Times New Roman" w:eastAsia="Times New Roman" w:hAnsi="Times New Roman"/>
          <w:sz w:val="18"/>
          <w:szCs w:val="18"/>
          <w:color w:val="auto"/>
        </w:rPr>
        <w:t>. The Company shall Enforce all of its rights under the Acquisition Agreement and the Transition Services Agreement including, but not limited to, all indemnification rights and pursue all remedies available to it with diligence and in good faith in connection with the enforcement of any such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Until all of the Secured Obligations have been Paid in Full, each Loan Party executing this Agreement covenants and agrees, jointly and severally with all of the other Loan Parties, with the Lenders that: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No Loan Party will, nor will it permit any Subsidiary to, create, incur, assume or suffer to exist any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w:t>
      </w:r>
    </w:p>
    <w:p>
      <w:pPr>
        <w:spacing w:after="0" w:line="207" w:lineRule="exact"/>
        <w:rPr>
          <w:sz w:val="20"/>
          <w:szCs w:val="20"/>
          <w:color w:val="auto"/>
        </w:rPr>
      </w:pPr>
    </w:p>
    <w:p>
      <w:pPr>
        <w:ind w:left="1260" w:hanging="604"/>
        <w:spacing w:after="0"/>
        <w:tabs>
          <w:tab w:leader="none" w:pos="126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Obligations;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4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date hereof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any extensions, renewals, refinancings and replacements of any such Indebtedness in accordance with clause (f)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5" w:name="page276"/>
    <w:bookmarkEnd w:id="275"/>
    <w:p>
      <w:pPr>
        <w:jc w:val="both"/>
        <w:ind w:firstLine="656"/>
        <w:spacing w:after="0" w:line="261" w:lineRule="auto"/>
        <w:tabs>
          <w:tab w:leader="none" w:pos="146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Borrower to any Subsidiary and of any Subsidiary to any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Indebtedness of any Subsidiary that is not a Loan Party to any Borrower or any other Loan Party shall be subject to Section 6.04 and (ii) Indebtedness of any Loan Party to any Subsidiary that is not a Loan Party shall be subordinated to the Secured Obligations on terms reasonably satisfactory to the Administrative Agent;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39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by any Borrower of Indebtedness of any Subsidiary and by any Subsidiary of Indebtedness of any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Indebtedness so Guaranteed is permitted by this Section 6.01, (ii) Guarantees by any Borrower or any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0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$8,000,000 at any time outstanding;</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50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which represents extensions, renewals, refinancing or replacements (such Indebtedness being so extended, renewed, refinanced or replaced being referred to herein as the “</w:t>
      </w:r>
      <w:r>
        <w:rPr>
          <w:rFonts w:ascii="Times New Roman" w:cs="Times New Roman" w:eastAsia="Times New Roman" w:hAnsi="Times New Roman"/>
          <w:sz w:val="18"/>
          <w:szCs w:val="18"/>
          <w:u w:val="single" w:color="auto"/>
          <w:color w:val="auto"/>
        </w:rPr>
        <w:t>Refinance Indebtedness</w:t>
      </w:r>
      <w:r>
        <w:rPr>
          <w:rFonts w:ascii="Times New Roman" w:cs="Times New Roman" w:eastAsia="Times New Roman" w:hAnsi="Times New Roman"/>
          <w:sz w:val="18"/>
          <w:szCs w:val="18"/>
          <w:color w:val="auto"/>
        </w:rPr>
        <w:t>”) of any of the Indebtedness described in clauses (b), (e), (i), (j) and (k) hereof (such Indebtedness being referred to herein as the “</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other than fees and interests are not less favorable to the obligor thereunder than the original terms of such Original Indebtedness and (vi) if such Original Indebtedness was subordinated in right of payment to the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131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2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in respect of performance bonds, bid bonds, appeal bonds, surety bonds and similar obligations, in each case provided in the ordinary course of business;</w:t>
      </w:r>
    </w:p>
    <w:p>
      <w:pPr>
        <w:spacing w:after="0" w:line="161"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Indebtedness in an aggregate principal amount not exceeding $5,000,000 at any time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6" w:name="page277"/>
    <w:bookmarkEnd w:id="276"/>
    <w:p>
      <w:pPr>
        <w:jc w:val="both"/>
        <w:ind w:firstLine="656"/>
        <w:spacing w:after="0" w:line="257" w:lineRule="auto"/>
        <w:tabs>
          <w:tab w:leader="none" w:pos="1263"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Subsidiary after the date hereof in connection with a Permitted Acquisition or that is assumed by a Borrower in connection with a Permitted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exists at the time such Permitted Acquisition is consummated and is not created in contemplation of or in connection therewith and (ii) the aggregate principal amount of Indebtedness permitted by clause</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21"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together with any Refinance Indebtedness in respect thereof permitted by Section 6.01(f) (it being understood that Indebtedness under clause (i) above shall constitute “Original Indebtedness” for purposes of Section 6.01(f)), shall not exceed $10,000,000 at any time outstanding;</w:t>
      </w:r>
    </w:p>
    <w:p>
      <w:pPr>
        <w:spacing w:after="0" w:line="18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in an aggregate principal amount not exceeding $5,000,000 at any time outstanding.</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xml:space="preserve"> No Loan Party will, nor will it permit any Subsidiary to, create, incur, assume or permit to exist any Lien on any property or asset now owned or hereafter acquired by it, or assign or sell any income or revenues (including Accounts) or rights in respect of any thereof, except:</w:t>
      </w:r>
    </w:p>
    <w:p>
      <w:pPr>
        <w:spacing w:after="0" w:line="162" w:lineRule="exact"/>
        <w:rPr>
          <w:sz w:val="20"/>
          <w:szCs w:val="20"/>
          <w:color w:val="auto"/>
        </w:rPr>
      </w:pPr>
    </w:p>
    <w:p>
      <w:pPr>
        <w:ind w:left="1680" w:hanging="376"/>
        <w:spacing w:after="0"/>
        <w:tabs>
          <w:tab w:leader="none" w:pos="168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any Loan Document;</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60"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or asset of any Borrower or any Subsidiary existing on the date hereof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of such Borrower or Subsidiary or any other Borrower or Subsidiary and</w:t>
      </w:r>
    </w:p>
    <w:p>
      <w:pPr>
        <w:ind w:left="660" w:hanging="4"/>
        <w:spacing w:after="0" w:line="260" w:lineRule="auto"/>
        <w:tabs>
          <w:tab w:leader="none" w:pos="937"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shall secure only those obligations which it secures on the date hereof, and extensions, renewals and replacements thereof that do not increase the outstanding principal amount thereof;</w:t>
      </w:r>
    </w:p>
    <w:p>
      <w:pPr>
        <w:spacing w:after="0" w:line="18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39"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fixed or capital assets acquired, constructed or improved by any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80% of the cost of acquiring, constructing or improving such fixed or capital assets and (iv) such Liens shall not apply to any other property or assets of such Borrower or Subsidiary or any other Borrower or Subsidiary;</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19" w:lineRule="exact"/>
        <w:tabs>
          <w:tab w:leader="none" w:pos="1954"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or asset (other than Accounts and Inventory) prior to the acquisition thereof by any Borrower or any Subsidiary or existing on any property or asset (other than Accounts and Inventory) of any Person that becomes a Loan Party after the date hereof prior to the time such Person becomes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tion or such Person becoming a Loan Party, as the case may be, (ii) such Lien shall not apply to any other property or assets of the Loan Party and (iii) such Lien shall secure only those obligations which it secures on the date of such acquisition or the date such Person becomes a Loan Party, as the case may be, and extensions, renewals and replacements thereof that do not increase the outstanding principal amount thereof;</w:t>
      </w:r>
    </w:p>
    <w:p>
      <w:pPr>
        <w:spacing w:after="0" w:line="174" w:lineRule="exact"/>
        <w:rPr>
          <w:rFonts w:ascii="Times New Roman" w:cs="Times New Roman" w:eastAsia="Times New Roman" w:hAnsi="Times New Roman"/>
          <w:sz w:val="18"/>
          <w:szCs w:val="18"/>
          <w:color w:val="auto"/>
        </w:rPr>
      </w:pPr>
    </w:p>
    <w:p>
      <w:pPr>
        <w:ind w:left="660" w:firstLine="644"/>
        <w:spacing w:after="0" w:line="239" w:lineRule="exact"/>
        <w:tabs>
          <w:tab w:leader="none" w:pos="2002"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collecting bank arising in the ordinary course of business under Section 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210 of the UCC in effect in the relevant jurisdiction covering only the items being collected upon;</w:t>
      </w:r>
    </w:p>
    <w:p>
      <w:pPr>
        <w:spacing w:after="0" w:line="198"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Sale and Leaseback Transactions permitted by Section 6.06;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7" w:name="page278"/>
    <w:bookmarkEnd w:id="277"/>
    <w:p>
      <w:pPr>
        <w:ind w:left="660" w:firstLine="644"/>
        <w:spacing w:after="0" w:line="282" w:lineRule="auto"/>
        <w:tabs>
          <w:tab w:leader="none" w:pos="1942"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by a Subsidiary that is not a Loan Party in favor of any Borrower or another Loan Party in respect of Indebtedness owed by such Subsidiary.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none of the Liens permitted pursuant to this Section 6.02 may at any time attach to any Loan Party’s (1) Accounts, other than those permitted under clause (a) of the definition of Permitted Encumbrances and clause (a) above and (2) Inventory, other than those permitted under clauses (a) and (b) of the definition of Permitted Encumbrances and clause (a) above.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xml:space="preserve"> (a) No Loan Party will, nor will it permit any Subsidiary to, merge into or consolidate with any other Person, or permit any other Person to merge into or consolidate with it, or otherwise Dispose of all or substantially all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with respect to an acquisition of assets or Equity Interests of another Person in connection with a Permitted Acquisition, any Person may merge into a Borrower in a transaction in which the surviving entity is a Borrower, (ii) any Person may merge into any Subsidiary in a transaction in which the surviving entity is a Subsidiary and, if any party to such merger is a Loan Party, such surviving entity is a Loan Party or becomes a Loan Party concurrently with such merger and (iii) any Subsidiary may liquidate or dissolve if the Borrower which owns such Subsidiary determines in good faith that such liquidation or dissolution is in the best interests of such Borrower and is not materially disadvantageous to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merger involving a Person that is not a wholly owned Subsidiary immediately prior to such merger shall not be permitted unless also permitted by Section 6.04.</w:t>
      </w:r>
    </w:p>
    <w:p>
      <w:pPr>
        <w:spacing w:after="0" w:line="194" w:lineRule="exact"/>
        <w:rPr>
          <w:sz w:val="20"/>
          <w:szCs w:val="20"/>
          <w:color w:val="auto"/>
        </w:rPr>
      </w:pPr>
    </w:p>
    <w:p>
      <w:pPr>
        <w:jc w:val="both"/>
        <w:ind w:firstLine="656"/>
        <w:spacing w:after="0" w:line="261" w:lineRule="auto"/>
        <w:tabs>
          <w:tab w:leader="none" w:pos="133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Section 5.14 and the other further assurances obligations set forth in the Loan Documents and become a Loan Party under this Agreement and the other Loan Documents.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1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engage to any material extent in any business other than businesses of the type conducted by the Borrowers and their Subsidiaries on the date hereof and businesses reasonably related thereto.</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change its fiscal year from the basis in effect on the Effective Date.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Investments, Loans, Advances, Guarantees and Acquisitions</w:t>
      </w:r>
      <w:r>
        <w:rPr>
          <w:rFonts w:ascii="Times New Roman" w:cs="Times New Roman" w:eastAsia="Times New Roman" w:hAnsi="Times New Roman"/>
          <w:sz w:val="18"/>
          <w:szCs w:val="18"/>
          <w:color w:val="auto"/>
        </w:rPr>
        <w:t>. No Loan Party will, nor will it permit any Subsidiary to, form any subsidiary after the Effective Date, or purchase, hold or acquire (including pursuant to any merger with any Person that was not a Loan Party and a wholly owned Subsidiary prior to such merger) any evidences of Indebtedness or Equity Interests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87" w:lineRule="exact"/>
        <w:rPr>
          <w:sz w:val="20"/>
          <w:szCs w:val="20"/>
          <w:color w:val="auto"/>
        </w:rPr>
      </w:pPr>
    </w:p>
    <w:p>
      <w:pPr>
        <w:ind w:left="660" w:firstLine="644"/>
        <w:spacing w:after="0" w:line="282" w:lineRule="auto"/>
        <w:tabs>
          <w:tab w:leader="none" w:pos="1962"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subject to control agreements in favor of the Administrative Agent for the benefit of the Secured Parties or otherwise subject to a perfected security interest in favor of the Administrative Agent for the benefit of the Secured Parties;</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existence on the date hereof and described in </w:t>
      </w:r>
      <w:r>
        <w:rPr>
          <w:rFonts w:ascii="Times New Roman" w:cs="Times New Roman" w:eastAsia="Times New Roman" w:hAnsi="Times New Roman"/>
          <w:sz w:val="18"/>
          <w:szCs w:val="18"/>
          <w:u w:val="single" w:color="auto"/>
          <w:color w:val="auto"/>
        </w:rPr>
        <w:t>Schedule 6.04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8" w:name="page279"/>
    <w:bookmarkEnd w:id="278"/>
    <w:p>
      <w:pPr>
        <w:jc w:val="both"/>
        <w:ind w:left="-460" w:firstLine="644"/>
        <w:spacing w:after="0" w:line="255" w:lineRule="auto"/>
        <w:tabs>
          <w:tab w:leader="none" w:pos="79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the Borrowers and their Subsidiaries in Equity Interests in their respective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Equity Interests held by a Loan Party shall be pledged pursuant to the Security Agreement (provided that the foregoing shall not be applicable to Equity Interests of a Foreign Subsidiary) and (ii) the aggregate amount of investments by Loan Parties in Subsidiaries that are not Loan Parties (together with outstanding intercompany loans permitted under clause (ii) to the proviso to Section 6.04(d) and outstanding Guarantees permitted under the proviso to Section 6.04(e)) shall not exceed $1,000,000 at any time outstanding (in each case determined without regard to any write-downs or write-offs);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after giving effect to such investment, the Loan Parties would fail to comply with clause (ii) of the above proviso, such investment shall be permitted under this Section 6.04(c) if the Payment Condition is satisfied with respect thereto;</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103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advances made by any Loan Party to any Subsidiary and made by any Subsidiary to a Loan Party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loans and advances made by a Loan Party shall be evidenced by a promissory note pledged pursuant to the Security Agreement and (ii) the amount of such loans and advances made by Loan Parties to Subsidiaries that are not Loan Parties (together with outstanding investments permitted under clause (ii) to the proviso to Section 6.04(c) and outstanding Guarantees permitted under the proviso to Section 6.04(e)) shall not exceed $1,000,000 at any time outstanding (in each case determined without regard to any write-downs or write-offs);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after giving effect to such loan or advance, the Loan Parties would fail to comply with clause (ii) of the above proviso, such loan or advance shall be permitted under this Section 6.04(d) if the Payment Condition is satisfied with respect thereto;</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0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constituting Indebtedness permitted by Section 6.01,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principal amount of Indebtedness of Subsidiaries that are not Loan Parties that is Guaranteed by any Loan Party (together with outstanding investments permitted under clause (ii) to the proviso to Section 6.04(c) and outstanding intercompany loans permitted under clause (ii) to the proviso to Section 6.04(d)) shall not exceed $1,000,000 at any time outstanding (in each case determined without regard to any write-downs or write-offs);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after giving effect to such guarantee, the Loan Parties would fail to comply with the above proviso, such guarantee shall be permitted under this Section 6.04(e) if the Payment Condition is satisfied with respect thereto;</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84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made by a Loan Party to its employees on an arms-length basis in the ordinary course of business consistent with past practices for travel and entertainment expenses, relocation costs and similar purposes up to a maximum of $50,000 in the aggregate at any one time outstanding;</w:t>
      </w:r>
    </w:p>
    <w:p>
      <w:pPr>
        <w:spacing w:after="0" w:line="175" w:lineRule="exact"/>
        <w:rPr>
          <w:rFonts w:ascii="Times New Roman" w:cs="Times New Roman" w:eastAsia="Times New Roman" w:hAnsi="Times New Roman"/>
          <w:sz w:val="18"/>
          <w:szCs w:val="18"/>
          <w:color w:val="auto"/>
        </w:rPr>
      </w:pPr>
    </w:p>
    <w:p>
      <w:pPr>
        <w:ind w:left="-460" w:firstLine="644"/>
        <w:spacing w:after="0" w:line="282" w:lineRule="auto"/>
        <w:tabs>
          <w:tab w:leader="none" w:pos="907"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61"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form of Swap Agreements permitted by Section 6.07;</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79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any Person existing at the time such Person becomes a Subsidiary of a Borrower or consolidates or merges with a Borrower or any of the Subsidiaries (including in connection with a Permitted Acquisition) so long as such investments were not made in contemplation of such Person becoming a Subsidiary or of such merger;</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279" w:name="page280"/>
    <w:bookmarkEnd w:id="279"/>
    <w:p>
      <w:pPr>
        <w:ind w:left="1880" w:hanging="576"/>
        <w:spacing w:after="0"/>
        <w:tabs>
          <w:tab w:leader="none" w:pos="18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connection with Dispositions permitted by Section 6.05;</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deposits described in clauses (c) and (d) of the definition of the term “Permitted Encumbrances”; and</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xml:space="preserve"> No Loan Party will, nor will it permit any Subsidiary to, Dispose of any asset (other than real property), including any Equity Interest owned by it, nor will any Borrower permit any Subsidiary to issue any additional Equity Interest in such Subsidiary (other than to another Borrower or another Subsidiary in compliance with Section 6.04), except:</w:t>
      </w:r>
    </w:p>
    <w:p>
      <w:pPr>
        <w:spacing w:after="0" w:line="176" w:lineRule="exact"/>
        <w:rPr>
          <w:sz w:val="20"/>
          <w:szCs w:val="20"/>
          <w:color w:val="auto"/>
        </w:rPr>
      </w:pPr>
    </w:p>
    <w:p>
      <w:pPr>
        <w:ind w:left="660" w:right="20" w:firstLine="644"/>
        <w:spacing w:after="0" w:line="282" w:lineRule="auto"/>
        <w:tabs>
          <w:tab w:leader="none" w:pos="191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 Inventory in the ordinary course of business and (ii) used, obsolete, worn out or surplus equipment or property in the ordinary course of business;</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23"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assets to any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Dispositions involving a Subsidiary that is not a Loan Party shall be made in compliance with Section 6.09;</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Accounts in connection with the compromise, settlement or collection thereof;</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Permitted Investments and other investments permitted by Section 6.04 (other than other than Equity Interests in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w:t>
      </w:r>
    </w:p>
    <w:p>
      <w:pPr>
        <w:spacing w:after="0" w:line="206"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and Leaseback Transactions permitted by Section 6.06;</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10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resulting from any casualty or other insured damage to, or any taking under power of eminent domain or by condemnation or similar proceeding of, any property or asset of any Borrower or any Subsidiary; and</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2"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assets (other than Equity Interests in a Subsidiary unless all Equity Interests in such Subsidiary are sold) that are not permitted by any other clause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fair market value of all assets Disposed of in reliance upon this paragraph (g) shall not exceed $1,000,000 during any fiscal year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Dispositions permitted hereby (other than those permitted by paragraphs (b) and (f) above) shall be made for fair value and for at least 75% cash consideration.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xml:space="preserve"> No Loan Party will, nor will it permit any Subsidiary to, enter into any arrangement, directly or indirectly, whereby it shall sell or transfer any property (other than real property) used or useful in its business, whether now owned or hereafter acquired, and thereafter rent or lease such property or other property that it intends to use for substantially the same purpose or purposes as the property sold or transferred (a “</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except for any such sale of any fixed or capital assets by any Borrower or any Subsidiary that is made for cash consideration in an amount not less than the fair value of such fixed or capital asset and is consummated within 90 days after such Borrower or such Subsidiary acquires or completes the construction of such fixed or capital asset.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0" w:name="page281"/>
    <w:bookmarkEnd w:id="28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Swap Agreements.</w:t>
      </w:r>
      <w:r>
        <w:rPr>
          <w:rFonts w:ascii="Times New Roman" w:cs="Times New Roman" w:eastAsia="Times New Roman" w:hAnsi="Times New Roman"/>
          <w:sz w:val="18"/>
          <w:szCs w:val="18"/>
          <w:color w:val="auto"/>
        </w:rPr>
        <w:t xml:space="preserve"> No Loan Party will, nor will it permit any Subsidiary to, enter into any Swap Agreement, except (a) Swap Agreements entered into to hedge or mitigate risks to which any Borrower or any Subsidiary has actual exposure (other than those in respect of Equity Interests of any Borrower or any of its Subsidiaries), and (b) Swap Agreements entered into in order to effectively cap, collar or exchange interest rates (from floating to fixed rates, from one floating rate to another floating rate or otherwise) with respect to any interest-bearing liability or investment of any Borrower or any Subsidiary.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Restricted Payments; Certain Payments of Indebtedness.</w:t>
      </w:r>
      <w:r>
        <w:rPr>
          <w:rFonts w:ascii="Times New Roman" w:cs="Times New Roman" w:eastAsia="Times New Roman" w:hAnsi="Times New Roman"/>
          <w:sz w:val="18"/>
          <w:szCs w:val="18"/>
          <w:color w:val="auto"/>
        </w:rPr>
        <w:t xml:space="preserve"> (a) No Loan Party will, nor will it permit any Subsidiary to, declare or make, or agree to declare or make, directly or indirectly, any Restricted Payment, or incur any obligation (contingent or otherwise) to do so, except (i) the Borrowers may declare and pay dividends with respect to its common stock payable solely in additional shares of its common stock, and, with respect to its preferred stock, payable solely in additional shares of such preferred stock or in shares of its common stock, (ii) Subsidiaries may declare and pay dividends ratably with respect to their Equity Interests, (iii) the Borrowers may make Restricted Payments, not exceeding $500,000 during any fiscal year of the Company, pursuant to and in accordance with stock option plans or other benefit plans for management or employees of the Borrowers and their Subsidiaries and (iv) the Borrowers may make other Restricted Payments subject to the satisfaction of the Payment Condition with respect to any such Restricted Payment.</w:t>
      </w:r>
    </w:p>
    <w:p>
      <w:pPr>
        <w:spacing w:after="0" w:line="192" w:lineRule="exact"/>
        <w:rPr>
          <w:sz w:val="20"/>
          <w:szCs w:val="20"/>
          <w:color w:val="auto"/>
        </w:rPr>
      </w:pPr>
    </w:p>
    <w:p>
      <w:pPr>
        <w:jc w:val="both"/>
        <w:ind w:firstLine="656"/>
        <w:spacing w:after="0" w:line="261" w:lineRule="auto"/>
        <w:tabs>
          <w:tab w:leader="none" w:pos="1414"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79"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Indebtedness created under the Loan Documents;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6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regularly scheduled interest and principal payments as and when due in respect of any Indebtedness permitted under Section 6.01, other than payments in respect of the Subordinated Indebtedness prohibited by the subordination provisions thereof;</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refinancings of Indebtedness to the extent permitted by Section 6.01; and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997"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secured Indebtedness that becomes due as a result of the voluntary sale or transfer of the property or assets securing such Indebtedness to the extent such sale or transfer is permitted by the terms of Section 6.05.</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any Loan Parties not involving any other Affiliate, (c) any investment permitted by Sections 6.04(c) or 6.04(d), (d) any Indebtedness permitted under Section 6.01(c), (e) any Restricted Payment permitted by Section 6.08, (f) loans or advances to employees permitted under Section 6.04, (g) the payment of reasonable fees to directors of any Borrower or any Subsidiary who are not employees of such Borrower or Subsidiary, and compensation and employee benefit arrangements paid to, and indemnities provided for the benefit of, directors, officers or employees of the Borrowers or their Subsidiaries in the ordinary course of business and (h) any issuances of securities or other payments, awards or grants in cash, securities or otherwise pursuant to, or the funding of, employment agreements, stock options and stock ownership plans approved by a Borrower’s board of directors.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1" w:name="page282"/>
    <w:bookmarkEnd w:id="28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Subsidiary to create, incur or permit to exist any Lien upon any of its property or assets, or (b) the ability of any Subsidiary to pay dividends or other distributions with respect to any of its Equity Interests or to make or repay loans or advances to any Borrower or any other Subsidiary or to Guarantee Indebtedness of any Borrower or any other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foregoing shall not apply to restrictions and conditions imposed by any Requirement of Law or by any Loan Document, (ii) the foregoing shall not apply to restrictions and conditions existing on the date hereof identified on </w:t>
      </w:r>
      <w:r>
        <w:rPr>
          <w:rFonts w:ascii="Times New Roman" w:cs="Times New Roman" w:eastAsia="Times New Roman" w:hAnsi="Times New Roman"/>
          <w:sz w:val="18"/>
          <w:szCs w:val="18"/>
          <w:u w:val="single" w:color="auto"/>
          <w:color w:val="auto"/>
        </w:rPr>
        <w:t>Schedule 6.10</w:t>
      </w:r>
      <w:r>
        <w:rPr>
          <w:rFonts w:ascii="Times New Roman" w:cs="Times New Roman" w:eastAsia="Times New Roman" w:hAnsi="Times New Roman"/>
          <w:sz w:val="18"/>
          <w:szCs w:val="18"/>
          <w:color w:val="auto"/>
        </w:rPr>
        <w:t xml:space="preserve">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that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and other contracts restricting the assignment thereof.</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Amendment of Material Documents.</w:t>
      </w:r>
      <w:r>
        <w:rPr>
          <w:rFonts w:ascii="Times New Roman" w:cs="Times New Roman" w:eastAsia="Times New Roman" w:hAnsi="Times New Roman"/>
          <w:sz w:val="18"/>
          <w:szCs w:val="18"/>
          <w:color w:val="auto"/>
        </w:rPr>
        <w:t xml:space="preserve"> No Loan Party will, nor will it permit any Subsidiary to, amend, modify or waive any of its rights under (a) any agreement relating to any Subordinated Indebtedness, (b) its charter, articles or certificate of incorporation or organization, by-laws, operating, management or partnership agreement or other organizational or governing documents, to the extent any such amendment, modification or waiver would be adverse to the Lenders or (c) the Plateplus Purchase Agreement, the Transition Services Agreement, or any related agreements.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1293"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The Borrowers will not permit the Fixed Charge Coverage Ratio, as of the last day of any calendar month ending during a Covenant Testing Period, to be less than 1.10 to 1.00 for the trailing twelve month period then ending.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w:t>
      </w:r>
    </w:p>
    <w:p>
      <w:pPr>
        <w:spacing w:after="0" w:line="225" w:lineRule="exact"/>
        <w:rPr>
          <w:sz w:val="20"/>
          <w:szCs w:val="20"/>
          <w:color w:val="auto"/>
        </w:rPr>
      </w:pPr>
    </w:p>
    <w:p>
      <w:pPr>
        <w:ind w:firstLine="656"/>
        <w:spacing w:after="0" w:line="282" w:lineRule="auto"/>
        <w:tabs>
          <w:tab w:leader="none" w:pos="1253"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fail to pay any interest on any Loan or any fee or any other amount (other than an amount referred to in clause (a) of this Article) payable under this Agreement or any other Loan Document, when and as the same shall become due and payable, and such failure continues unremedied for a period of three (3) Business Days;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3"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2" w:name="page283"/>
    <w:bookmarkEnd w:id="282"/>
    <w:p>
      <w:pPr>
        <w:ind w:firstLine="656"/>
        <w:spacing w:after="0" w:line="282" w:lineRule="auto"/>
        <w:tabs>
          <w:tab w:leader="none" w:pos="1317"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observe or perform any covenant, condition or agreement contained in Section 5.02(a), 5.03(a) (with respect to a Loan Party’s existence) or 5.08 or in Article VI;</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57"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fail to observe or perform any covenant, condition or agreement contained in this Agreement (other than those which constitute a default under another Section of this Article), or any other Loan Document, and such failure shall continue unremedied for a period of (i) 5 days after the earlier of any Loan Party’s knowledge of such breach or notice thereof from the Administrative Agent (which notice will be given at the request of any Lender) if such breach relates to terms or provisions of Section 5.01, 5.02 (other than Section 5.02(a)), 5.03, 5.04, 5.06, 5.10, 5.11 or 5.13 of this Agreement or (ii) 30 days after the earlier of any Loan Party’s knowledge of such breach or notice thereof from the Administrative Agent (which notice will be given at the request of any Lender) if such breach relates to terms or provisions of any other Section of this Agreement or any other Loan Document;</w:t>
      </w:r>
    </w:p>
    <w:p>
      <w:pPr>
        <w:spacing w:after="0" w:line="188" w:lineRule="exact"/>
        <w:rPr>
          <w:rFonts w:ascii="Times New Roman" w:cs="Times New Roman" w:eastAsia="Times New Roman" w:hAnsi="Times New Roman"/>
          <w:sz w:val="18"/>
          <w:szCs w:val="18"/>
          <w:color w:val="auto"/>
        </w:rPr>
      </w:pPr>
    </w:p>
    <w:p>
      <w:pPr>
        <w:ind w:left="1240" w:hanging="584"/>
        <w:spacing w:after="0"/>
        <w:tabs>
          <w:tab w:leader="none" w:pos="124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35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secured Indebtedness that becomes due as a result of the voluntary sale or transfer of the property or assets securing such Indebtedness to the extent such sale or transfer is permitted by Section 6.05;</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5"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Subsidiary or for a substantial part of its assets, and, in any such case, such proceeding or petition shall continue undismissed for sixty</w:t>
      </w:r>
    </w:p>
    <w:p>
      <w:pPr>
        <w:spacing w:after="0" w:line="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an order or decree approving or ordering any of the foregoing shall be entered;</w:t>
      </w:r>
    </w:p>
    <w:p>
      <w:pPr>
        <w:spacing w:after="0" w:line="206" w:lineRule="exact"/>
        <w:rPr>
          <w:rFonts w:ascii="Times New Roman" w:cs="Times New Roman" w:eastAsia="Times New Roman" w:hAnsi="Times New Roman"/>
          <w:sz w:val="18"/>
          <w:szCs w:val="18"/>
          <w:color w:val="auto"/>
        </w:rPr>
      </w:pPr>
    </w:p>
    <w:p>
      <w:pPr>
        <w:jc w:val="both"/>
        <w:ind w:firstLine="656"/>
        <w:spacing w:after="0" w:line="222" w:lineRule="exact"/>
        <w:tabs>
          <w:tab w:leader="none" w:pos="1344"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cial for such Loan Party or Subsidiary or for a substan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tial part of its assets, (iv) file an answer admit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ting the material allegations of a petition filed against it in any such proceeding, (v) make a general assignment for the benefit of creditors or (vi) take any action for the purpose of effecting any of the fore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going;</w:t>
      </w:r>
    </w:p>
    <w:p>
      <w:pPr>
        <w:spacing w:after="0" w:line="182" w:lineRule="exact"/>
        <w:rPr>
          <w:rFonts w:ascii="Times New Roman" w:cs="Times New Roman" w:eastAsia="Times New Roman" w:hAnsi="Times New Roman"/>
          <w:sz w:val="18"/>
          <w:szCs w:val="18"/>
          <w:color w:val="auto"/>
        </w:rPr>
      </w:pPr>
    </w:p>
    <w:p>
      <w:pPr>
        <w:ind w:right="20" w:firstLine="656"/>
        <w:spacing w:after="0" w:line="282" w:lineRule="auto"/>
        <w:tabs>
          <w:tab w:leader="none" w:pos="1238"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Subsidiary shall become unable, admit in writing its inability, or publicly declare its intention not to, or fail generally to pay its debts as they become due;</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304"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one or more judgments for the payment of money in an aggregate amount in excess of $3,000,000 shall be rendered against any Loan Party, any Subsidiary or any combination thereof and the same shall remain undischarged for a period of thirty (30) consecutive days during which execution shall not be effectively stayed, or any action shall be legally taken by a judgment creditor to attach or levy upon any assets of any Loan Party or Subsidiary to enforce any such judgment; or (ii) any Loan Party or Subsidiary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3" w:name="page284"/>
    <w:bookmarkEnd w:id="283"/>
    <w:p>
      <w:pPr>
        <w:ind w:firstLine="656"/>
        <w:spacing w:after="0" w:line="282" w:lineRule="auto"/>
        <w:tabs>
          <w:tab w:leader="none" w:pos="128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in the opinion of the Required Lenders, when taken together with all other ERISA Events that have occurred,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of Default”, as defined in the Security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3"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Guaranty shall fail to remain in full force or effect or any action shall be taken to discontinue or to assert the invalidity or unenforceability of the Loan Guaranty, or any Loan Guarantor shall fail to comply in any material respect with any of the terms or provisions of the Loan Guaranty to which it is a party, or any Loan Guarantor shall deny that it has any further liability under the Loan Guaranty to which it is a party, or shall give notice to such effect, including, but not limited to notice of termination delivered pursuant to Section 10.08;</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9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Document shall fail to remain in full force or effect or any action shall be taken to discontinue or to assert the invalidity or unenforceability of any Collateral Document;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72"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or</w:t>
      </w:r>
    </w:p>
    <w:p>
      <w:pPr>
        <w:spacing w:after="0" w:line="179"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is criminally indicted or convicted under any law that may reasonably be expected to have a Material Adverse Effect;</w:t>
      </w:r>
    </w:p>
    <w:p>
      <w:pPr>
        <w:spacing w:after="0" w:line="225"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Borrowers described in clause (h) or (i) of this Article), and at any time thereafter during the continuance of such event, the Administrative Agent may, and at the request of the Required Lenders shall, by notice to the Borrower Representative, take any or all of the following actions, at the same or different times: (i) terminate the Commitments whereupon the Commitments shall terminate immediately, (ii) declare the Loans then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(including, for the avoidance of doubt, any break funding payments) and other obligations of the Borrowers accrued hereunder and under any other Loan Document, shall become due and payable immediately, in each case without presentment, demand, protest or other notice of any kind, all of which are hereby waived by the Borrowers, and (iii) require cash collateral for the LC Exposure in accordance with Section 2.06(j) hereof; and in the case of any event with respect to the Borrowers described in clause (h) or (i) of this Article, the Commitments shall automatically terminate and the principal of the Loans then outstanding and the cash collateral for the LC Exposure, together with accrued interest thereon and all fees (including, for the avoidance of doubt, any break funding payments) and other obligations of the Borrowers accrued hereunder and under any other Loan Documents, shall automatically become due and payable, in each case without present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Administrative Agent.</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Authorization and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31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94" w:lineRule="exact"/>
        <w:rPr>
          <w:rFonts w:ascii="Times New Roman" w:cs="Times New Roman" w:eastAsia="Times New Roman" w:hAnsi="Times New Roman"/>
          <w:sz w:val="18"/>
          <w:szCs w:val="18"/>
          <w:color w:val="auto"/>
        </w:rPr>
      </w:pPr>
    </w:p>
    <w:p>
      <w:pPr>
        <w:jc w:val="both"/>
        <w:ind w:firstLine="656"/>
        <w:spacing w:after="0" w:line="252" w:lineRule="auto"/>
        <w:tabs>
          <w:tab w:leader="none" w:pos="154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5" w:name="page286"/>
    <w:bookmarkEnd w:id="285"/>
    <w:p>
      <w:pPr>
        <w:ind w:left="1260" w:hanging="604"/>
        <w:spacing w:after="0"/>
        <w:tabs>
          <w:tab w:leader="none" w:pos="12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its functions and duties hereunder and under the other Loan Documents, the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86" w:lineRule="exact"/>
        <w:rPr>
          <w:sz w:val="20"/>
          <w:szCs w:val="20"/>
          <w:color w:val="auto"/>
        </w:rPr>
      </w:pPr>
    </w:p>
    <w:p>
      <w:pPr>
        <w:jc w:val="both"/>
        <w:ind w:left="660" w:firstLine="644"/>
        <w:spacing w:after="0" w:line="254" w:lineRule="auto"/>
        <w:tabs>
          <w:tab w:leader="none" w:pos="1666"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assume and shall not be deemed to have assumed any obligation or duty or any other relationship as the agent, fiduciary or trustee of or for any Lender, Issuing Bank, any other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91" w:lineRule="exact"/>
        <w:rPr>
          <w:rFonts w:ascii="Times New Roman" w:cs="Times New Roman" w:eastAsia="Times New Roman" w:hAnsi="Times New Roman"/>
          <w:sz w:val="18"/>
          <w:szCs w:val="18"/>
          <w:color w:val="auto"/>
        </w:rPr>
      </w:pPr>
    </w:p>
    <w:p>
      <w:pPr>
        <w:ind w:left="660" w:firstLine="644"/>
        <w:spacing w:after="0" w:line="282" w:lineRule="auto"/>
        <w:tabs>
          <w:tab w:leader="none" w:pos="1738"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317"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 agent except to the extent that a court of competent jurisdiction determines in a final and non-appealable judgment that the Administrative Agent acted with gross negligence or willful misconduct in the selection of such sub-agent.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79"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6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6" w:name="page287"/>
    <w:bookmarkEnd w:id="286"/>
    <w:p>
      <w:pPr>
        <w:jc w:val="both"/>
        <w:ind w:left="660" w:right="20" w:firstLine="644"/>
        <w:spacing w:after="0" w:line="261" w:lineRule="auto"/>
        <w:tabs>
          <w:tab w:leader="none" w:pos="1872"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179"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89" w:lineRule="exact"/>
        <w:rPr>
          <w:sz w:val="20"/>
          <w:szCs w:val="20"/>
          <w:color w:val="auto"/>
        </w:rPr>
      </w:pPr>
    </w:p>
    <w:p>
      <w:pPr>
        <w:jc w:val="both"/>
        <w:ind w:firstLine="656"/>
        <w:spacing w:after="0" w:line="258" w:lineRule="auto"/>
        <w:tabs>
          <w:tab w:leader="none" w:pos="1267"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are solely for the benefit of the Administrative Agent, the Lenders and the Issuing Banks, and, except solely to the extent of the Borrowers’ right to consent pursuant to and subject to the conditions set forth in this Article, no Borrower nor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Reliance, Limitation of Liability,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12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facsimile, emailed pdf. or any other electronic means that reproduces an image of an actual executed signature page) or for any failure of any Loan Party to perform its obligations hereunder or thereunder.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7" w:name="page288"/>
    <w:bookmarkEnd w:id="287"/>
    <w:p>
      <w:pPr>
        <w:jc w:val="both"/>
        <w:ind w:firstLine="656"/>
        <w:spacing w:after="0" w:line="253" w:lineRule="auto"/>
        <w:tabs>
          <w:tab w:leader="none" w:pos="1381"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Representative, or (ii) notice of any Default or Event of Default unless and until written notice thereof (stating that it is a “notice of Default” or a “notice of an Event of Default”) is given to the Administrative Agent by the Borrower Representative, a Lender or the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501"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Posting of Communications.</w:t>
      </w:r>
    </w:p>
    <w:p>
      <w:pPr>
        <w:spacing w:after="0" w:line="225" w:lineRule="exact"/>
        <w:rPr>
          <w:sz w:val="20"/>
          <w:szCs w:val="20"/>
          <w:color w:val="auto"/>
        </w:rPr>
      </w:pPr>
    </w:p>
    <w:p>
      <w:pPr>
        <w:jc w:val="both"/>
        <w:ind w:right="20" w:firstLine="656"/>
        <w:spacing w:after="0" w:line="266" w:lineRule="auto"/>
        <w:tabs>
          <w:tab w:leader="none" w:pos="124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agree that the Administrative Agent may, but shall not be obligated to, make any Communications available to the Lenders and the Issuing Bank by posting the Communications on IntraLinks™, DebtDomain, SyndTrak, ClearPar or any other electronic system chosen by the Administrative Agent to be its electronic transmission system (the “Approved Electronic Platform”).</w:t>
      </w:r>
    </w:p>
    <w:p>
      <w:pPr>
        <w:spacing w:after="0" w:line="175" w:lineRule="exact"/>
        <w:rPr>
          <w:rFonts w:ascii="Times New Roman" w:cs="Times New Roman" w:eastAsia="Times New Roman" w:hAnsi="Times New Roman"/>
          <w:sz w:val="18"/>
          <w:szCs w:val="18"/>
          <w:color w:val="auto"/>
        </w:rPr>
      </w:pPr>
    </w:p>
    <w:p>
      <w:pPr>
        <w:ind w:right="20" w:firstLine="656"/>
        <w:spacing w:after="0" w:line="261" w:lineRule="auto"/>
        <w:tabs>
          <w:tab w:leader="none" w:pos="1384"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w:t>
      </w: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 and each Borrower hereby approves distribution of the Communications through the Approved Electronic Platform and understands and assumes the risks of such distribution.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8" w:name="page289"/>
    <w:bookmarkEnd w:id="288"/>
    <w:p>
      <w:pPr>
        <w:jc w:val="both"/>
        <w:ind w:firstLine="656"/>
        <w:spacing w:after="0" w:line="253" w:lineRule="auto"/>
        <w:tabs>
          <w:tab w:leader="none" w:pos="125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w:t>
      </w:r>
      <w:r>
        <w:rPr>
          <w:rFonts w:ascii="Times New Roman" w:cs="Times New Roman" w:eastAsia="Times New Roman" w:hAnsi="Times New Roman"/>
          <w:sz w:val="18"/>
          <w:szCs w:val="18"/>
          <w:u w:val="single" w:color="auto"/>
          <w:color w:val="auto"/>
        </w:rPr>
        <w:t>APPLICABLE PARTIES</w:t>
      </w:r>
      <w:r>
        <w:rPr>
          <w:rFonts w:ascii="Times New Roman" w:cs="Times New Roman" w:eastAsia="Times New Roman" w:hAnsi="Times New Roman"/>
          <w:sz w:val="18"/>
          <w:szCs w:val="18"/>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Issuing Bank by means of electronic communications pursuant to this Section, including through an Approved Electronic Platform.</w:t>
      </w:r>
    </w:p>
    <w:p>
      <w:pPr>
        <w:spacing w:after="0" w:line="176" w:lineRule="exact"/>
        <w:rPr>
          <w:sz w:val="20"/>
          <w:szCs w:val="20"/>
          <w:color w:val="auto"/>
        </w:rPr>
      </w:pPr>
    </w:p>
    <w:p>
      <w:pPr>
        <w:jc w:val="both"/>
        <w:ind w:firstLine="656"/>
        <w:spacing w:after="0" w:line="258" w:lineRule="auto"/>
        <w:tabs>
          <w:tab w:leader="none" w:pos="146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06"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Issuing Bank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64"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Administrative Agent, any Lender or Issuing Bank to give any notice or other communication pursuant to any Loan Document in any other manner specified in such Loan Document.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The Administrative Agent Individually</w:t>
      </w:r>
      <w:r>
        <w:rPr>
          <w:rFonts w:ascii="Times New Roman" w:cs="Times New Roman" w:eastAsia="Times New Roman" w:hAnsi="Times New Roman"/>
          <w:sz w:val="18"/>
          <w:szCs w:val="18"/>
          <w:color w:val="auto"/>
        </w:rPr>
        <w:t>.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9" w:name="page290"/>
    <w:bookmarkEnd w:id="289"/>
    <w:p>
      <w:pPr>
        <w:ind w:left="34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Successor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1272"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resign at any time by giving 30 days’ prior written notice thereof to the Lenders, the Issuing Bank and the Borrower Representative, whether or not a successor Administrative Agent has been appointed. Upon any such resignation, (i) the Administrative Agent may appoint one of its Affiliates as a successor Administrative Agent and (ii) if the Administrative Agent has not appointed one of its Affiliates as a successor Administrative Agent within 10 days of such resignation pursuant to clause (i) above,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(other than if the Administrative Agent appoints one of its Affiliates as a successor Administrative Agent pursuant to clause (i) above),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95" w:lineRule="exact"/>
        <w:rPr>
          <w:rFonts w:ascii="Times New Roman" w:cs="Times New Roman" w:eastAsia="Times New Roman" w:hAnsi="Times New Roman"/>
          <w:sz w:val="18"/>
          <w:szCs w:val="18"/>
          <w:color w:val="auto"/>
        </w:rPr>
      </w:pPr>
    </w:p>
    <w:p>
      <w:pPr>
        <w:jc w:val="both"/>
        <w:ind w:firstLine="656"/>
        <w:spacing w:after="0" w:line="217" w:lineRule="exact"/>
        <w:tabs>
          <w:tab w:leader="none" w:pos="141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Borrowers, whereupon, on the date of effectiveness of such resignation stated in such notice, (i) the retiring Administrative Agent shall be discharged from its duties and obligations hereunder and under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agents and their respective Related Parties in respect of any actions taken or omitted to be taken by any of them while the retiring Administrative Agent was acting as Administrative Agent and in respect of the matters referred to in the proviso under clause (a) above.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0" w:name="page291"/>
    <w:bookmarkEnd w:id="290"/>
    <w:p>
      <w:pPr>
        <w:ind w:left="66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Acknowledgements of Lenders and Issuing Bank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17" w:lineRule="exact"/>
        <w:tabs>
          <w:tab w:leader="none" w:pos="1378"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1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319"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a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1" w:name="page292"/>
    <w:bookmarkEnd w:id="291"/>
    <w:p>
      <w:pPr>
        <w:ind w:left="660"/>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25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as determined by Administrative Agent in its sole discretion to grant and perfect a Lien on such Collateral in favor of the Administrative Agent on behalf of the Secured Parties.</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129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362"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2" w:name="page293"/>
    <w:bookmarkEnd w:id="29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Credit Bidding.</w:t>
      </w:r>
      <w:r>
        <w:rPr>
          <w:rFonts w:ascii="Times New Roman" w:cs="Times New Roman" w:eastAsia="Times New Roman" w:hAnsi="Times New Roman"/>
          <w:sz w:val="18"/>
          <w:szCs w:val="18"/>
          <w:color w:val="auto"/>
        </w:rPr>
        <w:t xml:space="preserve">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w:t>
      </w:r>
    </w:p>
    <w:p>
      <w:pPr>
        <w:spacing w:after="0" w:line="9" w:lineRule="exact"/>
        <w:rPr>
          <w:sz w:val="20"/>
          <w:szCs w:val="20"/>
          <w:color w:val="auto"/>
        </w:rPr>
      </w:pPr>
    </w:p>
    <w:p>
      <w:pPr>
        <w:jc w:val="both"/>
        <w:ind w:firstLine="8"/>
        <w:spacing w:after="0" w:line="251" w:lineRule="auto"/>
        <w:tabs>
          <w:tab w:leader="none" w:pos="33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u w:val="single" w:color="auto"/>
          <w:color w:val="auto"/>
        </w:rPr>
        <w:t>Certain ERISA Matters.</w:t>
      </w:r>
    </w:p>
    <w:p>
      <w:pPr>
        <w:spacing w:after="0" w:line="225" w:lineRule="exact"/>
        <w:rPr>
          <w:sz w:val="20"/>
          <w:szCs w:val="20"/>
          <w:color w:val="auto"/>
        </w:rPr>
      </w:pPr>
    </w:p>
    <w:p>
      <w:pPr>
        <w:jc w:val="both"/>
        <w:ind w:firstLine="656"/>
        <w:spacing w:after="0" w:line="261" w:lineRule="auto"/>
        <w:tabs>
          <w:tab w:leader="none" w:pos="104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any Borrower or any other Loan Party, that at least one of the following is and will be true: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3" w:name="page294"/>
    <w:bookmarkEnd w:id="293"/>
    <w:p>
      <w:pPr>
        <w:ind w:left="660" w:right="20" w:firstLine="644"/>
        <w:spacing w:after="0" w:line="282" w:lineRule="auto"/>
        <w:tabs>
          <w:tab w:leader="none" w:pos="2057"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the Plan Asset Regulations) of one or more Benefit Plans in connection with the Loans, the Letters of Credit or the Commitments,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176"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2028"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2103"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40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any Borrower or any other Loan Party, that none of the Administrative Agent, any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2"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4" w:name="page295"/>
    <w:bookmarkEnd w:id="29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JPMCB has adopted internal policies and procedures that address requirements placed on federally regulated lenders under the National Flood Insurance Reform Act of 1994 and related legislation (the “</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facsimile, as follows:</w:t>
      </w:r>
    </w:p>
    <w:p>
      <w:pPr>
        <w:spacing w:after="0" w:line="176" w:lineRule="exact"/>
        <w:rPr>
          <w:sz w:val="20"/>
          <w:szCs w:val="20"/>
          <w:color w:val="auto"/>
        </w:rPr>
      </w:pPr>
    </w:p>
    <w:p>
      <w:pPr>
        <w:ind w:left="1960" w:hanging="656"/>
        <w:spacing w:after="0"/>
        <w:tabs>
          <w:tab w:leader="none" w:pos="19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to the Borrower Representative at:</w:t>
      </w:r>
    </w:p>
    <w:p>
      <w:pPr>
        <w:spacing w:after="0" w:line="225" w:lineRule="exact"/>
        <w:rPr>
          <w:rFonts w:ascii="Times New Roman" w:cs="Times New Roman" w:eastAsia="Times New Roman" w:hAnsi="Times New Roman"/>
          <w:sz w:val="18"/>
          <w:szCs w:val="18"/>
          <w:color w:val="auto"/>
        </w:rPr>
      </w:pPr>
    </w:p>
    <w:p>
      <w:pPr>
        <w:ind w:left="1960" w:right="68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Friedman Industries, Incorporated 1121 Judson Road Suite 124, Longview, TX</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Alex LaRue</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No: 903 758 2265</w:t>
      </w:r>
    </w:p>
    <w:p>
      <w:pPr>
        <w:spacing w:after="0" w:line="206" w:lineRule="exact"/>
        <w:rPr>
          <w:rFonts w:ascii="Times New Roman" w:cs="Times New Roman" w:eastAsia="Times New Roman" w:hAnsi="Times New Roman"/>
          <w:sz w:val="18"/>
          <w:szCs w:val="18"/>
          <w:color w:val="auto"/>
        </w:rPr>
      </w:pPr>
    </w:p>
    <w:p>
      <w:pPr>
        <w:ind w:left="1960" w:hanging="656"/>
        <w:spacing w:after="0" w:line="282" w:lineRule="auto"/>
        <w:tabs>
          <w:tab w:leader="none" w:pos="2063"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JPMCB in its capacity as an Issuing Bank or the Swingline Lender, to JPMorgan Chase Bank, N.A. at: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2200 Ross Avenue, 9th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Timothy J. Whitefoot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No: 214 965 4731</w:t>
      </w:r>
    </w:p>
    <w:p>
      <w:pPr>
        <w:spacing w:after="0" w:line="207" w:lineRule="exact"/>
        <w:rPr>
          <w:sz w:val="20"/>
          <w:szCs w:val="20"/>
          <w:color w:val="auto"/>
        </w:rPr>
      </w:pPr>
    </w:p>
    <w:p>
      <w:pPr>
        <w:ind w:left="1980" w:hanging="676"/>
        <w:spacing w:after="0"/>
        <w:tabs>
          <w:tab w:leader="none" w:pos="19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or Issuing Bank, to it at its address or facsimile number set forth in its Administrative Questionnaire.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(A) sent by hand or overnight courier service, or mailed by certified or registered mail, shall be deemed to have been given when received, (B) sent by facsimile shall be deemed to have been given when 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normal business hours of the recipient, such notice or communication shall be deemed to have been given at the opening of business on the next Business Day of the recipient, or (C) delivered through Electronic Systems or Approved Electronic Platforms, as applicable, to the extent provided in paragraph (b) below shall be effective as provided in such paragraph.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5" w:name="page296"/>
    <w:bookmarkEnd w:id="295"/>
    <w:p>
      <w:pPr>
        <w:jc w:val="both"/>
        <w:ind w:firstLine="656"/>
        <w:spacing w:after="0" w:line="252" w:lineRule="auto"/>
        <w:tabs>
          <w:tab w:leader="none" w:pos="1342"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to any Borrower, any Loan Party, the Lenders and the Issuing Banks hereunder may be delivered or furnished by using Electronic Systems or Approved Electronic Platforms, as applicable, or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Article II unless otherwise agreed by the Administrative Agent and the applicable Lender. Each of the Administrative Agent and the Borrower Representative (on behalf of the Loan Parties) may, in its discretion, agree to accept notices and other communications to it hereunder by Electronic Systems or Approved Electronic Platforms, as applicable,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97" w:lineRule="exact"/>
        <w:rPr>
          <w:rFonts w:ascii="Times New Roman" w:cs="Times New Roman" w:eastAsia="Times New Roman" w:hAnsi="Times New Roman"/>
          <w:sz w:val="18"/>
          <w:szCs w:val="18"/>
          <w:color w:val="auto"/>
        </w:rPr>
      </w:pPr>
    </w:p>
    <w:p>
      <w:pPr>
        <w:ind w:right="20" w:firstLine="656"/>
        <w:spacing w:after="0" w:line="282" w:lineRule="auto"/>
        <w:tabs>
          <w:tab w:leader="none" w:pos="1243"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facsimile number or e-mail address for notices and other communications hereunder by notice to the other parties hereto.</w:t>
      </w:r>
    </w:p>
    <w:p>
      <w:pPr>
        <w:spacing w:after="0" w:line="162"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 xml:space="preserve">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6" w:name="page297"/>
    <w:bookmarkEnd w:id="296"/>
    <w:p>
      <w:pPr>
        <w:jc w:val="both"/>
        <w:ind w:firstLine="656"/>
        <w:spacing w:after="0" w:line="251" w:lineRule="auto"/>
        <w:tabs>
          <w:tab w:leader="none" w:pos="1327"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the first sentence of Section 2.09(f) (with respect to any commitment increase) and subject to Section 2.14(c), (d) and (e) and Section 9.02(e) below, neither this Agreement nor any other Loan Document nor any provision hereof or thereof may be waived, amended or modified except (i) in the case of this Agreement, pursuant to an agreement or agreements in writing entered into by the Borrowers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(A) increase the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or modification of the financial covenants in this Agreement (or any defined term used therein) shall not constitute a reduction in the rate of interest or fees for purposes of this clause (B)), (C)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(D) change Section 2.09(c) or Section 2.18(b) or (d) in a manner that would alter the ratable reduction of Commitments or the manner in which payments are shared, without the written consent of each Lender (other than any Defaulting Lender), (E) increase the advance rates set forth in the definition of Borrowing Base or add new categories of eligible assets, without the written consent of the Required Revolving Lenders, (F) 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(G) release any Loan Guarantor from its obligation under its Loan Guaranty (except as otherwise permitted herein or in the other Loan Documents), without the written consent of each Lender (other than any Defaulting Lender), or (H) except as provided in clause (c) of this Section or in any Collateral Document, release all or substantially all of the Collateral without the written consent of each Lender (other than any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(it being understood that any amendment to Section 2.20 shall require the consent of the Administrative Agent, the Issuing Bank and the Swingline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or modify the provisions of Section 2.06 without the prior written consent of the Administrative Agent and the Issuing Banks. The Administrative Agent may also amend the </w:t>
      </w:r>
      <w:r>
        <w:rPr>
          <w:rFonts w:ascii="Times New Roman" w:cs="Times New Roman" w:eastAsia="Times New Roman" w:hAnsi="Times New Roman"/>
          <w:sz w:val="18"/>
          <w:szCs w:val="18"/>
          <w:u w:val="single" w:color="auto"/>
          <w:color w:val="auto"/>
        </w:rPr>
        <w:t>Commitment Schedule</w:t>
      </w:r>
      <w:r>
        <w:rPr>
          <w:rFonts w:ascii="Times New Roman" w:cs="Times New Roman" w:eastAsia="Times New Roman" w:hAnsi="Times New Roman"/>
          <w:sz w:val="18"/>
          <w:szCs w:val="18"/>
          <w:color w:val="auto"/>
        </w:rPr>
        <w:t xml:space="preserv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Borrowers and the requisite number or percentage in interest of each affected Class of Lenders that would be required to consent thereto under this Section if such Class of Lenders were the only Class of Lenders hereunder at the time.</w:t>
      </w:r>
    </w:p>
    <w:p>
      <w:pPr>
        <w:spacing w:after="0" w:line="201" w:lineRule="exact"/>
        <w:rPr>
          <w:rFonts w:ascii="Times New Roman" w:cs="Times New Roman" w:eastAsia="Times New Roman" w:hAnsi="Times New Roman"/>
          <w:sz w:val="18"/>
          <w:szCs w:val="18"/>
          <w:color w:val="auto"/>
        </w:rPr>
      </w:pPr>
    </w:p>
    <w:p>
      <w:pPr>
        <w:jc w:val="both"/>
        <w:ind w:firstLine="656"/>
        <w:spacing w:after="0" w:line="252" w:lineRule="auto"/>
        <w:tabs>
          <w:tab w:leader="none" w:pos="1253"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and the Issuing Bank hereby irrevocably authorize the Administrative Agent, at its option and in its sole discretion, to release any Liens granted to the Administrative Agent by the Loan Parties on any Collateral (i) upon the Payment in Full of all Secured Obligations, and the cash collateralization of all Unliquidated Obligations in a manner satisfactory to each affected Lender, (ii) constituting property being sold or disposed of by a Loan Party in compliance with the terms of this Agreement (and the Administrative Agent may rely conclusively on any certificate of such Loan Party certifying that the sale or disposition is made in compliance with the terms of this Agreement, without further inquiry), and to the extent that the property being sold or disposed of constitutes 100% of the Equity Interests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discretion, release its Liens on Collateral valued in the aggregate not in excess of $1,000,000 during any calendar year without the prior written authorization of the Required Lenders (it being agreed that the Administrative Agent may rely conclusively on one or more certificates of the Borrowers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7" w:name="page298"/>
    <w:bookmarkEnd w:id="297"/>
    <w:p>
      <w:pPr>
        <w:jc w:val="both"/>
        <w:ind w:firstLine="656"/>
        <w:spacing w:after="0" w:line="252" w:lineRule="auto"/>
        <w:tabs>
          <w:tab w:leader="none" w:pos="141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then the Borrowers may elect to replace a Non-Consenting Lender as a Lender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concurrently with such replacement, (i) another bank or other entity which is reasonably satisfactory to the Borrowers,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136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Administrative Agent may, with the consent of the Borrower Representative only, amend, modify or supplement this Agreement or any of the other Loan Documents to cure any ambiguity, omission, mistake, defect or inconsistency.</w:t>
      </w:r>
    </w:p>
    <w:p>
      <w:pPr>
        <w:spacing w:after="0" w:line="162"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Expenses; Limitation of Liability; Indemnity; Etc.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Loan Parties shall, jointly and severally, pay all (i) reasonable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by the Administrative Agent and its Affiliates, including the reasonable fees, charges and disbursements of counsel for the Administrative Agent, in connection with the syndication and distribution (including, without limitation, via the internet or through any Electronic System or Approved Electronic Platform) of the credit facilities provided for herein, the preparation and administration of the Loan Documents and any amendments, modifications or waivers of the provi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sions of the Loan Documents (whether or not the transactions contemplated hereby or thereby shall be consummated), (ii) reasonable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8" w:name="page299"/>
    <w:bookmarkEnd w:id="298"/>
    <w:p>
      <w:pPr>
        <w:ind w:left="1960" w:hanging="656"/>
        <w:spacing w:after="0"/>
        <w:tabs>
          <w:tab w:leader="none" w:pos="19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5.12, appraisals and insurance reviews;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5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5.06, field examinations and the preparation of Reports based on the fees charged by a third party retained by the Administrative Agent or the internally allocated fees for each Person employed by the Administrative Agent with respect to each field examination;</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62"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background checks regarding senior management and/or key investors, as deemed necessary or appropriate in the sole discretion of the Administrative Agent;</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23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fees and other charges for (1) lien and title searches and title insurance and (2) filing financing statements and continuations, and other actions to perfect, protect, and continue the Administrative Agent’s Liens;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sums paid or incurred to take any action required of any Loan Party under the Loan Documents that such Loan Party fails to pay</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take; and</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951"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forwarding loan proceeds, collecting checks and other items of payment, and establishing and maintaining the accounts and lock boxes, and costs and expenses of preserving and protecting the Collateral.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of the foregoing fees, costs and expenses may be charged to the Borrowers as Revolving Loans or to another deposit account, all as described in Section 2.18(c).</w:t>
      </w:r>
    </w:p>
    <w:p>
      <w:pPr>
        <w:spacing w:after="0" w:line="162" w:lineRule="exact"/>
        <w:rPr>
          <w:sz w:val="20"/>
          <w:szCs w:val="20"/>
          <w:color w:val="auto"/>
        </w:rPr>
      </w:pPr>
    </w:p>
    <w:p>
      <w:pPr>
        <w:jc w:val="both"/>
        <w:ind w:firstLine="656"/>
        <w:spacing w:after="0" w:line="253" w:lineRule="auto"/>
        <w:tabs>
          <w:tab w:leader="none" w:pos="1397"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To the extent permitted by applicable law (i) neither any Borrower nor any Loan Party shall assert, and each Borrower and each Loan Party hereby waives, any claim against the Administrative Agent, any Arranger, any Issuing Bank and any Lender, and any Related Party of any of the foregoing Persons (each such Person being called a “</w:t>
      </w:r>
      <w:r>
        <w:rPr>
          <w:rFonts w:ascii="Times New Roman" w:cs="Times New Roman" w:eastAsia="Times New Roman" w:hAnsi="Times New Roman"/>
          <w:sz w:val="18"/>
          <w:szCs w:val="18"/>
          <w:u w:val="single" w:color="auto"/>
          <w:color w:val="auto"/>
        </w:rPr>
        <w:t>Lender-Related Person</w:t>
      </w:r>
      <w:r>
        <w:rPr>
          <w:rFonts w:ascii="Times New Roman" w:cs="Times New Roman" w:eastAsia="Times New Roman" w:hAnsi="Times New Roman"/>
          <w:sz w:val="18"/>
          <w:szCs w:val="18"/>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9.03(b) shall relieve any Borrower or any Loan Party of any obligation it may have to indemnify an Indemnitee, as provided in Section 9.03(c), against any special, indirect, consequential or punitive damages asserted against such Indemnitee by a third party.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9" w:name="page300"/>
    <w:bookmarkEnd w:id="299"/>
    <w:p>
      <w:pPr>
        <w:jc w:val="both"/>
        <w:ind w:firstLine="656"/>
        <w:spacing w:after="0" w:line="252" w:lineRule="auto"/>
        <w:tabs>
          <w:tab w:leader="none" w:pos="130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Loan Parties shall, jointly and severally, indemnify the Administrative Agent, each Arranger, the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Liabilities and related expenses, including the fees, charges and disbursements of any counsel for any Indemnitee (but excluding Taxes, which shall be governed exclusively by Section 2.17, and Excluded Taxes),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or (iv)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or related expenses are determined by a court of competent jurisdiction by final and non-appealable judgment to have resulted primarily from the gross negligence or willful misconduct of such Indemnitee. WITHOUT LIMITATION OF THE FOREGOING, IT IS THE INTENTION OF EACH LOAN PARTY AND EACH LOAN PARTY AGREES THAT THE FOREGOING INDEMNITIES SHALL APPLY TO EACH INDEMNITEE WITH RESPECT TO LOSSES, CLAIMS, DAMAGES, PENALTIES, LIABILITIES AND RELATED EXPENSES (INCLUDING, WITHOUT LIMITATION, ALL EXPENSES OF LITIGATION OR PREPARATION THEREFOR), WHICH IN WHOLE OR IN PART ARE CAUSED BY OR ARISE OUT OF THE NEGLIGENCE OF SUCH (AND/OR ANY OTHER) INDEMNITEE. This Section 9.03(c) shall not apply with respect to Taxes other than any Taxes that represent losses or damages arising from any non-Tax claim.</w:t>
      </w:r>
    </w:p>
    <w:p>
      <w:pPr>
        <w:spacing w:after="0" w:line="190" w:lineRule="exact"/>
        <w:rPr>
          <w:rFonts w:ascii="Times New Roman" w:cs="Times New Roman" w:eastAsia="Times New Roman" w:hAnsi="Times New Roman"/>
          <w:sz w:val="18"/>
          <w:szCs w:val="18"/>
          <w:color w:val="auto"/>
        </w:rPr>
      </w:pPr>
    </w:p>
    <w:p>
      <w:pPr>
        <w:jc w:val="both"/>
        <w:ind w:firstLine="656"/>
        <w:spacing w:after="0" w:line="218" w:lineRule="exact"/>
        <w:tabs>
          <w:tab w:leader="none" w:pos="128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Reimbursement</w:t>
      </w:r>
      <w:r>
        <w:rPr>
          <w:rFonts w:ascii="Times New Roman" w:cs="Times New Roman" w:eastAsia="Times New Roman" w:hAnsi="Times New Roman"/>
          <w:sz w:val="18"/>
          <w:szCs w:val="18"/>
          <w:color w:val="auto"/>
        </w:rPr>
        <w:t>. Each Lender severally agrees to pay any amount required to be paid by any Loan Party under paragraphs (a), (b) or (c) of this Section 9.03 to the Administrative Agent, each Issuing Bank and the Swingline Lender, and each Related Party of any of the foregoing Persons (each, an “</w:t>
      </w:r>
      <w:r>
        <w:rPr>
          <w:rFonts w:ascii="Times New Roman" w:cs="Times New Roman" w:eastAsia="Times New Roman" w:hAnsi="Times New Roman"/>
          <w:sz w:val="18"/>
          <w:szCs w:val="18"/>
          <w:u w:val="single" w:color="auto"/>
          <w:color w:val="auto"/>
        </w:rPr>
        <w:t>Agent-Related Person</w:t>
      </w:r>
      <w:r>
        <w:rPr>
          <w:rFonts w:ascii="Times New Roman" w:cs="Times New Roman" w:eastAsia="Times New Roman" w:hAnsi="Times New Roman"/>
          <w:sz w:val="18"/>
          <w:szCs w:val="18"/>
          <w:color w:val="auto"/>
        </w:rPr>
        <w:t xml:space="preserve">”) (to the extent not reimbursed by a Loan Party and without limiting the obligation of any Loan Party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Lender shall be liable for the payment of any portion of such Liabilities, costs, expenses or disbursements that are found by a final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appealable decision of a court of competent jurisdiction to have resulted primarily from such Agent-Related Person’s gross negligence or willful misconduct. The agreements in this Section shall</w:t>
      </w:r>
    </w:p>
    <w:tbl>
      <w:tblPr>
        <w:tblLayout w:type="fixed"/>
        <w:tblInd w:w="0" w:type="dxa"/>
        <w:tblCellMar>
          <w:top w:w="0" w:type="dxa"/>
          <w:left w:w="0" w:type="dxa"/>
          <w:bottom w:w="0" w:type="dxa"/>
          <w:right w:w="0" w:type="dxa"/>
        </w:tblCellMar>
      </w:tblPr>
      <w:tr>
        <w:trPr>
          <w:trHeight w:val="177"/>
        </w:trPr>
        <w:tc>
          <w:tcPr>
            <w:tcW w:w="7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survive the termination of this Agreement and the Payment in Full of the Secured Obligations.</w:t>
            </w:r>
          </w:p>
        </w:tc>
        <w:tc>
          <w:tcPr>
            <w:tcW w:w="6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(e)</w:t>
            </w:r>
          </w:p>
        </w:tc>
        <w:tc>
          <w:tcPr>
            <w:tcW w:w="356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auto"/>
              </w:rPr>
              <w:t>Payments. All amounts due under this Section</w:t>
            </w:r>
          </w:p>
        </w:tc>
      </w:tr>
      <w:tr>
        <w:trPr>
          <w:trHeight w:val="237"/>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9.03 shall be payable promptly after written demand therefor.</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660" w:type="dxa"/>
            <w:vAlign w:val="bottom"/>
          </w:tcPr>
          <w:p>
            <w:pPr>
              <w:spacing w:after="0"/>
              <w:rPr>
                <w:sz w:val="20"/>
                <w:szCs w:val="20"/>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(a) 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0" w:name="page301"/>
    <w:bookmarkEnd w:id="30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or delayed) of:</w:t>
      </w:r>
    </w:p>
    <w:p>
      <w:pPr>
        <w:spacing w:after="0" w:line="176" w:lineRule="exact"/>
        <w:rPr>
          <w:sz w:val="20"/>
          <w:szCs w:val="20"/>
          <w:color w:val="auto"/>
        </w:rPr>
      </w:pPr>
    </w:p>
    <w:p>
      <w:pPr>
        <w:jc w:val="both"/>
        <w:ind w:left="1300" w:firstLine="652"/>
        <w:spacing w:after="0" w:line="258" w:lineRule="auto"/>
        <w:tabs>
          <w:tab w:leader="none" w:pos="2603"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Representative shall be deemed to have consented to any such assignment of all or a portion of the Revolving Loans and Commitments unless it shall object thereto by written notice to the Administrative Agent within five (5) Business Days after having received notice thereof,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consent of the Borrower Representative shall be required for an assignment to a Lender, an Affiliate of a Lender, an Approved Fund or, if an Event of Default has occurred and is continuing, any other assignee;</w:t>
      </w:r>
    </w:p>
    <w:p>
      <w:pPr>
        <w:spacing w:after="0" w:line="183"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Issuing Bank.</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rFonts w:ascii="Times New Roman" w:cs="Times New Roman" w:eastAsia="Times New Roman" w:hAnsi="Times New Roman"/>
          <w:sz w:val="18"/>
          <w:szCs w:val="18"/>
          <w:color w:val="auto"/>
        </w:rPr>
      </w:pPr>
    </w:p>
    <w:p>
      <w:pPr>
        <w:jc w:val="both"/>
        <w:ind w:left="1300" w:firstLine="742"/>
        <w:spacing w:after="0" w:line="256" w:lineRule="auto"/>
        <w:tabs>
          <w:tab w:leader="none" w:pos="2734"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(such consent not to be unreasonably withheld or delayed) and the Administrative Agent otherwise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consent of the Borrower Representative shall be required if an Event of Default has occurred and is continuing;</w:t>
      </w:r>
    </w:p>
    <w:p>
      <w:pPr>
        <w:spacing w:after="0" w:line="187" w:lineRule="exact"/>
        <w:rPr>
          <w:rFonts w:ascii="Times New Roman" w:cs="Times New Roman" w:eastAsia="Times New Roman" w:hAnsi="Times New Roman"/>
          <w:sz w:val="18"/>
          <w:szCs w:val="18"/>
          <w:color w:val="auto"/>
        </w:rPr>
      </w:pPr>
    </w:p>
    <w:p>
      <w:pPr>
        <w:ind w:left="1300" w:firstLine="742"/>
        <w:spacing w:after="0" w:line="282" w:lineRule="auto"/>
        <w:tabs>
          <w:tab w:leader="none" w:pos="2709"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partial assignment shall be made as an assignment of a proportionate part of all the assigning Lender's rights and obligations under this Agreement;</w:t>
      </w:r>
    </w:p>
    <w:p>
      <w:pPr>
        <w:spacing w:after="0" w:line="161" w:lineRule="exact"/>
        <w:rPr>
          <w:rFonts w:ascii="Times New Roman" w:cs="Times New Roman" w:eastAsia="Times New Roman" w:hAnsi="Times New Roman"/>
          <w:sz w:val="18"/>
          <w:szCs w:val="18"/>
          <w:color w:val="auto"/>
        </w:rPr>
      </w:pPr>
    </w:p>
    <w:p>
      <w:pPr>
        <w:jc w:val="both"/>
        <w:ind w:left="1300" w:firstLine="742"/>
        <w:spacing w:after="0" w:line="261" w:lineRule="auto"/>
        <w:tabs>
          <w:tab w:leader="none" w:pos="2979"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179" w:lineRule="exact"/>
        <w:rPr>
          <w:rFonts w:ascii="Times New Roman" w:cs="Times New Roman" w:eastAsia="Times New Roman" w:hAnsi="Times New Roman"/>
          <w:sz w:val="18"/>
          <w:szCs w:val="18"/>
          <w:color w:val="auto"/>
        </w:rPr>
      </w:pPr>
    </w:p>
    <w:p>
      <w:pPr>
        <w:jc w:val="both"/>
        <w:ind w:left="1300" w:firstLine="742"/>
        <w:spacing w:after="0" w:line="258" w:lineRule="auto"/>
        <w:tabs>
          <w:tab w:leader="none" w:pos="2746"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1" w:name="page302"/>
    <w:bookmarkEnd w:id="301"/>
    <w:p>
      <w:pPr>
        <w:ind w:left="660"/>
        <w:spacing w:after="0"/>
        <w:rPr>
          <w:sz w:val="20"/>
          <w:szCs w:val="20"/>
          <w:color w:val="auto"/>
        </w:rPr>
      </w:pPr>
      <w:r>
        <w:rPr>
          <w:rFonts w:ascii="Times New Roman" w:cs="Times New Roman" w:eastAsia="Times New Roman" w:hAnsi="Times New Roman"/>
          <w:sz w:val="18"/>
          <w:szCs w:val="18"/>
          <w:color w:val="auto"/>
        </w:rPr>
        <w:t>For the purposes of this Section 9.04(b), the terms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have the following meanings: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or its Lender Parent, (c) a holding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or (d) a Loan Party or a Subsidiary or other Affiliate of a Loan Party.</w:t>
      </w:r>
    </w:p>
    <w:p>
      <w:pPr>
        <w:spacing w:after="0" w:line="189" w:lineRule="exact"/>
        <w:rPr>
          <w:sz w:val="20"/>
          <w:szCs w:val="20"/>
          <w:color w:val="auto"/>
        </w:rPr>
      </w:pPr>
    </w:p>
    <w:p>
      <w:pPr>
        <w:jc w:val="both"/>
        <w:ind w:left="660" w:firstLine="806"/>
        <w:spacing w:after="0" w:line="219" w:lineRule="exact"/>
        <w:tabs>
          <w:tab w:leader="none" w:pos="2253"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98" w:lineRule="exact"/>
        <w:rPr>
          <w:rFonts w:ascii="Times New Roman" w:cs="Times New Roman" w:eastAsia="Times New Roman" w:hAnsi="Times New Roman"/>
          <w:sz w:val="18"/>
          <w:szCs w:val="18"/>
          <w:color w:val="auto"/>
        </w:rPr>
      </w:pPr>
    </w:p>
    <w:p>
      <w:pPr>
        <w:jc w:val="both"/>
        <w:ind w:left="660" w:firstLine="806"/>
        <w:spacing w:after="0" w:line="255" w:lineRule="auto"/>
        <w:tabs>
          <w:tab w:leader="none" w:pos="2283"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189" w:lineRule="exact"/>
        <w:rPr>
          <w:sz w:val="20"/>
          <w:szCs w:val="20"/>
          <w:color w:val="auto"/>
        </w:rPr>
      </w:pPr>
    </w:p>
    <w:p>
      <w:pPr>
        <w:jc w:val="both"/>
        <w:ind w:left="740" w:firstLine="744"/>
        <w:spacing w:after="0" w:line="253" w:lineRule="auto"/>
        <w:tabs>
          <w:tab w:leader="none" w:pos="2109"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2" w:name="page303"/>
    <w:bookmarkEnd w:id="302"/>
    <w:p>
      <w:pPr>
        <w:jc w:val="both"/>
        <w:ind w:firstLine="656"/>
        <w:spacing w:after="0" w:line="252" w:lineRule="auto"/>
        <w:tabs>
          <w:tab w:leader="none" w:pos="1247"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or notice to, the Borrowers, the Administrative Agent, the Issuing Bank or the Swingline Lender, sell participations to one or more banks or other entities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other than a Loan Party or a Subsidiary or other Affiliate of a Loan Party in all or a portion of such Lender’s rights and obligations under this Agreement (including all or a portion of its Commitment and/or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Bank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Borrowers agree that each Participant shall be entitled to the benefits of Sections 2.15, 2.16 and 2.17 (subject to the requirements and limitations therein, including the requirements under Section 2.17(f) and (g) (it being understood that the documentation required under Section 2.17(f) shall be delivered to the participating Lender and the information and documentation required under Section 2.17(g) will be delivered to the Borrowers and the Administrative Agent))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Section 2.18(b)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“Participant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3" w:name="page304"/>
    <w:bookmarkEnd w:id="303"/>
    <w:p>
      <w:pPr>
        <w:jc w:val="both"/>
        <w:ind w:firstLine="656"/>
        <w:spacing w:after="0" w:line="261" w:lineRule="auto"/>
        <w:tabs>
          <w:tab w:leader="none" w:pos="145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 Electronic Execution.</w:t>
      </w:r>
      <w:r>
        <w:rPr>
          <w:rFonts w:ascii="Times New Roman" w:cs="Times New Roman" w:eastAsia="Times New Roman" w:hAnsi="Times New Roman"/>
          <w:sz w:val="18"/>
          <w:szCs w:val="18"/>
          <w:color w:val="auto"/>
        </w:rPr>
        <w:t xml:space="preserve">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w:t>
      </w:r>
    </w:p>
    <w:p>
      <w:pPr>
        <w:spacing w:after="0" w:line="1" w:lineRule="exact"/>
        <w:rPr>
          <w:sz w:val="20"/>
          <w:szCs w:val="20"/>
          <w:color w:val="auto"/>
        </w:rPr>
      </w:pPr>
    </w:p>
    <w:p>
      <w:pPr>
        <w:jc w:val="both"/>
        <w:ind w:firstLine="8"/>
        <w:spacing w:after="0" w:line="253" w:lineRule="auto"/>
        <w:tabs>
          <w:tab w:leader="none" w:pos="274"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4" w:name="page305"/>
    <w:bookmarkEnd w:id="304"/>
    <w:p>
      <w:pPr>
        <w:jc w:val="both"/>
        <w:ind w:firstLine="656"/>
        <w:spacing w:after="0" w:line="251" w:lineRule="auto"/>
        <w:tabs>
          <w:tab w:leader="none" w:pos="1348"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that is an Electronic Signature transmitted by facsimile,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facsimile,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facsimile,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 THIS WRITTEN AGREEMENT REPRESENTS THE FINAL AGREEMENT BETWEEN THE PARTIES AND MAY NOT BE CONTRADICTED BY EVIDENCE OF PRIOR, CONTEMPORANEOUS, OR SUBSEQUENT ORAL AGREEMENTS OF THE PARTIES. THERE ARE NO UNWRITTEN ORAL AGREEMENTS BETWEEN THE PARTIES.</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the Issuing Bank or any such Affiliate, to or for the credit or the account of any Loan Party against any and all of the Secured Obligations held by such Lender, the Issuing Bank or their respective Affiliates, irrespective of whether or not such Lender, the Issuing Bank or their respective Affiliates shall have made any demand under the Loan Documents and although such obligations may be contingent or unmatured or are owed to a branch office or Affiliate of such Lender or the Issuing Bank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5" w:name="page306"/>
    <w:bookmarkEnd w:id="30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 xml:space="preserve"> (a) The Loan Documents (other than those containing a contrary express choice of law provision) shall be governed by and construed in accordance with the internal laws of the State of New York, but giving effect to federal laws applicable to national banks.</w:t>
      </w:r>
    </w:p>
    <w:p>
      <w:pPr>
        <w:spacing w:after="0" w:line="176" w:lineRule="exact"/>
        <w:rPr>
          <w:sz w:val="20"/>
          <w:szCs w:val="20"/>
          <w:color w:val="auto"/>
        </w:rPr>
      </w:pPr>
    </w:p>
    <w:p>
      <w:pPr>
        <w:jc w:val="both"/>
        <w:ind w:firstLine="656"/>
        <w:spacing w:after="0" w:line="261" w:lineRule="auto"/>
        <w:tabs>
          <w:tab w:leader="none" w:pos="130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79" w:lineRule="exact"/>
        <w:rPr>
          <w:rFonts w:ascii="Times New Roman" w:cs="Times New Roman" w:eastAsia="Times New Roman" w:hAnsi="Times New Roman"/>
          <w:sz w:val="18"/>
          <w:szCs w:val="18"/>
          <w:color w:val="auto"/>
        </w:rPr>
      </w:pPr>
    </w:p>
    <w:p>
      <w:pPr>
        <w:jc w:val="both"/>
        <w:ind w:firstLine="656"/>
        <w:spacing w:after="0" w:line="220" w:lineRule="exact"/>
        <w:tabs>
          <w:tab w:leader="none" w:pos="135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submits, for itself and its property, to the exclusive jurisdiction of any U.S. federal or New York state court sitting in New York, New York,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ties in the courts of any jurisdiction.</w:t>
      </w:r>
    </w:p>
    <w:p>
      <w:pPr>
        <w:spacing w:after="0" w:line="180" w:lineRule="exact"/>
        <w:rPr>
          <w:rFonts w:ascii="Times New Roman" w:cs="Times New Roman" w:eastAsia="Times New Roman" w:hAnsi="Times New Roman"/>
          <w:sz w:val="18"/>
          <w:szCs w:val="18"/>
          <w:color w:val="auto"/>
        </w:rPr>
      </w:pPr>
    </w:p>
    <w:p>
      <w:pPr>
        <w:jc w:val="both"/>
        <w:ind w:firstLine="656"/>
        <w:spacing w:after="0" w:line="220" w:lineRule="exact"/>
        <w:tabs>
          <w:tab w:leader="none" w:pos="133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irrevocably and unconditionally waives, to the fullest extent it may legally and effectively do so, any objection which it may now or here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200" w:lineRule="exact"/>
        <w:rPr>
          <w:rFonts w:ascii="Times New Roman" w:cs="Times New Roman" w:eastAsia="Times New Roman" w:hAnsi="Times New Roman"/>
          <w:sz w:val="18"/>
          <w:szCs w:val="18"/>
          <w:color w:val="auto"/>
        </w:rPr>
      </w:pPr>
    </w:p>
    <w:p>
      <w:pPr>
        <w:ind w:firstLine="656"/>
        <w:spacing w:after="0" w:line="282" w:lineRule="auto"/>
        <w:tabs>
          <w:tab w:leader="none" w:pos="134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6" w:name="page307"/>
    <w:bookmarkEnd w:id="306"/>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MENT BY, AMONG OTHER THINGS, THE MUTUAL WAIVERS AND CERTIFICATIONS IN THIS SECTION.</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Representative (h) to the extent such Information (i) becomes publicly available other than as a result of a breach of this Section or (ii) becomes available to the Administrative Agent, the Issuing Bank or any Lender on a non-confidential basis from a source other than the Borrowers, or (i) on a confidential basis to (1) any rating agency in connection with rating any Borrower or its Subsidiaries or the credit facilities provided for herein or (2) the CUSIP Service Bureau or any similar agency in connection with the issuance and monitoring of identification numbers with respect to the credit facilities provided for herein.</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the Borrowers relating to the Borrowers or their business, other than any such information that is available to the Administrative Agent, the Issuing Bank or any Lender on a non-confidential basis prior to disclosure by the Borrowers and other than information pertaining to this Agreement provided by arrangers to data service providers, including league table providers, that serve the lending industry;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THIS SECTION 9.12) FURNISHED TO IT PURSUANT TO THIS AGREEMENT MAY INCLUDE MATERIAL NON-PUBLIC INFORMATION CONCERNING THE COMPANY, AND ITS AFFILIATES,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7" w:name="page308"/>
    <w:bookmarkEnd w:id="307"/>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COMPANY,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Several Obligations; Nonreliance; Violation of Law</w:t>
      </w:r>
      <w:r>
        <w:rPr>
          <w:rFonts w:ascii="Times New Roman" w:cs="Times New Roman" w:eastAsia="Times New Roman" w:hAnsi="Times New Roman"/>
          <w:sz w:val="18"/>
          <w:szCs w:val="18"/>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3"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xml:space="preserve"> Notwithstanding anything herein to the contrary, if at any time the interest rate applicable to any Loan, together with all fees, charges and other amounts which are treated as interest on such Loan under appli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8" w:name="page309"/>
    <w:bookmarkEnd w:id="308"/>
    <w:p>
      <w:pPr>
        <w:ind w:left="660"/>
        <w:spacing w:after="0"/>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Marketing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Borrowers hereby authorize JPMCB and its affiliates (collectively, the “</w:t>
      </w:r>
      <w:r>
        <w:rPr>
          <w:rFonts w:ascii="Times New Roman" w:cs="Times New Roman" w:eastAsia="Times New Roman" w:hAnsi="Times New Roman"/>
          <w:sz w:val="18"/>
          <w:szCs w:val="18"/>
          <w:u w:val="single" w:color="auto"/>
          <w:color w:val="auto"/>
        </w:rPr>
        <w:t>JPMCB Parties</w:t>
      </w:r>
      <w:r>
        <w:rPr>
          <w:rFonts w:ascii="Times New Roman" w:cs="Times New Roman" w:eastAsia="Times New Roman" w:hAnsi="Times New Roman"/>
          <w:sz w:val="18"/>
          <w:szCs w:val="18"/>
          <w:color w:val="auto"/>
        </w:rPr>
        <w:t>”), at their respective sole expense, and without any prior approval by the Borrowers, to include any Borrower’s name and logo in advertising, marketing, tombstones, case studies and training materials, and to give such other publicity to this Agreement as the JPMCB Parties may from time to time determine in their sole discretion. The foregoing authorization shall remain in effect unless and until the Borrower Representative notifies JPMCB in writing that such authorization is revoked.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xml:space="preserve">. Notwithstanding anything to the contrary in any Loan Document or in any other agreement, arrangement or understanding among any such parties, each party hereto acknowledges that any liability of any </w:t>
      </w:r>
      <w:r>
        <w:rPr>
          <w:rFonts w:ascii="Times New Roman" w:cs="Times New Roman" w:eastAsia="Times New Roman" w:hAnsi="Times New Roman"/>
          <w:sz w:val="18"/>
          <w:szCs w:val="18"/>
          <w:u w:val="single" w:color="auto"/>
          <w:color w:val="auto"/>
        </w:rPr>
        <w:t>Affected</w:t>
      </w:r>
      <w:r>
        <w:rPr>
          <w:rFonts w:ascii="Times New Roman" w:cs="Times New Roman" w:eastAsia="Times New Roman" w:hAnsi="Times New Roman"/>
          <w:sz w:val="18"/>
          <w:szCs w:val="18"/>
          <w:color w:val="auto"/>
        </w:rPr>
        <w:t xml:space="preserve"> Financial Institution arising under any Loan Document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left="100" w:right="20" w:firstLine="574"/>
        <w:spacing w:after="0" w:line="282" w:lineRule="auto"/>
        <w:tabs>
          <w:tab w:leader="none" w:pos="1533"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09"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auto"/>
        </w:rPr>
      </w:pPr>
    </w:p>
    <w:p>
      <w:pPr>
        <w:ind w:left="1300" w:firstLine="4"/>
        <w:spacing w:after="0" w:line="282" w:lineRule="auto"/>
        <w:tabs>
          <w:tab w:leader="none" w:pos="2088"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No Fiduciary Duty, Etc.</w:t>
      </w:r>
      <w:r>
        <w:rPr>
          <w:rFonts w:ascii="Times New Roman" w:cs="Times New Roman" w:eastAsia="Times New Roman" w:hAnsi="Times New Roman"/>
          <w:sz w:val="18"/>
          <w:szCs w:val="18"/>
          <w:color w:val="auto"/>
        </w:rPr>
        <w:t>. (a)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9" w:name="page310"/>
    <w:bookmarkEnd w:id="309"/>
    <w:p>
      <w:pPr>
        <w:jc w:val="both"/>
        <w:ind w:firstLine="656"/>
        <w:spacing w:after="0" w:line="255" w:lineRule="auto"/>
        <w:tabs>
          <w:tab w:leader="none" w:pos="1297"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Borrower and other companies with which any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36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0" w:name="page311"/>
    <w:bookmarkEnd w:id="31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u w:val="single" w:color="auto"/>
          <w:color w:val="auto"/>
        </w:rPr>
        <w:t>Joint and Several</w:t>
      </w:r>
      <w:r>
        <w:rPr>
          <w:rFonts w:ascii="Times New Roman" w:cs="Times New Roman" w:eastAsia="Times New Roman" w:hAnsi="Times New Roman"/>
          <w:sz w:val="18"/>
          <w:szCs w:val="18"/>
          <w:color w:val="auto"/>
        </w:rPr>
        <w:t>. Each Borrower hereby unconditionally and irrevocably agrees it is jointly and severally liable to the Administrative Agent, the Issuing Banks and the Lenders for the Secured Obligations. In furtherance thereof, each Borrower agrees that wherever in this Agreement it is provided that a Borrower is liable for a payment, such obligation is the joint and several obligation of each Borrower. Each Borrower acknowledges and agrees that its joint and several liability under this Agreement and the Loan Documents is absolute and unconditional and shall not in any manner be affected or impaired by any acts or omissions whatsoever by the Administrative Agent, any Issuing Bank, any Lender or any other Person. Each Borrower’s liability for the Secured Obligations shall not in any manner be impaired or affected by who receives or uses the proceeds of the credit extended hereunder or for what purposes such proceeds are used, and each Borrower waives notice of borrowing requests issued by, and loans or other extensions of credit made to, other Borrowers. Each Borrower hereby agrees not to exercise or enforce any right of exoneration, contribution, reimbursement, recourse or subrogation available to such Borrower against any party liable for payment under this Agreement and the Loan Documents unless and until the Administrative Agent, each Issuing Bank and each Lender have been paid in full and all of the Secured Obligations are satisfied and discharged following termination or expiration of all commitments of the Lenders to extend credit to the Borrowers. Each Borrower’s joint and several liability hereunder with respect to the Secured Obligations shall, to the fullest extent permitted by applicable law, be the unconditional liability of such Borrower irrespective of (i) the validity, enforceability, avoidance or subordination of any of the Secured Obligations or of any other document evidencing all or any part of the Secured Obligations, (ii) the absence of any attempt to collect any of the Secured Obligations from any other Loan Party or any Collateral or other security therefor, or the absence of any other action to enforce the same, (iii) the amendment, modification, waiver, consent, extension, forbearance or granting of any indulgence by the Administrative Agent or any Lender with respect to any provision of any instrument executed by any other Loan Party evidencing or securing the payment of any of the Secured Obligations, or any other agreement now or hereafter executed by any other Loan Party and delivered to the Administrative Agent, (iv) the failure by the Administrative Agent or any Lender to take any steps to perfect or maintain the perfected status of its Lien upon, or to preserve its rights to, any of the Collateral or other security for the payment or performance of any of the Secured Obligations or the Administrative Agent’s release of any Collateral or of its Liens upon any Collateral, (v) the release or compromise, in whole or in part, of the liability of any other Loan Party for the payment of any of the Secured Obligations, (vi) any increase in the amount of the Secured Obligations beyond any limits imposed herein or in the amount of any interest, fees or other charges payable in connection therewith, in each case, if consented to by any other Borrower, or any decrease in the same, or (vii) any other circumstance that might constitute a legal or equitable discharge or defense of any Loan Party. After the occurrence and during the continuance of any Event of Default, the Administrative Agent may proceed directly and at once, without notice to any Borrower, against any or all of Loan Parties to collect and recover all or any part of the Secured Obligations, without first proceeding against any other Loan Party or against any Collateral or other security for the payment or performance of any of the Secured Obligations, and each Borrower waives any provision that might otherwise require the Administrative Agent or the Lenders under applicable law to pursue or exhaust remedies against any Collateral or other Loan Party before pursuing such Borrower or its property. Each Borrower consents and agrees that neither the Administrative Agent nor any Lender shall be under any obligation to marshal any assets in favor of any Loan Party or against or in payment of any or all of the Secured Obligations.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9.23. </w:t>
      </w:r>
      <w:r>
        <w:rPr>
          <w:rFonts w:ascii="Times New Roman" w:cs="Times New Roman" w:eastAsia="Times New Roman" w:hAnsi="Times New Roman"/>
          <w:sz w:val="18"/>
          <w:szCs w:val="18"/>
          <w:u w:val="single" w:color="auto"/>
          <w:color w:val="auto"/>
        </w:rPr>
        <w:t>Renewal, Extension or Rearrangement</w:t>
      </w:r>
      <w:r>
        <w:rPr>
          <w:rFonts w:ascii="Times New Roman" w:cs="Times New Roman" w:eastAsia="Times New Roman" w:hAnsi="Times New Roman"/>
          <w:sz w:val="18"/>
          <w:szCs w:val="18"/>
          <w:color w:val="auto"/>
        </w:rPr>
        <w:t>. This Agreement amends and restates in its entirety the Existing Credit Agreement. This Agreement and the other Loan Documents govern the present relationship among the Loan Parties, Administrative Agent, the Lenders and the other Persons a signatory hereto. This Agreement, however, is in no way intended, nor shall it be construed, to affect, replace, impair or extinguish the creation, attachment, perfection or priority of the security interests in, and other Liens on, the Collateral, which security interests and other Liens each of the Loan Parties, by this Agreement, acknowledges, reaffirms and confirms to Administrative Agent and the Lenders. The Loan Parties agree that any outstanding commitment under the Existing Credit Agreement to make advances or otherwise extend credit or credit support to any Loan Party and each other obligation under the Existing Credit Agreement of any Person (other than a Loan Party) which is a party to the Existing Credit Agreement are hereby terminated.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Loan Guaranty.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and expenses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Guaranty of Payment</w:t>
      </w:r>
      <w:r>
        <w:rPr>
          <w:rFonts w:ascii="Times New Roman" w:cs="Times New Roman" w:eastAsia="Times New Roman" w:hAnsi="Times New Roman"/>
          <w:sz w:val="18"/>
          <w:szCs w:val="18"/>
          <w:color w:val="auto"/>
        </w:rPr>
        <w:t>. This Loan Guaranty is a guaranty of payment and not of collection. Each Loan Guarantor waives any right to require the Administrative Agent, the Issuing Bank or any Lender to sue any Borrower, any Loan Guarantor, any other guarantor of, or any other Person obligated for, all or any part of the Guaranteed Obligations (each, an “</w:t>
      </w:r>
      <w:r>
        <w:rPr>
          <w:rFonts w:ascii="Times New Roman" w:cs="Times New Roman" w:eastAsia="Times New Roman" w:hAnsi="Times New Roman"/>
          <w:sz w:val="18"/>
          <w:szCs w:val="18"/>
          <w:u w:val="single" w:color="auto"/>
          <w:color w:val="auto"/>
        </w:rPr>
        <w:t>Obligated Party</w:t>
      </w:r>
      <w:r>
        <w:rPr>
          <w:rFonts w:ascii="Times New Roman" w:cs="Times New Roman" w:eastAsia="Times New Roman" w:hAnsi="Times New Roman"/>
          <w:sz w:val="18"/>
          <w:szCs w:val="18"/>
          <w:color w:val="auto"/>
        </w:rPr>
        <w:t>”), or otherwise to enforce its payment against any collateral securing all or any part of the Guaranteed Obligations.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No Discharge or Diminishment of Loan Guaranty</w:t>
      </w:r>
      <w:r>
        <w:rPr>
          <w:rFonts w:ascii="Times New Roman" w:cs="Times New Roman" w:eastAsia="Times New Roman" w:hAnsi="Times New Roman"/>
          <w:sz w:val="18"/>
          <w:szCs w:val="18"/>
          <w:color w:val="auto"/>
        </w:rPr>
        <w:t>. (a) Except as otherwise provided for herein, the obligations of each Loan Guarantor hereunder are unconditional and absolute and not subject to any reduction, limitation, impairment or termination for any reason (other than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192" w:lineRule="exact"/>
        <w:rPr>
          <w:sz w:val="20"/>
          <w:szCs w:val="20"/>
          <w:color w:val="auto"/>
        </w:rPr>
      </w:pPr>
    </w:p>
    <w:p>
      <w:pPr>
        <w:jc w:val="both"/>
        <w:ind w:firstLine="656"/>
        <w:spacing w:after="0" w:line="266" w:lineRule="auto"/>
        <w:tabs>
          <w:tab w:leader="none" w:pos="1412"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2" w:name="page313"/>
    <w:bookmarkEnd w:id="312"/>
    <w:p>
      <w:pPr>
        <w:jc w:val="both"/>
        <w:ind w:firstLine="656"/>
        <w:spacing w:after="0" w:line="254" w:lineRule="auto"/>
        <w:tabs>
          <w:tab w:leader="none" w:pos="134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Payment in Full of the Guaranteed Obligations).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Defenses Waived</w:t>
      </w:r>
      <w:r>
        <w:rPr>
          <w:rFonts w:ascii="Times New Roman" w:cs="Times New Roman" w:eastAsia="Times New Roman" w:hAnsi="Times New Roman"/>
          <w:sz w:val="18"/>
          <w:szCs w:val="18"/>
          <w:color w:val="auto"/>
        </w:rPr>
        <w:t>.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Rights of Subrogation</w:t>
      </w:r>
      <w:r>
        <w:rPr>
          <w:rFonts w:ascii="Times New Roman" w:cs="Times New Roman" w:eastAsia="Times New Roman" w:hAnsi="Times New Roman"/>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Reinstatement; Stay of Acceleration</w:t>
      </w:r>
      <w:r>
        <w:rPr>
          <w:rFonts w:ascii="Times New Roman" w:cs="Times New Roman" w:eastAsia="Times New Roman" w:hAnsi="Times New Roman"/>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3" w:name="page314"/>
    <w:bookmarkEnd w:id="3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Each of the Lenders and the Issuing Bank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clause (o) of Article VII hereof as a result of any such notice of termination.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Maximum Liability</w:t>
      </w:r>
      <w:r>
        <w:rPr>
          <w:rFonts w:ascii="Times New Roman" w:cs="Times New Roman" w:eastAsia="Times New Roman" w:hAnsi="Times New Roman"/>
          <w:sz w:val="18"/>
          <w:szCs w:val="18"/>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1056"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Loan Guarantor shall make a payment under this Loan Guaranty (a “</w:t>
      </w:r>
      <w:r>
        <w:rPr>
          <w:rFonts w:ascii="Times New Roman" w:cs="Times New Roman" w:eastAsia="Times New Roman" w:hAnsi="Times New Roman"/>
          <w:sz w:val="18"/>
          <w:szCs w:val="18"/>
          <w:u w:val="single" w:color="auto"/>
          <w:color w:val="auto"/>
        </w:rPr>
        <w:t>Guarantor Payment</w:t>
      </w:r>
      <w:r>
        <w:rPr>
          <w:rFonts w:ascii="Times New Roman" w:cs="Times New Roman" w:eastAsia="Times New Roman" w:hAnsi="Times New Roman"/>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4" w:name="page315"/>
    <w:bookmarkEnd w:id="314"/>
    <w:p>
      <w:pPr>
        <w:jc w:val="both"/>
        <w:ind w:firstLine="656"/>
        <w:spacing w:after="0" w:line="258" w:lineRule="auto"/>
        <w:tabs>
          <w:tab w:leader="none" w:pos="1034"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1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044"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that the rights of contribution and indemnification hereunder shall constitute assets of the Loan Guarantor or Loan Guarantors to which such contribution and indemnification is owing.</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3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indemnifying Loan Guarantors against other Loan Guarantors under this Section 10.11 shall be exercisable upon the Payment in Full of the Guaranteed Obligations and the termination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Liability Cumulative</w:t>
      </w:r>
      <w:r>
        <w:rPr>
          <w:rFonts w:ascii="Times New Roman" w:cs="Times New Roman" w:eastAsia="Times New Roman" w:hAnsi="Times New Roman"/>
          <w:sz w:val="18"/>
          <w:szCs w:val="18"/>
          <w:color w:val="auto"/>
        </w:rPr>
        <w:t>.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Borrower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Appointment; Nature of Relationship</w:t>
      </w:r>
      <w:r>
        <w:rPr>
          <w:rFonts w:ascii="Times New Roman" w:cs="Times New Roman" w:eastAsia="Times New Roman" w:hAnsi="Times New Roman"/>
          <w:sz w:val="18"/>
          <w:szCs w:val="18"/>
          <w:color w:val="auto"/>
        </w:rPr>
        <w:t>. Friedman Industries, Incorporated is hereby appointed by each of the Borrowers as its contractual representative (herein referred to as the “</w:t>
      </w:r>
      <w:r>
        <w:rPr>
          <w:rFonts w:ascii="Times New Roman" w:cs="Times New Roman" w:eastAsia="Times New Roman" w:hAnsi="Times New Roman"/>
          <w:sz w:val="18"/>
          <w:szCs w:val="18"/>
          <w:u w:val="single" w:color="auto"/>
          <w:color w:val="auto"/>
        </w:rPr>
        <w:t>Borrower Representative</w:t>
      </w:r>
      <w:r>
        <w:rPr>
          <w:rFonts w:ascii="Times New Roman" w:cs="Times New Roman" w:eastAsia="Times New Roman" w:hAnsi="Times New Roman"/>
          <w:sz w:val="18"/>
          <w:szCs w:val="18"/>
          <w:color w:val="auto"/>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 Revolving Loan, such amount shall not exceed Availability.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11.01.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5" w:name="page316"/>
    <w:bookmarkEnd w:id="3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Employment of Agents</w:t>
      </w:r>
      <w:r>
        <w:rPr>
          <w:rFonts w:ascii="Times New Roman" w:cs="Times New Roman" w:eastAsia="Times New Roman" w:hAnsi="Times New Roman"/>
          <w:sz w:val="18"/>
          <w:szCs w:val="18"/>
          <w:color w:val="auto"/>
        </w:rPr>
        <w:t>. The Borrower Representative may execute any of its duties as the Borrower Representative hereunder and under any other Loan Document by or through authorized officers.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Each Borrower shall immediately notify the Borrower Representative of the occurrence of any Default or Event of Default hereunder referring to this Agreement describing such Default or Event of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Successor Borrower Representative</w:t>
      </w:r>
      <w:r>
        <w:rPr>
          <w:rFonts w:ascii="Times New Roman" w:cs="Times New Roman" w:eastAsia="Times New Roman" w:hAnsi="Times New Roman"/>
          <w:sz w:val="18"/>
          <w:szCs w:val="18"/>
          <w:color w:val="auto"/>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Execution of Loan Documents; Borrowing Base Certificate</w:t>
      </w:r>
      <w:r>
        <w:rPr>
          <w:rFonts w:ascii="Times New Roman" w:cs="Times New Roman" w:eastAsia="Times New Roman" w:hAnsi="Times New Roman"/>
          <w:sz w:val="18"/>
          <w:szCs w:val="18"/>
          <w:color w:val="auto"/>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Certificates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Each Borrower hereby agrees that such Borrower shall furnish promptly after each fiscal month to the Borrower Representative a copy of its Borrowing Base Certificate and any other certificate or report required hereunder or requested by the Borrower Representative on which the Borrower Representative shall rely to prepare the Borrowing Base Certificates and Compliance Certificate required pursuant to the provisions of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6" w:name="page317"/>
    <w:bookmarkEnd w:id="31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by their respective authorized officers as of the day and year first above written.</w:t>
      </w: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Texas corporation</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Alex LaRue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7" w:name="page318"/>
    <w:bookmarkEnd w:id="317"/>
    <w:p>
      <w:pPr>
        <w:ind w:left="4520"/>
        <w:spacing w:after="0"/>
        <w:rPr>
          <w:sz w:val="20"/>
          <w:szCs w:val="20"/>
          <w:color w:val="auto"/>
        </w:rPr>
      </w:pPr>
      <w:r>
        <w:rPr>
          <w:rFonts w:ascii="Times New Roman" w:cs="Times New Roman" w:eastAsia="Times New Roman" w:hAnsi="Times New Roman"/>
          <w:sz w:val="18"/>
          <w:szCs w:val="18"/>
          <w:color w:val="auto"/>
        </w:rPr>
        <w:t>JPMORGAN CHASE BANK, N.A., individually and as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Administrative Agent, Issuing Bank and Swingline Lender</w:t>
      </w:r>
    </w:p>
    <w:p>
      <w:pPr>
        <w:spacing w:after="0" w:line="200" w:lineRule="exact"/>
        <w:rPr>
          <w:sz w:val="20"/>
          <w:szCs w:val="20"/>
          <w:color w:val="auto"/>
        </w:rPr>
      </w:pPr>
    </w:p>
    <w:p>
      <w:pPr>
        <w:spacing w:after="0" w:line="22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Timothy Whitefoot</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Signature Page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18" w:name="page319"/>
    <w:bookmarkEnd w:id="318"/>
    <w:p>
      <w:pPr>
        <w:ind w:left="4140"/>
        <w:spacing w:after="0"/>
        <w:rPr>
          <w:sz w:val="20"/>
          <w:szCs w:val="20"/>
          <w:color w:val="auto"/>
        </w:rPr>
      </w:pPr>
      <w:r>
        <w:rPr>
          <w:rFonts w:ascii="Times New Roman" w:cs="Times New Roman" w:eastAsia="Times New Roman" w:hAnsi="Times New Roman"/>
          <w:sz w:val="18"/>
          <w:szCs w:val="18"/>
          <w:color w:val="auto"/>
        </w:rPr>
        <w:t>COMMITMENT SCHEDULE</w:t>
      </w:r>
    </w:p>
    <w:p>
      <w:pPr>
        <w:sectPr>
          <w:pgSz w:w="11900" w:h="16838" w:orient="portrait"/>
          <w:cols w:equalWidth="0" w:num="1">
            <w:col w:w="9779"/>
          </w:cols>
          <w:pgMar w:left="680" w:top="580"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right"/>
        <w:ind w:right="226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Revolving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-127000</wp:posOffset>
            </wp:positionV>
            <wp:extent cx="6920230" cy="16135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6920230" cy="16135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150,000,000</w:t>
      </w:r>
    </w:p>
    <w:p>
      <w:pPr>
        <w:spacing w:after="0" w:line="200" w:lineRule="exact"/>
        <w:rPr>
          <w:sz w:val="20"/>
          <w:szCs w:val="20"/>
          <w:color w:val="auto"/>
        </w:rPr>
      </w:pPr>
    </w:p>
    <w:p>
      <w:pPr>
        <w:sectPr>
          <w:pgSz w:w="11900" w:h="16838" w:orient="portrait"/>
          <w:cols w:equalWidth="0" w:num="2">
            <w:col w:w="5460" w:space="720"/>
            <w:col w:w="3599"/>
          </w:cols>
          <w:pgMar w:left="680" w:top="58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72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$150,000,000</w:t>
            </w:r>
          </w:p>
        </w:tc>
      </w:tr>
    </w:tbl>
    <w:p>
      <w:pPr>
        <w:spacing w:after="0" w:line="21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Commitment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85725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79"/>
          </w:cols>
          <w:pgMar w:left="680" w:top="580" w:right="1440" w:bottom="1440" w:gutter="0" w:footer="0" w:header="0"/>
          <w:type w:val="continuous"/>
        </w:sectPr>
      </w:pPr>
    </w:p>
    <w:bookmarkStart w:id="319" w:name="page320"/>
    <w:bookmarkEnd w:id="319"/>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Assignment and Assumption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w:t>
      </w:r>
      <w:r>
        <w:rPr>
          <w:rFonts w:ascii="Times New Roman" w:cs="Times New Roman" w:eastAsia="Times New Roman" w:hAnsi="Times New Roman"/>
          <w:sz w:val="18"/>
          <w:szCs w:val="18"/>
          <w:i w:val="1"/>
          <w:iCs w:val="1"/>
          <w:color w:val="auto"/>
        </w:rPr>
        <w:t>Insert name of Assignor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Insert name of Assignee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Capitalized terms used but not defined herein shall have the meanings given to them in the Credit Agreement identified below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Such sale and assignment is without recourse to the Assignor and, except as expressly provided in this Assignment and Assumption, without representation or warranty by the Assignor.</w:t>
      </w:r>
    </w:p>
    <w:p>
      <w:pPr>
        <w:spacing w:after="0" w:line="190" w:lineRule="exact"/>
        <w:rPr>
          <w:sz w:val="20"/>
          <w:szCs w:val="20"/>
          <w:color w:val="auto"/>
        </w:rPr>
      </w:pPr>
    </w:p>
    <w:p>
      <w:pPr>
        <w:ind w:left="580" w:hanging="572"/>
        <w:spacing w:after="0"/>
        <w:tabs>
          <w:tab w:leader="none" w:pos="58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w:t>
      </w:r>
    </w:p>
    <w:p>
      <w:pPr>
        <w:spacing w:after="0" w:line="238"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-264795</wp:posOffset>
            </wp:positionV>
            <wp:extent cx="14230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17145</wp:posOffset>
            </wp:positionV>
            <wp:extent cx="14230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[and is an Affiliate/Approved Fund of [</w:t>
      </w:r>
      <w:r>
        <w:rPr>
          <w:rFonts w:ascii="Times New Roman" w:cs="Times New Roman" w:eastAsia="Times New Roman" w:hAnsi="Times New Roman"/>
          <w:sz w:val="18"/>
          <w:szCs w:val="18"/>
          <w:i w:val="1"/>
          <w:iCs w:val="1"/>
          <w:color w:val="auto"/>
        </w:rPr>
        <w:t>identify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580" w:hanging="572"/>
        <w:spacing w:after="0"/>
        <w:tabs>
          <w:tab w:leader="none" w:pos="5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w:t>
      </w:r>
    </w:p>
    <w:p>
      <w:pPr>
        <w:spacing w:after="0" w:line="238"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JPMorgan Chase Bank, N.A.,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-264795</wp:posOffset>
            </wp:positionV>
            <wp:extent cx="14230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1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Agreement:</w:t>
            </w: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Amended and Restated Credit Agreement dated as of May 19, 2021 among Friedman Industries, Incorporated and each</w:t>
            </w:r>
          </w:p>
        </w:tc>
      </w:tr>
      <w:tr>
        <w:trPr>
          <w:trHeight w:val="216"/>
        </w:trPr>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Person party thereto from time to time as a borrower, the other Loan Parties party thereto, the Lenders parties thereto,</w:t>
            </w:r>
          </w:p>
        </w:tc>
      </w:tr>
      <w:tr>
        <w:trPr>
          <w:trHeight w:val="234"/>
        </w:trPr>
        <w:tc>
          <w:tcPr>
            <w:tcW w:w="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JPMorgan Chase Bank, N.A., as Administrative Agent, and the other agents parties thereto</w:t>
            </w:r>
          </w:p>
        </w:tc>
      </w:tr>
      <w:tr>
        <w:trPr>
          <w:trHeight w:val="432"/>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6.</w:t>
            </w:r>
          </w:p>
        </w:tc>
        <w:tc>
          <w:tcPr>
            <w:tcW w:w="1740" w:type="dxa"/>
            <w:vAlign w:val="bottom"/>
          </w:tcPr>
          <w:p>
            <w:pPr>
              <w:spacing w:after="0"/>
              <w:rPr>
                <w:sz w:val="24"/>
                <w:szCs w:val="24"/>
                <w:color w:val="auto"/>
              </w:rPr>
            </w:pP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Assigned 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12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Select as applicable.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0" w:name="page321"/>
    <w:bookmarkEnd w:id="320"/>
    <w:tbl>
      <w:tblPr>
        <w:tblLayout w:type="fixed"/>
        <w:tblInd w:w="10" w:type="dxa"/>
        <w:tblCellMar>
          <w:top w:w="0" w:type="dxa"/>
          <w:left w:w="0" w:type="dxa"/>
          <w:bottom w:w="0" w:type="dxa"/>
          <w:right w:w="0" w:type="dxa"/>
        </w:tblCellMar>
      </w:tblPr>
      <w:tr>
        <w:trPr>
          <w:trHeight w:val="214"/>
        </w:trPr>
        <w:tc>
          <w:tcPr>
            <w:tcW w:w="2840" w:type="dxa"/>
            <w:vAlign w:val="bottom"/>
            <w:tcBorders>
              <w:top w:val="single" w:sz="8" w:color="auto"/>
              <w:left w:val="single" w:sz="8" w:color="auto"/>
              <w:right w:val="single" w:sz="8" w:color="auto"/>
            </w:tcBorders>
          </w:tcPr>
          <w:p>
            <w:pPr>
              <w:ind w:left="740"/>
              <w:spacing w:after="0" w:line="214" w:lineRule="exact"/>
              <w:rPr>
                <w:sz w:val="20"/>
                <w:szCs w:val="20"/>
                <w:color w:val="auto"/>
              </w:rPr>
            </w:pPr>
            <w:r>
              <w:rPr>
                <w:rFonts w:ascii="Times New Roman" w:cs="Times New Roman" w:eastAsia="Times New Roman" w:hAnsi="Times New Roman"/>
                <w:sz w:val="15"/>
                <w:szCs w:val="15"/>
                <w:color w:val="auto"/>
              </w:rPr>
              <w:t>Facility Assigned</w:t>
            </w:r>
            <w:r>
              <w:rPr>
                <w:rFonts w:ascii="Times New Roman" w:cs="Times New Roman" w:eastAsia="Times New Roman" w:hAnsi="Times New Roman"/>
                <w:sz w:val="24"/>
                <w:szCs w:val="24"/>
                <w:color w:val="auto"/>
                <w:vertAlign w:val="superscript"/>
              </w:rPr>
              <w:t>2</w:t>
            </w:r>
          </w:p>
        </w:tc>
        <w:tc>
          <w:tcPr>
            <w:tcW w:w="2880" w:type="dxa"/>
            <w:vAlign w:val="bottom"/>
            <w:tcBorders>
              <w:top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Aggregate Amount of</w:t>
            </w:r>
          </w:p>
        </w:tc>
        <w:tc>
          <w:tcPr>
            <w:tcW w:w="2860" w:type="dxa"/>
            <w:vAlign w:val="bottom"/>
            <w:tcBorders>
              <w:top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 of Commitment/Loans</w:t>
            </w:r>
          </w:p>
        </w:tc>
        <w:tc>
          <w:tcPr>
            <w:tcW w:w="2660" w:type="dxa"/>
            <w:vAlign w:val="bottom"/>
            <w:tcBorders>
              <w:top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rPr>
              <w:t>Percentage Assigned of</w:t>
            </w:r>
          </w:p>
        </w:tc>
      </w:tr>
      <w:tr>
        <w:trPr>
          <w:trHeight w:val="251"/>
        </w:trPr>
        <w:tc>
          <w:tcPr>
            <w:tcW w:w="2840" w:type="dxa"/>
            <w:vAlign w:val="bottom"/>
            <w:tcBorders>
              <w:left w:val="single" w:sz="8" w:color="auto"/>
              <w:bottom w:val="single" w:sz="8" w:color="auto"/>
              <w:right w:val="single" w:sz="8" w:color="auto"/>
            </w:tcBorders>
          </w:tcPr>
          <w:p>
            <w:pPr>
              <w:spacing w:after="0"/>
              <w:rPr>
                <w:sz w:val="21"/>
                <w:szCs w:val="21"/>
                <w:color w:val="auto"/>
              </w:rPr>
            </w:pPr>
          </w:p>
        </w:tc>
        <w:tc>
          <w:tcPr>
            <w:tcW w:w="28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Commitment/Loans for all Lenders</w:t>
            </w:r>
          </w:p>
        </w:tc>
        <w:tc>
          <w:tcPr>
            <w:tcW w:w="2860" w:type="dxa"/>
            <w:vAlign w:val="bottom"/>
            <w:tcBorders>
              <w:bottom w:val="single" w:sz="8" w:color="auto"/>
              <w:right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Assigned</w:t>
            </w:r>
          </w:p>
        </w:tc>
        <w:tc>
          <w:tcPr>
            <w:tcW w:w="2660" w:type="dxa"/>
            <w:vAlign w:val="bottom"/>
            <w:tcBorders>
              <w:bottom w:val="single" w:sz="8" w:color="auto"/>
              <w:right w:val="single" w:sz="8" w:color="auto"/>
            </w:tcBorders>
          </w:tcPr>
          <w:p>
            <w:pPr>
              <w:jc w:val="right"/>
              <w:ind w:right="492"/>
              <w:spacing w:after="0" w:line="231" w:lineRule="exact"/>
              <w:rPr>
                <w:sz w:val="20"/>
                <w:szCs w:val="20"/>
                <w:color w:val="auto"/>
              </w:rPr>
            </w:pPr>
            <w:r>
              <w:rPr>
                <w:rFonts w:ascii="Times New Roman" w:cs="Times New Roman" w:eastAsia="Times New Roman" w:hAnsi="Times New Roman"/>
                <w:sz w:val="16"/>
                <w:szCs w:val="16"/>
                <w:color w:val="auto"/>
              </w:rPr>
              <w:t>Commitment/Loans</w:t>
            </w:r>
            <w:r>
              <w:rPr>
                <w:rFonts w:ascii="Times New Roman" w:cs="Times New Roman" w:eastAsia="Times New Roman" w:hAnsi="Times New Roman"/>
                <w:sz w:val="26"/>
                <w:szCs w:val="26"/>
                <w:color w:val="auto"/>
                <w:vertAlign w:val="superscript"/>
              </w:rPr>
              <w:t>3</w:t>
            </w:r>
          </w:p>
        </w:tc>
      </w:tr>
      <w:tr>
        <w:trPr>
          <w:trHeight w:val="193"/>
        </w:trPr>
        <w:tc>
          <w:tcPr>
            <w:tcW w:w="2840" w:type="dxa"/>
            <w:vAlign w:val="bottom"/>
            <w:tcBorders>
              <w:left w:val="single" w:sz="8" w:color="auto"/>
              <w:bottom w:val="single" w:sz="8" w:color="auto"/>
              <w:right w:val="single" w:sz="8" w:color="auto"/>
            </w:tcBorders>
          </w:tcPr>
          <w:p>
            <w:pPr>
              <w:spacing w:after="0"/>
              <w:rPr>
                <w:sz w:val="16"/>
                <w:szCs w:val="16"/>
                <w:color w:val="auto"/>
              </w:rPr>
            </w:pPr>
          </w:p>
        </w:tc>
        <w:tc>
          <w:tcPr>
            <w:tcW w:w="288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bottom w:val="single" w:sz="8" w:color="auto"/>
              <w:right w:val="single" w:sz="8" w:color="auto"/>
            </w:tcBorders>
          </w:tcPr>
          <w:p>
            <w:pPr>
              <w:jc w:val="right"/>
              <w:ind w:right="253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66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w:t>
            </w:r>
          </w:p>
        </w:tc>
      </w:tr>
      <w:tr>
        <w:trPr>
          <w:trHeight w:val="210"/>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bottom w:val="single" w:sz="8" w:color="auto"/>
              <w:right w:val="single" w:sz="8" w:color="auto"/>
            </w:tcBorders>
          </w:tcPr>
          <w:p>
            <w:pPr>
              <w:jc w:val="right"/>
              <w:ind w:right="253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bottom w:val="single" w:sz="8" w:color="auto"/>
              <w:right w:val="single" w:sz="8" w:color="auto"/>
            </w:tcBorders>
          </w:tcPr>
          <w:p>
            <w:pPr>
              <w:jc w:val="right"/>
              <w:ind w:right="253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_____________ ___, 20___ [TO BE INSERTED BY ADMINISTRATIVE AGENT AND WHICH SHALL BE THE EFFECTIVE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RECORDATION OF TRANSFER IN THE REGISTER THEREFOR.]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12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20" w:lineRule="exact"/>
        <w:rPr>
          <w:sz w:val="20"/>
          <w:szCs w:val="20"/>
          <w:color w:val="auto"/>
        </w:rPr>
      </w:pPr>
    </w:p>
    <w:p>
      <w:pPr>
        <w:ind w:right="180" w:firstLine="8"/>
        <w:spacing w:after="0" w:line="196" w:lineRule="auto"/>
        <w:tabs>
          <w:tab w:leader="none" w:pos="120" w:val="left"/>
        </w:tabs>
        <w:numPr>
          <w:ilvl w:val="0"/>
          <w:numId w:val="375"/>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 xml:space="preserve">Fill in the appropriate terminology for the types of facilities under the Credit Agreement that are being assigned under this Assignment (e.g.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Commitment,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etc.)</w:t>
      </w:r>
    </w:p>
    <w:p>
      <w:pPr>
        <w:spacing w:after="0" w:line="1" w:lineRule="exact"/>
        <w:rPr>
          <w:rFonts w:ascii="Times New Roman" w:cs="Times New Roman" w:eastAsia="Times New Roman" w:hAnsi="Times New Roman"/>
          <w:sz w:val="30"/>
          <w:szCs w:val="30"/>
          <w:i w:val="1"/>
          <w:iCs w:val="1"/>
          <w:color w:val="auto"/>
          <w:vertAlign w:val="superscript"/>
        </w:rPr>
      </w:pPr>
    </w:p>
    <w:p>
      <w:pPr>
        <w:spacing w:after="0"/>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29"/>
          <w:szCs w:val="29"/>
          <w:i w:val="1"/>
          <w:iCs w:val="1"/>
          <w:color w:val="auto"/>
          <w:vertAlign w:val="superscript"/>
        </w:rPr>
        <w:t>3</w:t>
      </w:r>
      <w:r>
        <w:rPr>
          <w:rFonts w:ascii="Times New Roman" w:cs="Times New Roman" w:eastAsia="Times New Roman" w:hAnsi="Times New Roman"/>
          <w:sz w:val="18"/>
          <w:szCs w:val="18"/>
          <w:i w:val="1"/>
          <w:iCs w:val="1"/>
          <w:color w:val="auto"/>
        </w:rPr>
        <w:t xml:space="preserve"> Set forth, to at least 9 decimals, as a percentage of the Commitment/Loans of all Lenders thereunder.</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color w:val="auto"/>
        </w:rPr>
        <w:t>[Consented to and]</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Accepted: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JPMORGAN CHASE BANK, N.A., as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[Administrative Agent, Issuing Bank and Swingline Lender]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By_________________________________</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[Consented to:]</w:t>
      </w:r>
      <w:r>
        <w:rPr>
          <w:rFonts w:ascii="Times New Roman" w:cs="Times New Roman" w:eastAsia="Times New Roman" w:hAnsi="Times New Roman"/>
          <w:sz w:val="29"/>
          <w:szCs w:val="29"/>
          <w:color w:val="auto"/>
          <w:vertAlign w:val="superscript"/>
        </w:rPr>
        <w:t>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RELEVANT PARTY]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By________________________________</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12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firstLine="8"/>
        <w:spacing w:after="0" w:line="196" w:lineRule="auto"/>
        <w:tabs>
          <w:tab w:leader="none" w:pos="120" w:val="left"/>
        </w:tabs>
        <w:numPr>
          <w:ilvl w:val="0"/>
          <w:numId w:val="376"/>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To be added only if the consent of the Administrative Agent, Issuing Bank and/or Swingline Lender, as applicable, is required by the terms of the Credit Agreement.</w:t>
      </w:r>
    </w:p>
    <w:p>
      <w:pPr>
        <w:spacing w:after="0" w:line="1" w:lineRule="exact"/>
        <w:rPr>
          <w:rFonts w:ascii="Times New Roman" w:cs="Times New Roman" w:eastAsia="Times New Roman" w:hAnsi="Times New Roman"/>
          <w:sz w:val="30"/>
          <w:szCs w:val="30"/>
          <w:i w:val="1"/>
          <w:iCs w:val="1"/>
          <w:color w:val="auto"/>
          <w:vertAlign w:val="superscript"/>
        </w:rPr>
      </w:pPr>
    </w:p>
    <w:p>
      <w:pPr>
        <w:ind w:right="460"/>
        <w:spacing w:after="0" w:line="191" w:lineRule="auto"/>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29"/>
          <w:szCs w:val="29"/>
          <w:i w:val="1"/>
          <w:iCs w:val="1"/>
          <w:color w:val="auto"/>
          <w:vertAlign w:val="superscript"/>
        </w:rPr>
        <w:t>5</w:t>
      </w:r>
      <w:r>
        <w:rPr>
          <w:rFonts w:ascii="Times New Roman" w:cs="Times New Roman" w:eastAsia="Times New Roman" w:hAnsi="Times New Roman"/>
          <w:sz w:val="18"/>
          <w:szCs w:val="18"/>
          <w:i w:val="1"/>
          <w:iCs w:val="1"/>
          <w:color w:val="auto"/>
        </w:rPr>
        <w:t xml:space="preserve"> To be added only if the consent of the Borrowers and/or other parties (e.g. Swingline Lender, Issuing Bank) is required by the terms of the Credit Agreement.</w:t>
      </w:r>
    </w:p>
    <w:p>
      <w:pPr>
        <w:spacing w:after="0" w:line="1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80" w:right="579" w:bottom="1440" w:gutter="0" w:footer="0" w:header="0"/>
        </w:sectPr>
      </w:pPr>
    </w:p>
    <w:bookmarkStart w:id="322" w:name="page323"/>
    <w:bookmarkEnd w:id="322"/>
    <w:p>
      <w:pPr>
        <w:jc w:val="center"/>
        <w:spacing w:after="0"/>
        <w:rPr>
          <w:sz w:val="20"/>
          <w:szCs w:val="20"/>
          <w:color w:val="auto"/>
        </w:rPr>
      </w:pPr>
      <w:r>
        <w:rPr>
          <w:rFonts w:ascii="Times New Roman" w:cs="Times New Roman" w:eastAsia="Times New Roman" w:hAnsi="Times New Roman"/>
          <w:sz w:val="18"/>
          <w:szCs w:val="18"/>
          <w:color w:val="auto"/>
        </w:rPr>
        <w:t>ANNEX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ind w:left="520" w:hanging="188"/>
        <w:spacing w:after="0"/>
        <w:tabs>
          <w:tab w:leader="none" w:pos="52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of its Subsidiaries or Affiliates or any other Person obligated in respect of any Loan Document, (iv) any requirements under applicable law for the Assignee to become a lender under the Credit Agreement or to charge interest at the rate set forth therein from time to time, or (v) the performance or observance by any Borrower, any of its Subsidiaries or Affiliates or any other Person of any of their respective obligations under any Loan Document.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w:t>
      </w:r>
    </w:p>
    <w:p>
      <w:pPr>
        <w:jc w:val="both"/>
        <w:ind w:firstLine="8"/>
        <w:spacing w:after="0" w:line="250" w:lineRule="auto"/>
        <w:tabs>
          <w:tab w:leader="none" w:pos="26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this type, (v)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the Assignor or any other Lender or any of their respective Related Parties,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the Assignor or any other Lender or any of their respective Related Parties, and based on such documents and information as it shall deem appropriate at the time, continue to make its own credit decisions in taking or not taking action under the Loan Documents, and</w:t>
      </w:r>
    </w:p>
    <w:p>
      <w:pPr>
        <w:spacing w:after="0" w:line="4" w:lineRule="exact"/>
        <w:rPr>
          <w:rFonts w:ascii="Times New Roman" w:cs="Times New Roman" w:eastAsia="Times New Roman" w:hAnsi="Times New Roman"/>
          <w:sz w:val="18"/>
          <w:szCs w:val="18"/>
          <w:color w:val="auto"/>
        </w:rPr>
      </w:pPr>
    </w:p>
    <w:p>
      <w:pPr>
        <w:ind w:right="20" w:firstLine="8"/>
        <w:spacing w:after="0" w:line="260" w:lineRule="auto"/>
        <w:tabs>
          <w:tab w:leader="none" w:pos="272"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perform in accordance with their terms all of the obligations which by the terms of the Loan Documents are required to be performed by it as a Lender.</w:t>
      </w:r>
    </w:p>
    <w:p>
      <w:pPr>
        <w:spacing w:after="0" w:line="181" w:lineRule="exact"/>
        <w:rPr>
          <w:rFonts w:ascii="Times New Roman" w:cs="Times New Roman" w:eastAsia="Times New Roman" w:hAnsi="Times New Roman"/>
          <w:sz w:val="18"/>
          <w:szCs w:val="18"/>
          <w:color w:val="auto"/>
        </w:rPr>
      </w:pPr>
    </w:p>
    <w:p>
      <w:pPr>
        <w:jc w:val="both"/>
        <w:ind w:firstLine="332"/>
        <w:spacing w:after="0" w:line="266" w:lineRule="auto"/>
        <w:tabs>
          <w:tab w:leader="none" w:pos="51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75" w:lineRule="exact"/>
        <w:rPr>
          <w:rFonts w:ascii="Times New Roman" w:cs="Times New Roman" w:eastAsia="Times New Roman" w:hAnsi="Times New Roman"/>
          <w:sz w:val="18"/>
          <w:szCs w:val="18"/>
          <w:color w:val="auto"/>
        </w:rPr>
      </w:pPr>
    </w:p>
    <w:p>
      <w:pPr>
        <w:jc w:val="both"/>
        <w:ind w:firstLine="332"/>
        <w:spacing w:after="0" w:line="256" w:lineRule="auto"/>
        <w:tabs>
          <w:tab w:leader="none" w:pos="517"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New York.</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3" w:name="page324"/>
    <w:bookmarkEnd w:id="323"/>
    <w:p>
      <w:pPr>
        <w:ind w:left="4140"/>
        <w:spacing w:after="0"/>
        <w:rPr>
          <w:sz w:val="20"/>
          <w:szCs w:val="20"/>
          <w:color w:val="auto"/>
        </w:rPr>
      </w:pPr>
      <w:r>
        <w:rPr>
          <w:rFonts w:ascii="Times New Roman" w:cs="Times New Roman" w:eastAsia="Times New Roman" w:hAnsi="Times New Roman"/>
          <w:sz w:val="18"/>
          <w:szCs w:val="18"/>
          <w:color w:val="auto"/>
        </w:rPr>
        <w:t>EXHIBIT B</w:t>
      </w:r>
    </w:p>
    <w:p>
      <w:pPr>
        <w:spacing w:after="0" w:line="2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u w:val="single" w:color="auto"/>
          <w:color w:val="auto"/>
        </w:rPr>
        <w:t>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373380</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C</w:t>
            </w:r>
          </w:p>
        </w:tc>
      </w:tr>
      <w:tr>
        <w:trPr>
          <w:trHeight w:val="64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COMPLIANCE CERTIFICATE</w:t>
            </w: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85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Lenders parties to the</w:t>
            </w:r>
          </w:p>
        </w:tc>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4"/>
        </w:trPr>
        <w:tc>
          <w:tcPr>
            <w:tcW w:w="460" w:type="dxa"/>
            <w:vAlign w:val="bottom"/>
          </w:tcPr>
          <w:p>
            <w:pPr>
              <w:spacing w:after="0"/>
              <w:rPr>
                <w:sz w:val="20"/>
                <w:szCs w:val="20"/>
                <w:color w:val="auto"/>
              </w:rPr>
            </w:pP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Agreement Described Below</w:t>
            </w:r>
          </w:p>
        </w:tc>
        <w:tc>
          <w:tcPr>
            <w:tcW w:w="30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This Compliance Certificate is furnished pursuant to that certain Credit Agreement dated as of ,</w:t>
            </w:r>
          </w:p>
        </w:tc>
        <w:tc>
          <w:tcPr>
            <w:tcW w:w="300" w:type="dxa"/>
            <w:vAlign w:val="bottom"/>
            <w:tcBorders>
              <w:bottom w:val="single" w:sz="8" w:color="auto"/>
            </w:tcBorders>
          </w:tcPr>
          <w:p>
            <w:pPr>
              <w:spacing w:after="0"/>
              <w:rPr>
                <w:sz w:val="24"/>
                <w:szCs w:val="24"/>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 amended, modified, renewed or extended</w:t>
            </w:r>
          </w:p>
        </w:tc>
      </w:tr>
    </w:tbl>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“Agreement”) among Friedman Industries, Incorporated and each other Person party thereto from time to time as a borrower (collectively, the “Borrowers”), the other Loan Parties, the Lenders party thereto and JPMorgan Chase Bank, N.A., as Administrative Agent for the Lenders. Unless otherwise defined herein, capitalized terms used in this Compliance Certificate have the meanings ascribed thereto in the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CERTIFIES, ON ITS BEHALF AND ON BEHALF OF THE BORROWERS, THAT:</w:t>
      </w:r>
    </w:p>
    <w:p>
      <w:pPr>
        <w:spacing w:after="0" w:line="225" w:lineRule="exact"/>
        <w:rPr>
          <w:sz w:val="20"/>
          <w:szCs w:val="20"/>
          <w:color w:val="auto"/>
        </w:rPr>
      </w:pPr>
    </w:p>
    <w:p>
      <w:pPr>
        <w:ind w:left="660"/>
        <w:spacing w:after="0"/>
        <w:tabs>
          <w:tab w:leader="none" w:pos="960" w:val="left"/>
          <w:tab w:leader="none" w:pos="3540" w:val="left"/>
        </w:tabs>
        <w:rPr>
          <w:sz w:val="20"/>
          <w:szCs w:val="20"/>
          <w:color w:val="auto"/>
        </w:rPr>
      </w:pPr>
      <w:r>
        <w:rPr>
          <w:rFonts w:ascii="Times New Roman" w:cs="Times New Roman" w:eastAsia="Times New Roman" w:hAnsi="Times New Roman"/>
          <w:sz w:val="18"/>
          <w:szCs w:val="18"/>
          <w:color w:val="auto"/>
        </w:rPr>
        <w:t>1.</w:t>
        <w:tab/>
        <w:t>I am the duly elected</w:t>
      </w:r>
      <w:r>
        <w:rPr>
          <w:sz w:val="20"/>
          <w:szCs w:val="20"/>
          <w:color w:val="auto"/>
        </w:rPr>
        <w:tab/>
      </w:r>
      <w:r>
        <w:rPr>
          <w:rFonts w:ascii="Times New Roman" w:cs="Times New Roman" w:eastAsia="Times New Roman" w:hAnsi="Times New Roman"/>
          <w:sz w:val="18"/>
          <w:szCs w:val="18"/>
          <w:color w:val="auto"/>
        </w:rPr>
        <w:t>of the Borrower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1602740</wp:posOffset>
            </wp:positionH>
            <wp:positionV relativeFrom="paragraph">
              <wp:posOffset>-7620</wp:posOffset>
            </wp:positionV>
            <wp:extent cx="62865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5" w:lineRule="exact"/>
        <w:rPr>
          <w:sz w:val="20"/>
          <w:szCs w:val="20"/>
          <w:color w:val="auto"/>
        </w:rPr>
      </w:pPr>
    </w:p>
    <w:p>
      <w:pPr>
        <w:jc w:val="both"/>
        <w:ind w:firstLine="656"/>
        <w:spacing w:after="0" w:line="220" w:lineRule="exact"/>
        <w:tabs>
          <w:tab w:leader="none" w:pos="1032"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terms of the Agreement and I have made, or have caused to be made under my supervision, a detailed review of the transactions and conditions of the Company and its Subsidiaries during the accounting period covered by the attached financial statements [</w:t>
      </w:r>
      <w:r>
        <w:rPr>
          <w:rFonts w:ascii="Times New Roman" w:cs="Times New Roman" w:eastAsia="Times New Roman" w:hAnsi="Times New Roman"/>
          <w:sz w:val="18"/>
          <w:szCs w:val="18"/>
          <w:b w:val="1"/>
          <w:bCs w:val="1"/>
          <w:color w:val="auto"/>
        </w:rPr>
        <w:t>for quarterly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or monthly financial statements add: </w:t>
      </w:r>
      <w:r>
        <w:rPr>
          <w:rFonts w:ascii="Times New Roman" w:cs="Times New Roman" w:eastAsia="Times New Roman" w:hAnsi="Times New Roman"/>
          <w:sz w:val="18"/>
          <w:szCs w:val="18"/>
          <w:color w:val="auto"/>
        </w:rPr>
        <w:t>and such financial statements present fairly in all material respects the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Borrowers and their consolidated Subsidiaries on a consolidated basis in accordance with GAAP consis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tently applied, subject to normal year-end audit adjustments and the absence of footnotes];</w:t>
      </w:r>
    </w:p>
    <w:p>
      <w:pPr>
        <w:spacing w:after="0" w:line="200"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3"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the date of the audited financial statements referred to in Section 3.04 of the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108"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certify that no Loan Party has changed (i) its name, (ii) its chief executive office, (iii) principal place of business, (iv) the type of entity it is or (v) its state of incorporation or organization without having given the Administrative Agent the notice required by Section 4.15 of the Security Agreement; and</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107"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sets forth financial data and computations evidencing the Borrowers’ compliance with certain covenants of the Agreement, all of which data and computations are true, complete and correct;</w:t>
      </w:r>
    </w:p>
    <w:p>
      <w:pPr>
        <w:spacing w:after="0" w:line="162" w:lineRule="exact"/>
        <w:rPr>
          <w:sz w:val="20"/>
          <w:szCs w:val="20"/>
          <w:color w:val="auto"/>
        </w:rPr>
      </w:pPr>
    </w:p>
    <w:p>
      <w:pPr>
        <w:jc w:val="both"/>
        <w:ind w:right="20" w:firstLine="1134"/>
        <w:spacing w:after="0" w:line="266" w:lineRule="auto"/>
        <w:rPr>
          <w:sz w:val="20"/>
          <w:szCs w:val="20"/>
          <w:color w:val="auto"/>
        </w:rPr>
      </w:pPr>
      <w:r>
        <w:rPr>
          <w:rFonts w:ascii="Times New Roman" w:cs="Times New Roman" w:eastAsia="Times New Roman" w:hAnsi="Times New Roman"/>
          <w:sz w:val="18"/>
          <w:szCs w:val="18"/>
          <w:color w:val="auto"/>
        </w:rPr>
        <w:t>Described below are the exceptions, if any, to paragraph 3 by listing, in detail, the (i) nature of the condition or event, the period during which it has existed and the action which the Borrowers have taken, are taking, or propose to take with respect to each such condition or event or (i) the change in GAAP or the application thereof and the effect of such change on the attached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5" w:name="page326"/>
    <w:bookmarkEnd w:id="325"/>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568325</wp:posOffset>
            </wp:positionH>
            <wp:positionV relativeFrom="page">
              <wp:posOffset>517525</wp:posOffset>
            </wp:positionV>
            <wp:extent cx="677227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page">
              <wp:posOffset>568325</wp:posOffset>
            </wp:positionH>
            <wp:positionV relativeFrom="page">
              <wp:posOffset>663575</wp:posOffset>
            </wp:positionV>
            <wp:extent cx="677227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page">
              <wp:posOffset>568325</wp:posOffset>
            </wp:positionH>
            <wp:positionV relativeFrom="page">
              <wp:posOffset>808990</wp:posOffset>
            </wp:positionV>
            <wp:extent cx="677227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The foregoing certifications, together with the computations set forth in Schedule I and Schedule II hereto and the financial statements delivered</w:t>
      </w:r>
    </w:p>
    <w:p>
      <w:pPr>
        <w:spacing w:after="0" w:line="27" w:lineRule="exact"/>
        <w:rPr>
          <w:sz w:val="20"/>
          <w:szCs w:val="20"/>
          <w:color w:val="auto"/>
        </w:rPr>
      </w:pPr>
    </w:p>
    <w:p>
      <w:pPr>
        <w:spacing w:after="0"/>
        <w:tabs>
          <w:tab w:leader="none" w:pos="5340" w:val="left"/>
          <w:tab w:leader="none" w:pos="6480" w:val="left"/>
          <w:tab w:leader="none" w:pos="7020" w:val="left"/>
        </w:tabs>
        <w:rPr>
          <w:sz w:val="20"/>
          <w:szCs w:val="20"/>
          <w:color w:val="auto"/>
        </w:rPr>
      </w:pPr>
      <w:r>
        <w:rPr>
          <w:rFonts w:ascii="Times New Roman" w:cs="Times New Roman" w:eastAsia="Times New Roman" w:hAnsi="Times New Roman"/>
          <w:sz w:val="18"/>
          <w:szCs w:val="18"/>
          <w:color w:val="auto"/>
        </w:rPr>
        <w:t>with this Certificate in support hereof, are made and delivered this day</w:t>
        <w:tab/>
        <w:t>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280035</wp:posOffset>
            </wp:positionV>
            <wp:extent cx="228028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-19050</wp:posOffset>
            </wp:positionV>
            <wp:extent cx="120904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1342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Borrower Representative</w:t>
      </w: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199707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199707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18"/>
          <w:szCs w:val="18"/>
          <w:color w:val="auto"/>
        </w:rPr>
        <w:t>SCHEDULE I</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Compliance as of _________, ____ with</w:t>
      </w:r>
    </w:p>
    <w:p>
      <w:pPr>
        <w:spacing w:after="0" w:line="27" w:lineRule="exact"/>
        <w:rPr>
          <w:sz w:val="20"/>
          <w:szCs w:val="20"/>
          <w:color w:val="auto"/>
        </w:rPr>
      </w:pPr>
    </w:p>
    <w:p>
      <w:pPr>
        <w:ind w:left="2860"/>
        <w:spacing w:after="0"/>
        <w:tabs>
          <w:tab w:leader="none" w:pos="4160" w:val="left"/>
          <w:tab w:leader="none" w:pos="4860" w:val="left"/>
        </w:tabs>
        <w:rPr>
          <w:sz w:val="20"/>
          <w:szCs w:val="20"/>
          <w:color w:val="auto"/>
        </w:rPr>
      </w:pPr>
      <w:r>
        <w:rPr>
          <w:rFonts w:ascii="Times New Roman" w:cs="Times New Roman" w:eastAsia="Times New Roman" w:hAnsi="Times New Roman"/>
          <w:sz w:val="18"/>
          <w:szCs w:val="18"/>
          <w:color w:val="auto"/>
        </w:rPr>
        <w:t>Provisions of</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7"/>
          <w:szCs w:val="17"/>
          <w:color w:val="auto"/>
        </w:rPr>
        <w:t>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-19050</wp:posOffset>
            </wp:positionV>
            <wp:extent cx="17145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-19050</wp:posOffset>
            </wp:positionV>
            <wp:extent cx="2286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8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[Schedule I must include detailed calculation tables for all components of the financial covenant calculations.]</w:t>
      </w:r>
    </w:p>
    <w:p>
      <w:pPr>
        <w:spacing w:after="0" w:line="2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240" w:val="left"/>
          <w:tab w:leader="none" w:pos="2200" w:val="left"/>
          <w:tab w:leader="none" w:pos="3540" w:val="left"/>
          <w:tab w:leader="none" w:pos="4060" w:val="left"/>
          <w:tab w:leader="none" w:pos="5340" w:val="left"/>
          <w:tab w:leader="none" w:pos="5940" w:val="left"/>
          <w:tab w:leader="none" w:pos="6300" w:val="left"/>
          <w:tab w:leader="none" w:pos="6660" w:val="left"/>
          <w:tab w:leader="none" w:pos="7820" w:val="left"/>
          <w:tab w:leader="none" w:pos="8440" w:val="left"/>
          <w:tab w:leader="none" w:pos="9060" w:val="left"/>
          <w:tab w:leader="none" w:pos="9380" w:val="left"/>
          <w:tab w:leader="none" w:pos="10120" w:val="left"/>
          <w:tab w:leader="none" w:pos="10620" w:val="left"/>
        </w:tabs>
        <w:rPr>
          <w:sz w:val="20"/>
          <w:szCs w:val="20"/>
          <w:color w:val="auto"/>
        </w:rPr>
      </w:pPr>
      <w:r>
        <w:rPr>
          <w:rFonts w:ascii="Times New Roman" w:cs="Times New Roman" w:eastAsia="Times New Roman" w:hAnsi="Times New Roman"/>
          <w:sz w:val="18"/>
          <w:szCs w:val="18"/>
          <w:color w:val="auto"/>
        </w:rPr>
        <w:t>THIS</w:t>
        <w:tab/>
        <w:t>JOINDER</w:t>
        <w:tab/>
        <w:t>AGREEMENT</w:t>
        <w:tab/>
        <w:t>(this</w:t>
        <w:tab/>
        <w:t>“Agreement”),</w:t>
        <w:tab/>
        <w:t>dated</w:t>
        <w:tab/>
        <w:t>as</w:t>
        <w:tab/>
        <w:t>of</w:t>
        <w:tab/>
        <w:t>__________,</w:t>
        <w:tab/>
        <w:t>____,</w:t>
        <w:tab/>
        <w:t>20__,</w:t>
        <w:tab/>
        <w:t>is</w:t>
        <w:tab/>
        <w:t>entered</w:t>
        <w:tab/>
        <w:t>into</w:t>
        <w:tab/>
        <w:t>between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 a _________________ (the “New Subsidiary”) and JPMORGAN CHASE BANK, N.A., in its capacity as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administrative agent (the “Administrative Agent”) under that certain Amended and Restated Credit Agreement dated as of May 19, 2021 (as the same may be amended, modified, extended or restated from time to time, the “Credit Agreement”) among Friedman Industries, Incorporated and each other Person party thereto from time to time as a borrower (the “Borrowers”), the other Loan Parties party thereto, the Lenders party thereto and the Administrative Agent for the Lenders. All capitalized terms used herein and not otherwise defined herein shall have the meanings set forth in the Credit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Subsidiary and the Administrative Agent, for the benefit of the Lenders, hereby agree as follows:</w:t>
      </w:r>
    </w:p>
    <w:p>
      <w:pPr>
        <w:spacing w:after="0" w:line="225" w:lineRule="exact"/>
        <w:rPr>
          <w:sz w:val="20"/>
          <w:szCs w:val="20"/>
          <w:color w:val="auto"/>
        </w:rPr>
      </w:pPr>
    </w:p>
    <w:p>
      <w:pPr>
        <w:jc w:val="both"/>
        <w:ind w:firstLine="656"/>
        <w:spacing w:after="0" w:line="252" w:lineRule="auto"/>
        <w:tabs>
          <w:tab w:leader="none" w:pos="1341"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Subsidiary hereby acknowledges, agrees and confirms that, by its execution of this Agreement, the New Subsidiary will be deemed to be a [Borrower][Loan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Sections 10.10 and 10.13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197" w:lineRule="exact"/>
        <w:rPr>
          <w:rFonts w:ascii="Times New Roman" w:cs="Times New Roman" w:eastAsia="Times New Roman" w:hAnsi="Times New Roman"/>
          <w:sz w:val="18"/>
          <w:szCs w:val="18"/>
          <w:color w:val="auto"/>
        </w:rPr>
      </w:pPr>
    </w:p>
    <w:p>
      <w:pPr>
        <w:ind w:firstLine="656"/>
        <w:spacing w:after="0" w:line="282" w:lineRule="auto"/>
        <w:tabs>
          <w:tab w:leader="none" w:pos="1431"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61"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New Subsidiary for purposes of Section 9.01 of the Credit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291465</wp:posOffset>
            </wp:positionV>
            <wp:extent cx="28460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437515</wp:posOffset>
            </wp:positionV>
            <wp:extent cx="28460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582930</wp:posOffset>
            </wp:positionV>
            <wp:extent cx="28460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8" w:name="page329"/>
    <w:bookmarkEnd w:id="328"/>
    <w:p>
      <w:pPr>
        <w:ind w:right="20" w:firstLine="656"/>
        <w:spacing w:after="0" w:line="282" w:lineRule="auto"/>
        <w:tabs>
          <w:tab w:leader="none" w:pos="1222"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Subsidiary hereby waives acceptance by the Administrative Agent and the Lenders of the guaranty by the New Subsidiary upon the execution of this Agreement by the New Subsidiary.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8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each of which when so executed and delivered shall be an original, but all of which shall constitute one and the same instrument.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1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HEREUNDER SHALL BE GOVERNED BY AND CONSTRUED AND INTERPRETED IN ACCORDANCE WITH THE LAWS OF THE STATE OF NEW YORK.</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[NEW SUBSIDIARY]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34886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34886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3488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Acknowledged and accepted: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JPMORGAN CHASE BANK, N.A., as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34886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3488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34886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9" w:name="page330"/>
    <w:bookmarkEnd w:id="329"/>
    <w:p>
      <w:pPr>
        <w:ind w:left="10220"/>
        <w:spacing w:after="0"/>
        <w:rPr>
          <w:sz w:val="20"/>
          <w:szCs w:val="20"/>
          <w:color w:val="auto"/>
        </w:rPr>
      </w:pPr>
      <w:r>
        <w:rPr>
          <w:rFonts w:ascii="Times New Roman" w:cs="Times New Roman" w:eastAsia="Times New Roman" w:hAnsi="Times New Roman"/>
          <w:sz w:val="17"/>
          <w:szCs w:val="17"/>
          <w:color w:val="auto"/>
        </w:rPr>
        <w:t>EXHIBIT E-1</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Not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May 19,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Friedman Industries, Incorporated and each other Person party thereto from time to time as a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any Borrower within the meaning of Section 871(h)(3) (B) of the Code and (iv) it is not a controlled foreign corporation related to any Borrower as described in Section 881(c)(3)(C) of the Code.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Representative with a certificate of its non-U.S. Person status on IRS Form W-8BEN, IRS Form W-8BEN-E or Form W-8IMY (or successor form), as applicable. By executing this certificate, the undersigned agrees that (1) if the information provided on this certificate changes, the undersigned shall promptly so inform the Borrower Representative and the Administrative Agent, and (2) the undersigned shall have at all times furnished the Borrower Representative and the Administrative Agent with a properly completed and currently effective certificate prior to the first payment to be made to the undersigned, or in either of the two calendar years preceding such payments.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68287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0" w:name="page331"/>
    <w:bookmarkEnd w:id="330"/>
    <w:p>
      <w:pPr>
        <w:ind w:left="10220"/>
        <w:spacing w:after="0"/>
        <w:rPr>
          <w:sz w:val="20"/>
          <w:szCs w:val="20"/>
          <w:color w:val="auto"/>
        </w:rPr>
      </w:pPr>
      <w:r>
        <w:rPr>
          <w:rFonts w:ascii="Times New Roman" w:cs="Times New Roman" w:eastAsia="Times New Roman" w:hAnsi="Times New Roman"/>
          <w:sz w:val="17"/>
          <w:szCs w:val="17"/>
          <w:color w:val="auto"/>
        </w:rPr>
        <w:t>EXHIBIT E-2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Not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May 19,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Friedman Industries, Incorporated and each other Person party thereto from time to time as a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w:t>
      </w:r>
    </w:p>
    <w:p>
      <w:pPr>
        <w:ind w:firstLine="8"/>
        <w:spacing w:after="0" w:line="260" w:lineRule="auto"/>
        <w:tabs>
          <w:tab w:leader="none" w:pos="33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ten percent shareholder of any Borrower within the meaning of Section 871(h)(3)(B) of the Code, and (iv) it is not a controlled foreign corporation related to any Borrower as described in Section 881(c)(3)(C) of the Code.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a certificate of its non-U.S. Person status on IRS Form W-8BEN, IRS Form W-8BEN-E or Form W-8IMY (or successor form),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17145</wp:posOffset>
            </wp:positionV>
            <wp:extent cx="25203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9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1" w:name="page332"/>
    <w:bookmarkEnd w:id="331"/>
    <w:p>
      <w:pPr>
        <w:ind w:left="10220"/>
        <w:spacing w:after="0"/>
        <w:rPr>
          <w:sz w:val="20"/>
          <w:szCs w:val="20"/>
          <w:color w:val="auto"/>
        </w:rPr>
      </w:pPr>
      <w:r>
        <w:rPr>
          <w:rFonts w:ascii="Times New Roman" w:cs="Times New Roman" w:eastAsia="Times New Roman" w:hAnsi="Times New Roman"/>
          <w:sz w:val="17"/>
          <w:szCs w:val="17"/>
          <w:color w:val="auto"/>
        </w:rPr>
        <w:t>EXHIBIT E-3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Participants That Are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May 19,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Friedman Industries, Incorporated and each other Person party thereto from time to time as a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 withholding statement together with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prior to the first payment to be made to the undersigned, or in either of the two calendar years preceding such payments.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7000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EXHIBIT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2" w:name="page333"/>
    <w:bookmarkEnd w:id="332"/>
    <w:p>
      <w:pPr>
        <w:ind w:left="10220"/>
        <w:spacing w:after="0"/>
        <w:rPr>
          <w:sz w:val="20"/>
          <w:szCs w:val="20"/>
          <w:color w:val="auto"/>
        </w:rPr>
      </w:pPr>
      <w:r>
        <w:rPr>
          <w:rFonts w:ascii="Times New Roman" w:cs="Times New Roman" w:eastAsia="Times New Roman" w:hAnsi="Times New Roman"/>
          <w:sz w:val="17"/>
          <w:szCs w:val="17"/>
          <w:color w:val="auto"/>
        </w:rPr>
        <w:t>EXHIBIT E-4</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TAX COMPLIANCE CERTIFICATE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Foreign Lenders That Are Partnerships For U.S. Federal Income Tax Purposes)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Credit Agreement dated as of May 19, 2021 (as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Friedman Industries, Incorporated and each other Person party thereto from time to time as a borrower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thereto, the Lenders party thereto and JPMorgan Chase Bank, N.A., in its capacity as Administrative Agent for the Lenders.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provisions of Section 2.17 of the Credit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undersigned has furnished the Administrative Agent and the Borrower Representative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Representative and the Administrative Agent, and</w:t>
      </w:r>
    </w:p>
    <w:p>
      <w:pPr>
        <w:spacing w:after="0" w:line="3" w:lineRule="exact"/>
        <w:rPr>
          <w:sz w:val="20"/>
          <w:szCs w:val="20"/>
          <w:color w:val="auto"/>
        </w:rPr>
      </w:pPr>
    </w:p>
    <w:p>
      <w:pPr>
        <w:ind w:firstLine="8"/>
        <w:spacing w:after="0" w:line="260" w:lineRule="auto"/>
        <w:tabs>
          <w:tab w:leader="none" w:pos="268"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shall have at all times furnished the Borrower Representative and the Administrative Agent with a properly completed and currently effective certificate prior to the first payment to be made to the undersigned, or in either of the two calendar years preceding such payments.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terms defined in the Credit Agreement and used herein shall have the meanings given to them in the Credit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7000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 __, 20[ ]</w:t>
      </w:r>
    </w:p>
    <w:p>
      <w:pPr>
        <w:sectPr>
          <w:pgSz w:w="11900" w:h="16838" w:orient="portrait"/>
          <w:cols w:equalWidth="0" w:num="1">
            <w:col w:w="11240"/>
          </w:cols>
          <w:pgMar w:left="320" w:top="580" w:right="33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FRIEDMAN INDUSTRIES, INCORPORATED</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PLATEPLUS INC.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STOCKHOLDER OF PLATEPLUS INC.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788670</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730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7300" w:type="dxa"/>
            <w:vAlign w:val="bottom"/>
            <w:shd w:val="clear" w:color="auto" w:fill="CCEEFF"/>
          </w:tcPr>
          <w:p>
            <w:pPr>
              <w:spacing w:after="0"/>
              <w:rPr>
                <w:sz w:val="18"/>
                <w:szCs w:val="18"/>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2.01  Purchase and Sale of Assets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2.02</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Excluded Assets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2.03</w:t>
            </w:r>
          </w:p>
        </w:tc>
        <w:tc>
          <w:tcPr>
            <w:tcW w:w="7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Assumed Liabilities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2.04</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Excluded Liabilities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2.05</w:t>
            </w:r>
          </w:p>
        </w:tc>
        <w:tc>
          <w:tcPr>
            <w:tcW w:w="7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Purchase Price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2.06  Purchase Price Adjustment.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2.07  Allocation of Purchase Price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2.08</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Withholding Tax</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2.09  Third Party Consents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Article III Closing</w:t>
            </w:r>
          </w:p>
        </w:tc>
        <w:tc>
          <w:tcPr>
            <w:tcW w:w="73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3.01</w:t>
            </w:r>
          </w:p>
        </w:tc>
        <w:tc>
          <w:tcPr>
            <w:tcW w:w="7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Closing</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3.02</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Closing Deliverables.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seller</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4.01  Organization and Qualification of Seller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4.02  Authority of Seller</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4.03  No Conflicts; Consents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4.04</w:t>
            </w:r>
          </w:p>
        </w:tc>
        <w:tc>
          <w:tcPr>
            <w:tcW w:w="7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Statements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4.05</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4.06  Absence of Certain Changes, Events and Conditions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4.07</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Contracts.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4.08  Title to Purchased Assets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4.09  Condition and Sufficiency of Assets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4.10</w:t>
            </w:r>
          </w:p>
        </w:tc>
        <w:tc>
          <w:tcPr>
            <w:tcW w:w="7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Real Property.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4.11</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4.12</w:t>
            </w:r>
          </w:p>
        </w:tc>
        <w:tc>
          <w:tcPr>
            <w:tcW w:w="7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Inventory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4.13</w:t>
            </w:r>
          </w:p>
        </w:tc>
        <w:tc>
          <w:tcPr>
            <w:tcW w:w="7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4.14  Customers and Suppliers.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4.15  Legal Proceedings; Governmental Orders.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4.16  Compliance With Laws; Permits.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16"/>
        </w:trPr>
        <w:tc>
          <w:tcPr>
            <w:tcW w:w="1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4.17</w:t>
            </w: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Environmental Matters.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4.18  Employee Benefit Matters.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4.19</w:t>
            </w: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Employment Matters.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4.20</w:t>
            </w: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4.21</w:t>
            </w: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Brokers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4.22</w:t>
            </w: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Intention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8"/>
        </w:trPr>
        <w:tc>
          <w:tcPr>
            <w:tcW w:w="1088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4.23  No Additional Representations or Warranties. Except as set forth in this Agreement, none of Seller, any of its Affiliates,</w:t>
            </w:r>
          </w:p>
        </w:tc>
        <w:tc>
          <w:tcPr>
            <w:tcW w:w="36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including any other Seller Party, or any of their respective Representatives has made, or is making, any representation or</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warranty, express or implied, regarding the Business, the Purchased Assets, the Assumed Liabilities, or the results of</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operations, Liabilities, or prospects of the Business, and Seller hereby disclaims any such other representations and</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warranties, including any representations or warranties with respect to (a) the probable success or profitability of the Business</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after the Closing, (b) any projections, forecasts, or forward-looking statements provided or made to Buyer, its Affiliates, or</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their respective Representatives, or (c) any memoranda, charts, summaries, schedules, or other information about the</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Business, the Purchased Assets, or the Assumed Liabilities provided to Buyer, its Affiliates, or their respective</w:t>
            </w:r>
          </w:p>
        </w:tc>
        <w:tc>
          <w:tcPr>
            <w:tcW w:w="360" w:type="dxa"/>
            <w:vAlign w:val="bottom"/>
            <w:shd w:val="clear" w:color="auto" w:fill="CCEEFF"/>
          </w:tcPr>
          <w:p>
            <w:pPr>
              <w:spacing w:after="0"/>
              <w:rPr>
                <w:sz w:val="18"/>
                <w:szCs w:val="18"/>
                <w:color w:val="auto"/>
              </w:rPr>
            </w:pPr>
          </w:p>
        </w:tc>
      </w:tr>
      <w:tr>
        <w:trPr>
          <w:trHeight w:val="234"/>
        </w:trPr>
        <w:tc>
          <w:tcPr>
            <w:tcW w:w="1500" w:type="dxa"/>
            <w:vAlign w:val="bottom"/>
            <w:shd w:val="clear" w:color="auto" w:fill="CCEEFF"/>
          </w:tcPr>
          <w:p>
            <w:pPr>
              <w:spacing w:after="0"/>
              <w:rPr>
                <w:sz w:val="20"/>
                <w:szCs w:val="20"/>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Representatives.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Buyer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5.01  Organization of Buyer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5.02  Authority of Buyer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5.03  No Conflicts; Consents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5.04</w:t>
            </w: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Brokers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5.05</w:t>
            </w: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98"/>
        </w:trPr>
        <w:tc>
          <w:tcPr>
            <w:tcW w:w="1088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5.06  Capitalization; Buyer Stock. The authorized capital stock of Buyer consists of 10,000,000 shares of Buyer Stock and</w:t>
            </w:r>
          </w:p>
        </w:tc>
        <w:tc>
          <w:tcPr>
            <w:tcW w:w="360" w:type="dxa"/>
            <w:vAlign w:val="bottom"/>
          </w:tcPr>
          <w:p>
            <w:pPr>
              <w:spacing w:after="0"/>
              <w:rPr>
                <w:sz w:val="17"/>
                <w:szCs w:val="17"/>
                <w:color w:val="auto"/>
              </w:rPr>
            </w:pPr>
          </w:p>
        </w:tc>
      </w:tr>
      <w:tr>
        <w:trPr>
          <w:trHeight w:val="216"/>
        </w:trPr>
        <w:tc>
          <w:tcPr>
            <w:tcW w:w="1500" w:type="dxa"/>
            <w:vAlign w:val="bottom"/>
          </w:tcPr>
          <w:p>
            <w:pPr>
              <w:spacing w:after="0"/>
              <w:rPr>
                <w:sz w:val="18"/>
                <w:szCs w:val="18"/>
                <w:color w:val="auto"/>
              </w:rPr>
            </w:pP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1,000,000 shares of Cumulative Convertible Preferred Stock, $1.00 par value per share. At the close of business on April 25,</w:t>
            </w:r>
          </w:p>
        </w:tc>
        <w:tc>
          <w:tcPr>
            <w:tcW w:w="3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2022, 6,856,009 shares of Buyer Stock were issued and outstanding and no shares of Cumulative Convertible Preferred Stock</w:t>
            </w:r>
          </w:p>
        </w:tc>
        <w:tc>
          <w:tcPr>
            <w:tcW w:w="3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were issued and outstanding. From April 25, 2022 to the date of this Agreement, there have been no issuances by Buyer of</w:t>
            </w:r>
          </w:p>
        </w:tc>
        <w:tc>
          <w:tcPr>
            <w:tcW w:w="3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Buyer Stock or other equity interests in Buyer. All of the issued and outstanding equity interests in Buyer have been</w:t>
            </w:r>
          </w:p>
        </w:tc>
        <w:tc>
          <w:tcPr>
            <w:tcW w:w="3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duly authorized and validly issued in accordance with Buyer’s governing documents and are fully paid (to the extent required</w:t>
            </w:r>
          </w:p>
        </w:tc>
        <w:tc>
          <w:tcPr>
            <w:tcW w:w="3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under Buyer’s governing documents) and nonassessable and have not been issued in violation of any preemptive rights, rights</w:t>
            </w:r>
          </w:p>
        </w:tc>
        <w:tc>
          <w:tcPr>
            <w:tcW w:w="3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first refusal or other similar rights of any Person. Buyer owns, directly or indirectly, all of the outstanding equity interests</w:t>
            </w:r>
          </w:p>
        </w:tc>
        <w:tc>
          <w:tcPr>
            <w:tcW w:w="3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Buyer’s Subsidiaries. The Buyer Stock issued pursuant to this Agreement will be, when issued, duly authorized and validly</w:t>
            </w:r>
          </w:p>
        </w:tc>
        <w:tc>
          <w:tcPr>
            <w:tcW w:w="36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issued in accordance with the governing documents of Buyer and will be fully paid and nonassessable and will not be issued</w:t>
            </w:r>
          </w:p>
        </w:tc>
        <w:tc>
          <w:tcPr>
            <w:tcW w:w="360" w:type="dxa"/>
            <w:vAlign w:val="bottom"/>
          </w:tcPr>
          <w:p>
            <w:pPr>
              <w:spacing w:after="0"/>
              <w:rPr>
                <w:sz w:val="18"/>
                <w:szCs w:val="18"/>
                <w:color w:val="auto"/>
              </w:rPr>
            </w:pPr>
          </w:p>
        </w:tc>
      </w:tr>
      <w:tr>
        <w:trPr>
          <w:trHeight w:val="234"/>
        </w:trPr>
        <w:tc>
          <w:tcPr>
            <w:tcW w:w="150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violation of any preemptive rights, rights of first refusal or other similar rights of any Person.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216"/>
        </w:trPr>
        <w:tc>
          <w:tcPr>
            <w:tcW w:w="10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5.07  SEC Documents; Buyer Financial Statements; Compliance.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8"/>
        </w:trPr>
        <w:tc>
          <w:tcPr>
            <w:tcW w:w="156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5.08</w:t>
            </w:r>
          </w:p>
        </w:tc>
        <w:tc>
          <w:tcPr>
            <w:tcW w:w="92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Funds Sufficient. At Closing, Subject to closing of the Financing, Buyer will have sufficient and readily available funds to</w:t>
            </w:r>
          </w:p>
        </w:tc>
        <w:tc>
          <w:tcPr>
            <w:tcW w:w="4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41</w:t>
            </w:r>
          </w:p>
        </w:tc>
      </w:tr>
      <w:tr>
        <w:trPr>
          <w:trHeight w:val="234"/>
        </w:trPr>
        <w:tc>
          <w:tcPr>
            <w:tcW w:w="1560" w:type="dxa"/>
            <w:vAlign w:val="bottom"/>
          </w:tcPr>
          <w:p>
            <w:pPr>
              <w:spacing w:after="0"/>
              <w:rPr>
                <w:sz w:val="20"/>
                <w:szCs w:val="20"/>
                <w:color w:val="auto"/>
              </w:rPr>
            </w:pP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consummate the Closing hereunder.</w:t>
            </w:r>
          </w:p>
        </w:tc>
        <w:tc>
          <w:tcPr>
            <w:tcW w:w="400" w:type="dxa"/>
            <w:vAlign w:val="bottom"/>
          </w:tcPr>
          <w:p>
            <w:pPr>
              <w:spacing w:after="0"/>
              <w:rPr>
                <w:sz w:val="20"/>
                <w:szCs w:val="20"/>
                <w:color w:val="auto"/>
              </w:rPr>
            </w:pPr>
          </w:p>
        </w:tc>
      </w:tr>
      <w:tr>
        <w:trPr>
          <w:trHeight w:val="198"/>
        </w:trPr>
        <w:tc>
          <w:tcPr>
            <w:tcW w:w="1084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5.09  No Additional Representations or Warranties. Except as set forth in this Article V, none of Buyer, any of its Affiliates, or any</w:t>
            </w:r>
          </w:p>
        </w:tc>
        <w:tc>
          <w:tcPr>
            <w:tcW w:w="400" w:type="dxa"/>
            <w:vAlign w:val="bottom"/>
            <w:shd w:val="clear" w:color="auto" w:fill="CCEEFF"/>
          </w:tcPr>
          <w:p>
            <w:pPr>
              <w:spacing w:after="0"/>
              <w:rPr>
                <w:sz w:val="17"/>
                <w:szCs w:val="17"/>
                <w:color w:val="auto"/>
              </w:rPr>
            </w:pPr>
          </w:p>
        </w:tc>
      </w:tr>
      <w:tr>
        <w:trPr>
          <w:trHeight w:val="216"/>
        </w:trPr>
        <w:tc>
          <w:tcPr>
            <w:tcW w:w="1560" w:type="dxa"/>
            <w:vAlign w:val="bottom"/>
            <w:shd w:val="clear" w:color="auto" w:fill="CCEEFF"/>
          </w:tcPr>
          <w:p>
            <w:pPr>
              <w:spacing w:after="0"/>
              <w:rPr>
                <w:sz w:val="18"/>
                <w:szCs w:val="18"/>
                <w:color w:val="auto"/>
              </w:rPr>
            </w:pPr>
          </w:p>
        </w:tc>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their respective Representatives has made, or is making, any representation or warranty, express or implied, regarding the</w:t>
            </w:r>
          </w:p>
        </w:tc>
        <w:tc>
          <w:tcPr>
            <w:tcW w:w="4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the Purchased Assets, the Assumed Liabilities, or the results of operations, Liabilities, or prospects of the Business,</w:t>
            </w:r>
          </w:p>
        </w:tc>
        <w:tc>
          <w:tcPr>
            <w:tcW w:w="4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Buyer hereby disclaims any such other representations and warranties, including any representations or warranties with</w:t>
            </w:r>
          </w:p>
        </w:tc>
        <w:tc>
          <w:tcPr>
            <w:tcW w:w="4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 to (a) merchantability or fitness for any particular use or purpose, (b) the probable success or profitability of the</w:t>
            </w:r>
          </w:p>
        </w:tc>
        <w:tc>
          <w:tcPr>
            <w:tcW w:w="4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after the Closing, (c) any projections, forecasts, or forward-looking statements provided or made to Buyer, its</w:t>
            </w:r>
          </w:p>
        </w:tc>
        <w:tc>
          <w:tcPr>
            <w:tcW w:w="4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Affiliates, or their respective Representatives, or (d) any memoranda, charts, summaries, schedules, or other information</w:t>
            </w:r>
          </w:p>
        </w:tc>
        <w:tc>
          <w:tcPr>
            <w:tcW w:w="4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spacing w:after="0"/>
              <w:rPr>
                <w:sz w:val="18"/>
                <w:szCs w:val="18"/>
                <w:color w:val="auto"/>
              </w:rPr>
            </w:pPr>
          </w:p>
        </w:tc>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about the Business, the Purchased Assets, or the Assumed Liabilities provided to Buyer, its Affiliates, or their respective</w:t>
            </w:r>
          </w:p>
        </w:tc>
        <w:tc>
          <w:tcPr>
            <w:tcW w:w="400" w:type="dxa"/>
            <w:vAlign w:val="bottom"/>
            <w:shd w:val="clear" w:color="auto" w:fill="CCEEFF"/>
          </w:tcPr>
          <w:p>
            <w:pPr>
              <w:spacing w:after="0"/>
              <w:rPr>
                <w:sz w:val="18"/>
                <w:szCs w:val="18"/>
                <w:color w:val="auto"/>
              </w:rPr>
            </w:pPr>
          </w:p>
        </w:tc>
      </w:tr>
      <w:tr>
        <w:trPr>
          <w:trHeight w:val="234"/>
        </w:trPr>
        <w:tc>
          <w:tcPr>
            <w:tcW w:w="1560" w:type="dxa"/>
            <w:vAlign w:val="bottom"/>
            <w:shd w:val="clear" w:color="auto" w:fill="CCEEFF"/>
          </w:tcPr>
          <w:p>
            <w:pPr>
              <w:spacing w:after="0"/>
              <w:rPr>
                <w:sz w:val="20"/>
                <w:szCs w:val="20"/>
                <w:color w:val="auto"/>
              </w:rPr>
            </w:pPr>
          </w:p>
        </w:tc>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Representatives.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w w:val="99"/>
              </w:rPr>
              <w:t>Article VI Covenants</w:t>
            </w:r>
          </w:p>
        </w:tc>
        <w:tc>
          <w:tcPr>
            <w:tcW w:w="9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6.01  Access and Investigation.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6.02  Operation of the Businesses of the Acquired Companies.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0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6.03  Employees and Employee Benefits.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6.04</w:t>
            </w: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Confidentiality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6.05</w:t>
            </w:r>
          </w:p>
        </w:tc>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Non-Competition; Non-Solicitation.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0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6.06  Governmental Approvals and Consents.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0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6.07  Books and Records.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6.08</w:t>
            </w: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Announcements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0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6.09  Bulk Sales Laws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6.10</w:t>
            </w: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6.11</w:t>
            </w:r>
          </w:p>
        </w:tc>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Matters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0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6.13  Damage or Destruction Prior to Closing; Condemnation.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6.14</w:t>
            </w:r>
          </w:p>
        </w:tc>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Further Assurances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6.15</w:t>
            </w: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Notification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6.16</w:t>
            </w:r>
          </w:p>
        </w:tc>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Exclusivity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5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6.17</w:t>
            </w:r>
          </w:p>
        </w:tc>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Cooperation.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0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6.18  Negotiation and Approval of the State of Title to Real Property.</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07"/>
        </w:trPr>
        <w:tc>
          <w:tcPr>
            <w:tcW w:w="10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6.19  Lock-Up Provisions. Seller hereby agrees not to, during the period commencing from the Closing and ending on the six</w:t>
            </w:r>
          </w:p>
        </w:tc>
        <w:tc>
          <w:tcPr>
            <w:tcW w:w="36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month anniversary of the Closing (the “Lock-Up Period”): (a) lend, offer, pledge, hypothecate, encumber, assign, sell,</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contract to sell, sell any option or contract to purchase, purchase any option or contract to sell, grant any option, right or</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warrant to purchase, or otherwise transfer or dispose of, directly or indirectly, any Buyer Stock, (b) enter into any swap or</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arrangement that transfers to another, in whole or in part, any of the economic consequences of ownership of the Buyer</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 or (c) publicly disclose the intention to do any of the foregoing, whether any such transaction described in clauses (a)</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or (b) above is to be settled by delivery of Buyer Stock or other securities, in cash or otherwise (any of the foregoing</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described in clauses (a), (b), or (c), a “Prohibited Transfer”). Notwithstanding the foregoing, “Prohibited Transfer” shall not</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include (i) transfers of Buyer Stock to Seller’s Affiliates, (ii) transfers of Buyer Stock by virtue of the laws of the jurisdiction</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Seller’s organization and in accordance with Seller’s organizational documents upon dissolution of Seller, (iii) transfers of</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Buyer Stock as a gift or gifts, (iv) transfers of Buyer Stock in the event of Buyer’s completion of a liquidation, merger,</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amalgamation, share exchange, reorganization or other similar transaction which results in the equityholders of Buyer having</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right to exchange their equity interests of Buyer for cash, securities or other property or (v) the execution of any trading</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plan providing for the sale of Buyer Stock after the end of the Lock-Up Period which meets the requirements of Rule 10b5-</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1(c) under the Exchange Act; provided, that in the case of clauses (i), (ii) and (iii), that any transferee thereof agrees in writing</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 be bound by the terms of this Section 6.19. Seller further agrees to execute such agreements as may be reasonably</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requested by Buyer that are necessary to give effect to the foregoing provisions. If any Prohibited Transfer is made or</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attempted contrary to the provisions of this Agreement, such purported Prohibited Transfer shall be null and void ab initio,</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Buyer shall refuse to recognize any such purported transferee of the Buyer Stock as one of its equity holders for any</w:t>
            </w:r>
          </w:p>
        </w:tc>
        <w:tc>
          <w:tcPr>
            <w:tcW w:w="360" w:type="dxa"/>
            <w:vAlign w:val="bottom"/>
            <w:shd w:val="clear" w:color="auto" w:fill="CCEEFF"/>
          </w:tcPr>
          <w:p>
            <w:pPr>
              <w:spacing w:after="0"/>
              <w:rPr>
                <w:sz w:val="18"/>
                <w:szCs w:val="18"/>
                <w:color w:val="auto"/>
              </w:rPr>
            </w:pPr>
          </w:p>
        </w:tc>
      </w:tr>
      <w:tr>
        <w:trPr>
          <w:trHeight w:val="216"/>
        </w:trPr>
        <w:tc>
          <w:tcPr>
            <w:tcW w:w="1500" w:type="dxa"/>
            <w:vAlign w:val="bottom"/>
            <w:shd w:val="clear" w:color="auto" w:fill="CCEEFF"/>
          </w:tcPr>
          <w:p>
            <w:pPr>
              <w:spacing w:after="0"/>
              <w:rPr>
                <w:sz w:val="18"/>
                <w:szCs w:val="18"/>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purpose. In order to enforce this Section 6.19, Buyer may impose stop-transfer instructions with respect to the Buyer Stock of</w:t>
            </w:r>
          </w:p>
        </w:tc>
        <w:tc>
          <w:tcPr>
            <w:tcW w:w="360" w:type="dxa"/>
            <w:vAlign w:val="bottom"/>
            <w:shd w:val="clear" w:color="auto" w:fill="CCEEFF"/>
          </w:tcPr>
          <w:p>
            <w:pPr>
              <w:spacing w:after="0"/>
              <w:rPr>
                <w:sz w:val="18"/>
                <w:szCs w:val="18"/>
                <w:color w:val="auto"/>
              </w:rPr>
            </w:pPr>
          </w:p>
        </w:tc>
      </w:tr>
      <w:tr>
        <w:trPr>
          <w:trHeight w:val="234"/>
        </w:trPr>
        <w:tc>
          <w:tcPr>
            <w:tcW w:w="1500" w:type="dxa"/>
            <w:vAlign w:val="bottom"/>
            <w:shd w:val="clear" w:color="auto" w:fill="CCEEFF"/>
          </w:tcPr>
          <w:p>
            <w:pPr>
              <w:spacing w:after="0"/>
              <w:rPr>
                <w:sz w:val="20"/>
                <w:szCs w:val="20"/>
                <w:color w:val="auto"/>
              </w:rPr>
            </w:pP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Seller until the end of the Lock-Up Period.</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98"/>
        </w:trPr>
        <w:tc>
          <w:tcPr>
            <w:tcW w:w="15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Section 6.20</w:t>
            </w:r>
          </w:p>
        </w:tc>
        <w:tc>
          <w:tcPr>
            <w:tcW w:w="938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Inventory. Within two (2) Business Days prior to Closing, Seller shall conduct a physical inventory of the inventory included</w:t>
            </w: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59</w:t>
            </w:r>
          </w:p>
        </w:tc>
      </w:tr>
      <w:tr>
        <w:trPr>
          <w:trHeight w:val="234"/>
        </w:trPr>
        <w:tc>
          <w:tcPr>
            <w:tcW w:w="1500" w:type="dxa"/>
            <w:vAlign w:val="bottom"/>
          </w:tcPr>
          <w:p>
            <w:pPr>
              <w:spacing w:after="0"/>
              <w:rPr>
                <w:sz w:val="20"/>
                <w:szCs w:val="20"/>
                <w:color w:val="auto"/>
              </w:rPr>
            </w:pP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the Purchased Assets in the presence of Representatives of Buyer.</w:t>
            </w:r>
          </w:p>
        </w:tc>
        <w:tc>
          <w:tcPr>
            <w:tcW w:w="360" w:type="dxa"/>
            <w:vAlign w:val="bottom"/>
          </w:tcPr>
          <w:p>
            <w:pPr>
              <w:spacing w:after="0"/>
              <w:rPr>
                <w:sz w:val="20"/>
                <w:szCs w:val="20"/>
                <w:color w:val="auto"/>
              </w:rPr>
            </w:pPr>
          </w:p>
        </w:tc>
      </w:tr>
      <w:tr>
        <w:trPr>
          <w:trHeight w:val="216"/>
        </w:trPr>
        <w:tc>
          <w:tcPr>
            <w:tcW w:w="10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Conditions to Closing</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7.01  Conditions to Each Party’s Obligations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7.02  Additional Conditions to Obligations of Buyer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0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7.03  Additional Conditions to Obligations of Seller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7.04  Frustration of Closing Conditions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Termination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8.01</w:t>
            </w:r>
          </w:p>
        </w:tc>
        <w:tc>
          <w:tcPr>
            <w:tcW w:w="9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0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8.02  Effect of Termination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Indemnification</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9.01</w:t>
            </w:r>
          </w:p>
        </w:tc>
        <w:tc>
          <w:tcPr>
            <w:tcW w:w="9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0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9.02  Indemnification By Seller</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10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9.03  Indemnification By Buyer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38" w:name="page339"/>
    <w:bookmarkEnd w:id="338"/>
    <w:tbl>
      <w:tblPr>
        <w:tblLayout w:type="fixed"/>
        <w:tblInd w:w="0" w:type="dxa"/>
        <w:tblCellMar>
          <w:top w:w="0" w:type="dxa"/>
          <w:left w:w="0" w:type="dxa"/>
          <w:bottom w:w="0" w:type="dxa"/>
          <w:right w:w="0" w:type="dxa"/>
        </w:tblCellMar>
      </w:tblPr>
      <w:tr>
        <w:trPr>
          <w:trHeight w:val="216"/>
        </w:trPr>
        <w:tc>
          <w:tcPr>
            <w:tcW w:w="1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9.04</w:t>
            </w:r>
          </w:p>
        </w:tc>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Limitations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9.05</w:t>
            </w: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 on Environmental Indemnification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9.06</w:t>
            </w:r>
          </w:p>
        </w:tc>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9.07</w:t>
            </w: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9.08</w:t>
            </w:r>
          </w:p>
        </w:tc>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Treatment of Indemnification Payments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9.09</w:t>
            </w: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Investigation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9.10</w:t>
            </w:r>
          </w:p>
        </w:tc>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Exclusive Remedies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10.01</w:t>
            </w:r>
          </w:p>
        </w:tc>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10.02</w:t>
            </w: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10.03</w:t>
            </w:r>
          </w:p>
        </w:tc>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Interpretation</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10.04</w:t>
            </w: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Headings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10.05</w:t>
            </w:r>
          </w:p>
        </w:tc>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10.06</w:t>
            </w: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10.07</w:t>
            </w:r>
          </w:p>
        </w:tc>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Seller Disclosure Schedules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10.08</w:t>
            </w: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 and Assigns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10.09</w:t>
            </w:r>
          </w:p>
        </w:tc>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10.10</w:t>
            </w: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and Modification; Waiver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10.11</w:t>
            </w:r>
          </w:p>
        </w:tc>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Governing Law; Submission to Jurisdiction; Waiver of Jury Trial.</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10.12</w:t>
            </w: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Specific Performance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5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10.13</w:t>
            </w:r>
          </w:p>
        </w:tc>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Bill of Sale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Assignment and Assumption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Third Party Consents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Transition Services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 Allocation Methodology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 – Working Capital Calculation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 – 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 – Inventory Valuation Principles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sectPr>
      </w:pPr>
    </w:p>
    <w:bookmarkStart w:id="339" w:name="page340"/>
    <w:bookmarkEnd w:id="339"/>
    <w:p>
      <w:pPr>
        <w:jc w:val="center"/>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Asset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April 26, 2022, is entered into by and among (i) Friedman Industries, Incorporated, a Texas corporation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(ii) Plateplus Inc., a Delaware corporation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(iii) the sole stockholder of Seller (the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with Seller, the “</w:t>
      </w:r>
      <w:r>
        <w:rPr>
          <w:rFonts w:ascii="Times New Roman" w:cs="Times New Roman" w:eastAsia="Times New Roman" w:hAnsi="Times New Roman"/>
          <w:sz w:val="18"/>
          <w:szCs w:val="18"/>
          <w:u w:val="single" w:color="auto"/>
          <w:color w:val="auto"/>
        </w:rPr>
        <w:t>Seller Parties</w:t>
      </w:r>
      <w:r>
        <w:rPr>
          <w:rFonts w:ascii="Times New Roman" w:cs="Times New Roman" w:eastAsia="Times New Roman" w:hAnsi="Times New Roman"/>
          <w:sz w:val="18"/>
          <w:szCs w:val="18"/>
          <w:color w:val="auto"/>
        </w:rPr>
        <w:t>”). Buyer and each of Seller Parties may be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xml:space="preserve">”. Capitalized terms used in this Agreement have the meaning specified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Seller is engaged in the business of processing, sourcing, supplying, selling and distributing hot-rolled coil, sheet and plate steel and related products and providing related services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Seller wishes to sell and assign to Buyer, and Buyer wishes to purchase and assume from Seller, certain specified assets and certain specified liabilities of the Business as operated at Seller’s facilities in East Chicago, Indiana and Granite City, Illinois (collectively, the “</w:t>
      </w:r>
      <w:r>
        <w:rPr>
          <w:rFonts w:ascii="Times New Roman" w:cs="Times New Roman" w:eastAsia="Times New Roman" w:hAnsi="Times New Roman"/>
          <w:sz w:val="18"/>
          <w:szCs w:val="18"/>
          <w:u w:val="single" w:color="auto"/>
          <w:color w:val="auto"/>
        </w:rPr>
        <w:t>Acquired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Facilities</w:t>
      </w:r>
      <w:r>
        <w:rPr>
          <w:rFonts w:ascii="Times New Roman" w:cs="Times New Roman" w:eastAsia="Times New Roman" w:hAnsi="Times New Roman"/>
          <w:sz w:val="18"/>
          <w:szCs w:val="18"/>
          <w:color w:val="auto"/>
        </w:rPr>
        <w:t>”), subject to the terms and conditions set forth 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following terms have the meanings specified or referred to in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Facilities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claim, action, cause of action, demand, lawsuit, arbitration, inquiry, audit, examination, notice of violation, proceeding, litigation, citation, summons, subpoena or investigation of any nature, civil, criminal, administrative, regulatory or otherwise, whether at law or in equity.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Accounting Principles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40" w:name="page341"/>
    <w:bookmarkEnd w:id="34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Methodology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 Schedule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Documents</w:t>
      </w:r>
      <w:r>
        <w:rPr>
          <w:rFonts w:ascii="Times New Roman" w:cs="Times New Roman" w:eastAsia="Times New Roman" w:hAnsi="Times New Roman"/>
          <w:sz w:val="18"/>
          <w:szCs w:val="18"/>
          <w:color w:val="auto"/>
        </w:rPr>
        <w:t>” means the Bill of Sale, the Assignment and Assumption Agreement, the Real Property Deeds, the Transition Services Agreement and the other agreements, instruments and documents required to be delivered at the Closing.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Assigned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or any other day on which commercial banks located in Houston, Texas are authorized or required by Law to be closed for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IT Systems</w:t>
      </w:r>
      <w:r>
        <w:rPr>
          <w:rFonts w:ascii="Times New Roman" w:cs="Times New Roman" w:eastAsia="Times New Roman" w:hAnsi="Times New Roman"/>
          <w:sz w:val="18"/>
          <w:szCs w:val="18"/>
          <w:color w:val="auto"/>
        </w:rPr>
        <w:t>” means all Software, computer hardware, servers, networks, platforms, peripherals, and similar or related items of automated, computerized, or other information technology (IT) networks and systems (including telecommunications networks and systems for voice, data, and video) owned, leased, licensed, or used (including through cloud-based or other third-party service providers) in the conduct of the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(Organization of Buyer),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(Authority of Buyer),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(Brokers) and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(Capitalization; Buyer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Savings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1" w:name="page342"/>
    <w:bookmarkEnd w:id="34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 Stock</w:t>
      </w:r>
      <w:r>
        <w:rPr>
          <w:rFonts w:ascii="Times New Roman" w:cs="Times New Roman" w:eastAsia="Times New Roman" w:hAnsi="Times New Roman"/>
          <w:sz w:val="18"/>
          <w:szCs w:val="18"/>
          <w:color w:val="auto"/>
        </w:rPr>
        <w:t>” means the common stock of Buyer, par value $0.01.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Working Capital</w:t>
      </w:r>
      <w:r>
        <w:rPr>
          <w:rFonts w:ascii="Times New Roman" w:cs="Times New Roman" w:eastAsia="Times New Roman" w:hAnsi="Times New Roman"/>
          <w:sz w:val="18"/>
          <w:szCs w:val="18"/>
          <w:color w:val="auto"/>
        </w:rPr>
        <w:t>” means: zero minus Current Liabilities of Seller, determined as of the Closing Date, in each case calculated in accordance with the Agreed Accounting Principles.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Working Capital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Mutual Confidentiality Agreement, dated as of September 4, 2020, between Buyer and Seller.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means all contracts, leases, deeds, mortgages, licenses, instruments, notes, commitments, undertakings, indentures, joint ventures and all other agreements, commitments and legally binding arrangements, whether written or oral.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Liabilities</w:t>
      </w:r>
      <w:r>
        <w:rPr>
          <w:rFonts w:ascii="Times New Roman" w:cs="Times New Roman" w:eastAsia="Times New Roman" w:hAnsi="Times New Roman"/>
          <w:sz w:val="18"/>
          <w:szCs w:val="18"/>
          <w:color w:val="auto"/>
        </w:rPr>
        <w:t xml:space="preserve">” means the accounts payable of the Business conducted at or by the Acquired Facilities included in the line items set forth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 each case only to the extent assumed pursuant to the terms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 Minimis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delivered by Seller and Buyer concurrently with the execution and delivery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2.06(c)(iii)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 or $</w:t>
      </w:r>
      <w:r>
        <w:rPr>
          <w:rFonts w:ascii="Times New Roman" w:cs="Times New Roman" w:eastAsia="Times New Roman" w:hAnsi="Times New Roman"/>
          <w:sz w:val="18"/>
          <w:szCs w:val="18"/>
          <w:color w:val="auto"/>
        </w:rPr>
        <w:t>” means the lawful currency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2" w:name="page343"/>
    <w:bookmarkEnd w:id="34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Attributes</w:t>
      </w:r>
      <w:r>
        <w:rPr>
          <w:rFonts w:ascii="Times New Roman" w:cs="Times New Roman" w:eastAsia="Times New Roman" w:hAnsi="Times New Roman"/>
          <w:sz w:val="18"/>
          <w:szCs w:val="18"/>
          <w:color w:val="auto"/>
        </w:rPr>
        <w:t>” means any emissions and renewable energy credits, energy conservation credits, benefits, offsets and allowances, emission reduction credits or words of similar import or regulatory effect (including emissions reduction credits or allowances under all applicable emission trading, compliance or budget programs, or any other federal, state or regional emission, renewable energy or energy conservation trading or budget program) that have been held, allocated to or acquired for the development, construction, ownership, lease, operation, use or maintenance of the Acquired Facilities as of: (a) the date of this Agreement; and (b) future years for which allocations have been established and are in effect as of the date of this Agreement.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Claim</w:t>
      </w:r>
      <w:r>
        <w:rPr>
          <w:rFonts w:ascii="Times New Roman" w:cs="Times New Roman" w:eastAsia="Times New Roman" w:hAnsi="Times New Roman"/>
          <w:sz w:val="18"/>
          <w:szCs w:val="18"/>
          <w:color w:val="auto"/>
        </w:rPr>
        <w:t>” means any Action, Governmental Order, lien, fine, penalty, or, as to each, any settlement or judgment arising therefrom, by or from any 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or exposure to, any Hazardous Materials; or (b) any actual or alleged non-compliance with any Environmental Law or term or condition of any Environmental Permit.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applicable Law, and any Governmental Order or binding agreement with any Governmental Authority:</w:t>
      </w:r>
    </w:p>
    <w:p>
      <w:pPr>
        <w:spacing w:after="0" w:line="27" w:lineRule="exact"/>
        <w:rPr>
          <w:sz w:val="20"/>
          <w:szCs w:val="20"/>
          <w:color w:val="auto"/>
        </w:rPr>
      </w:pPr>
    </w:p>
    <w:p>
      <w:pPr>
        <w:jc w:val="both"/>
        <w:ind w:firstLine="8"/>
        <w:spacing w:after="0" w:line="251" w:lineRule="auto"/>
        <w:tabs>
          <w:tab w:leader="none" w:pos="26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pollution (or the cleanup thereof) or the protection of natural resources, endangered or threatened species, or the environment (including ambient air, soil, surface water or groundwater, or subsurface strata); or (b) concerning the presence of, human exposure to, or the management, manufacture, use, containment, storage, recycling, reclamation, reuse, treatment, generation, discharge, transportation, processing, production, disposal or remediation of any Hazardous Materials. The term “Environmental Law” includes, without limitation, the following to the extent applicable (including their implementing regulations and any state analogs): the Comprehensive Environmental Response, Compensation, and Liability Act of 1980, as amended by the Superfund Amendments and Reauthorization Act of 1986, 42 U.S.C. §§ 9601 et seq.; the Solid Waste Disposal Act, as amended by the Resource Conservation and Recovery Act of 1976, as amended by the Hazardous and Solid Waste Amendments of 1984, 42 U.S.C. §§ 6901 et seq.; the Federal Water Pollution Control Act of 1972, as amended by the Clean Water Act of 1977, 33 U.S.C. §§ 1251 et seq.; the Toxic Substances Control Act of 1976, as amended, 15 U.S.C. §§ 2601 et seq.; the Emergency Planning and Community Right-to-Know Act of 1986, 42 U.S.C. §§ 11001 et seq.; the Clean Air Act of 1966, as amended by the Clean Air Act Amendments of 1990, 42 U.S.C. §§ 7401 et seq.; and (to the extent it addresses Hazardous Materials) the Occupational Safety and Health Act of 1970, as amended, 29 U.S.C. §§ 651 et seq.</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Notice</w:t>
      </w:r>
      <w:r>
        <w:rPr>
          <w:rFonts w:ascii="Times New Roman" w:cs="Times New Roman" w:eastAsia="Times New Roman" w:hAnsi="Times New Roman"/>
          <w:sz w:val="18"/>
          <w:szCs w:val="18"/>
          <w:color w:val="auto"/>
        </w:rPr>
        <w:t>” means any written directive, notice of violation or infraction, or notice respecting any Environmental Claim relating to actual or alleged non-compliance with any Environmental Law or any term or condition of any Environmental Permit.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required under or issued, granted, given, authorized by or made pursuant to Environmental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regulations promulgated thereunder.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3" w:name="page344"/>
    <w:bookmarkEnd w:id="3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employer or other Person (whether or not incorporated) that, together with Seller or any of its Affiliates, as of any date during the six-year period immediately preceding the Closing Date, was or is required to be treated as a single employer under Section 414 of the Code or Section 4001 of ERISA.</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u w:val="single" w:color="auto"/>
          <w:color w:val="auto"/>
        </w:rPr>
        <w:t>Error! Reference source not found.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Closing Working Capital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u w:val="single" w:color="auto"/>
          <w:color w:val="auto"/>
        </w:rPr>
        <w:t>Error! Reference source not found.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Environmental Liabilities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 Liabilities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Surveys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Title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in effect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Order</w:t>
      </w:r>
      <w:r>
        <w:rPr>
          <w:rFonts w:ascii="Times New Roman" w:cs="Times New Roman" w:eastAsia="Times New Roman" w:hAnsi="Times New Roman"/>
          <w:sz w:val="18"/>
          <w:szCs w:val="18"/>
          <w:color w:val="auto"/>
        </w:rPr>
        <w:t>” means any order, writ, judgment, injunction, decree, stipulation, determination or award entered by or with any Governmental Authority.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 any material, substance, chemical, waste, product, derivative, compound, mixture, solid, liquid, mineral or gas, in each case, whether naturally occurring or manmade, that is regulated by or which forms the basis of Liabilities pursuant to Environmental Laws; and</w:t>
      </w:r>
    </w:p>
    <w:p>
      <w:pPr>
        <w:ind w:right="20" w:firstLine="8"/>
        <w:spacing w:after="0" w:line="260" w:lineRule="auto"/>
        <w:tabs>
          <w:tab w:leader="none" w:pos="279"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petroleum or petroleum-derived products, radon, radioactive materials or wastes, asbestos in any form, lead or lead-containing materials, urea formaldehyde foam insulation and polychlorinated biphenyls.</w:t>
      </w:r>
    </w:p>
    <w:p>
      <w:pPr>
        <w:spacing w:after="0" w:line="18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4" w:name="page345"/>
    <w:bookmarkEnd w:id="3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Improvements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2.06(c)(iii)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any and all rights in, arising out of, or associated with any of the following in any jurisdiction throughout the world:</w:t>
      </w:r>
    </w:p>
    <w:p>
      <w:pPr>
        <w:spacing w:after="0" w:line="27" w:lineRule="exact"/>
        <w:rPr>
          <w:sz w:val="20"/>
          <w:szCs w:val="20"/>
          <w:color w:val="auto"/>
        </w:rPr>
      </w:pPr>
    </w:p>
    <w:p>
      <w:pPr>
        <w:jc w:val="both"/>
        <w:ind w:firstLine="8"/>
        <w:spacing w:after="0" w:line="250" w:lineRule="auto"/>
        <w:tabs>
          <w:tab w:leader="none" w:pos="25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designs, issued patents and patent applications (whether provisional or non-provisional), including divisionals, continuations, continuations-in-part, substitutions, reissues, reexaminations, extensions, or restorations of any of the foregoing, and other Governmental Authority-issued indicia of invention ownership (including certificates of invention, petty patents, and patent utility models)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trademarks, service marks, brands, certification marks, logos, trade dress, trade names, and other similar indicia of source or origin, together with the goodwill connected with the use of and symbolized by, and all registrations, applications for registration, and renewals of, any of the foregoing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(c) copyrights and works of authorship, whether or not copyrightable, and all registrations, applications for registration, and renewals of any of the foregoing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jc w:val="both"/>
        <w:ind w:firstLine="8"/>
        <w:spacing w:after="0" w:line="265" w:lineRule="auto"/>
        <w:tabs>
          <w:tab w:leader="none" w:pos="259"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internet domain names and social media account or user names (including “handles”), whether or not Trademarks, all associated web addresses, URLs, websites and web pages, social media sites and pages, and all content and data thereon or relating thereto, whether or not Copyrights; (e) trade secrets, know-how, inventions (whether or not patentable), discoveries, improvements, technology, business and technical information, databases, data compilations and collections, tools, methods, processes, techniques, and other confidential and proprietary information and all rights therein (“</w:t>
      </w:r>
      <w:r>
        <w:rPr>
          <w:rFonts w:ascii="Times New Roman" w:cs="Times New Roman" w:eastAsia="Times New Roman" w:hAnsi="Times New Roman"/>
          <w:sz w:val="17"/>
          <w:szCs w:val="17"/>
          <w:u w:val="single" w:color="auto"/>
          <w:color w:val="auto"/>
        </w:rPr>
        <w:t>Trade Secrets</w:t>
      </w:r>
      <w:r>
        <w:rPr>
          <w:rFonts w:ascii="Times New Roman" w:cs="Times New Roman" w:eastAsia="Times New Roman" w:hAnsi="Times New Roman"/>
          <w:sz w:val="17"/>
          <w:szCs w:val="17"/>
          <w:color w:val="auto"/>
        </w:rPr>
        <w:t>”);</w:t>
      </w:r>
    </w:p>
    <w:p>
      <w:pPr>
        <w:jc w:val="both"/>
        <w:ind w:firstLine="8"/>
        <w:spacing w:after="0" w:line="255" w:lineRule="auto"/>
        <w:tabs>
          <w:tab w:leader="none" w:pos="264"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programs, operating systems, applications, firmware and other code, including all source code, object code, application programming interfaces, data files, databases, protocols, specifications, and other documentation thereof (“</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(g) rights of publicity; and (h) all other intellectual or industrial property and proprietary rights.</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Agreements</w:t>
      </w:r>
      <w:r>
        <w:rPr>
          <w:rFonts w:ascii="Times New Roman" w:cs="Times New Roman" w:eastAsia="Times New Roman" w:hAnsi="Times New Roman"/>
          <w:sz w:val="18"/>
          <w:szCs w:val="18"/>
          <w:color w:val="auto"/>
        </w:rPr>
        <w:t>” means all licenses, sublicenses, consent to use agreements, settlements, coexistence agreements, covenants not to sue, waivers, releases, permissions and other Contracts, whether written or oral, relating to any Intellectual Property that is used or held for use in the conduct of the Business as currently conducted or proposed to be conducted to which Seller is a party or otherwise bound.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Assets</w:t>
      </w:r>
      <w:r>
        <w:rPr>
          <w:rFonts w:ascii="Times New Roman" w:cs="Times New Roman" w:eastAsia="Times New Roman" w:hAnsi="Times New Roman"/>
          <w:sz w:val="18"/>
          <w:szCs w:val="18"/>
          <w:color w:val="auto"/>
        </w:rPr>
        <w:t>” means all Intellectual Property that is owned by Seller and exclusively or primarily used or held for use in the conduct of the Business as currently conducted or proposed to be conducted, together with all (i) royalties, fees, income, payments, and other proceeds now or hereafter due or payable to Seller with respect to such Intellectual Property; and (ii) claims and causes of action with respect to such Intellectual Property, whether accruing before, on, or after the date hereof/accruing on or after the date hereof, including all rights to and claims for damages, restitution, and injunctive and other legal or equitable relief for past, present, or future infringement, misappropriation, or other violation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5" w:name="page346"/>
    <w:bookmarkEnd w:id="34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Registrations</w:t>
      </w:r>
      <w:r>
        <w:rPr>
          <w:rFonts w:ascii="Times New Roman" w:cs="Times New Roman" w:eastAsia="Times New Roman" w:hAnsi="Times New Roman"/>
          <w:sz w:val="18"/>
          <w:szCs w:val="18"/>
          <w:color w:val="auto"/>
        </w:rPr>
        <w:t>” means all Intellectual Property Assets that are subject to any issuance, registration, or application by or with any Governmental Authority or authorized private registrar in any jurisdiction, including issued Patents, registered Trademarks, domain names and Copyrights, and pending applications for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 Facilities</w:t>
      </w:r>
      <w:r>
        <w:rPr>
          <w:rFonts w:ascii="Times New Roman" w:cs="Times New Roman" w:eastAsia="Times New Roman" w:hAnsi="Times New Roman"/>
          <w:sz w:val="18"/>
          <w:szCs w:val="18"/>
          <w:color w:val="auto"/>
        </w:rPr>
        <w:t>” means Seller’s facilities located in Houston, Texas, and Loudon, Tennessee.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Inventory Valuation Principles</w:t>
      </w:r>
      <w:r>
        <w:rPr>
          <w:rFonts w:ascii="Times New Roman" w:cs="Times New Roman" w:eastAsia="Times New Roman" w:hAnsi="Times New Roman"/>
          <w:sz w:val="18"/>
          <w:szCs w:val="18"/>
          <w:color w:val="auto"/>
        </w:rPr>
        <w:t xml:space="preserve">” means the principles set forth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Issued Buyer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(a) in the case Buyer, the knowledge that the following individuals have after making due inquiry: Mike Taylor and Alex LaRue, and (b) in the case of Seller, the knowledge that the following individuals have after making due inquiry: Akito Nakamura, Kota Ikeuchi or Rick Dougherty.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ordinance, regulation, rule, code, order, constitution, treaty, common law, judgment, decree, other requirement or rule of law of any Governmental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liabilities, obligations or commitments of any nature whatsoever, asserted or unasserted, known or unknown, absolute or contingent, accrued or unaccrued, matured or unmatured or otherwise.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Intellectual Property</w:t>
      </w:r>
      <w:r>
        <w:rPr>
          <w:rFonts w:ascii="Times New Roman" w:cs="Times New Roman" w:eastAsia="Times New Roman" w:hAnsi="Times New Roman"/>
          <w:sz w:val="18"/>
          <w:szCs w:val="18"/>
          <w:color w:val="auto"/>
        </w:rPr>
        <w:t>” means all Intellectual Property not owned by Seller but in which Seller holds any rights or interests granted by other Persons, including any of Seller’s Affiliates, that is exclusively or primarily used or held for use in the conduct of the Business as currently conducted or proposed to be conducted.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means losses, damages, liabilities, deficiencies, Actions, judgments, interest, awards, Taxes, penalties, fines, costs or expenses of whatever kind, including reasonable attorneys’ fees and the cost of enforcing any right to indemnification hereunder and the cost of pursuing any insurance providers;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“Losses” shall not include consequential or punitive damages except to the extent actually awarded to a Governmental Authority or other third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6" w:name="page347"/>
    <w:bookmarkEnd w:id="346"/>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event, occurrence, fact, condition, change or effect that is, or could reasonably be expected to become, individually or in the aggregate, materially adverse to (a) the business, results of operations, condition (financial or otherwise) or assets of the Business,</w:t>
      </w:r>
    </w:p>
    <w:p>
      <w:pPr>
        <w:jc w:val="both"/>
        <w:ind w:firstLine="8"/>
        <w:spacing w:after="0" w:line="250" w:lineRule="auto"/>
        <w:tabs>
          <w:tab w:leader="none" w:pos="273"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value of the Purchased Assets, or (c) the ability of Seller to consummate the transactions contemplated hereby on a timely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“Material Adverse Effect” shall not include any event, occurrence, fact, condition, change or effect, directly or indirectly, arising out of or attributable to:</w:t>
      </w:r>
    </w:p>
    <w:p>
      <w:pPr>
        <w:ind w:left="260" w:hanging="252"/>
        <w:spacing w:after="0"/>
        <w:tabs>
          <w:tab w:leader="none" w:pos="26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economic or political conditions; (ii) conditions generally affecting the industries (or segments) in which the Business operates;</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319"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changes in financial, credit or securities markets in general in the United States (or in any other country in the world); (iv) acts of war (whether or not declared), armed hostilities or terrorism, or the escalation or worsening thereof; (v) earthquakes, hurricanes, tornadoes, floods, or other natural disasters, weather conditions, epidemics, pandemics or disease outbreak (excluding COVID-19); (vi) any failure by the Business to meet budgets, plans, projections, or forecasts (whether internal or otherwise) for any period (it being understood that the underlying cause of the failure to meet such budgets, plans, projections, or forecasts may be taken into account in determining whether a Material Adverse Effect has occurred to the extent not otherwise excluded by this definition); (vii) any action required or permitted by this Agreement, except pursuant to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(viii) any changes in applicable Laws or accounting rules, including GAAP; or (ix) the public announcement, pendency or completion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any event, occurrence, fact, condition or change referred to in clauses (i) through (v) immediately above shall be taken into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determining whether a Material Adverse Effect has occurred or could reasonably be expected to occur to the extent that such event, occurrence, fact, condition or change has a disproportionate effect on the Business compared to other participants in the industries in which the Business operates.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Exception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Surveys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License</w:t>
      </w:r>
      <w:r>
        <w:rPr>
          <w:rFonts w:ascii="Times New Roman" w:cs="Times New Roman" w:eastAsia="Times New Roman" w:hAnsi="Times New Roman"/>
          <w:sz w:val="18"/>
          <w:szCs w:val="18"/>
          <w:color w:val="auto"/>
        </w:rPr>
        <w:t>” means any license that is approved by the Open Source Initiative and listed at http://www.opensource.org/licenses or the Free Software Foundation and listed at https://www.gnu.org/licenses/license-list.en.html, and any similar license for “free,” “publicly available” or “open source” software, including the Affero General Public License, Server Side Public License (SSPL), GNU General Public License, the Lesser GNU General Public License, the Apache License, the BSD License, Mozilla Public License (MPL), the MIT License, the Open Software License (OSL), or any other similar licenses and arrangements that require disclosure of source code or require derivative works based on such licensed Software to be made publicly available under the same license.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xml:space="preserve">” means the ordinary course of business of Seller consistent with past practice in the operation of the business of Seller during calendar year 2021;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violations of Law or of contractual rights of third parties will not be considered the ordinary course of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7" w:name="page348"/>
    <w:bookmarkEnd w:id="34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means the Transferred Employees’ accrued vacation, sick, holiday or other paid time off.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have the meanings set forth in the preamble.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permits, licenses, franchises, approvals, authorizations, registrations, certificates, variances and similar rights obtained, or required to be obtained, from Governmental Authorities.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joint venture, limited liability company, Governmental Authority, unincorporated organization, trust, association or other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Adjustment</w:t>
      </w:r>
      <w:r>
        <w:rPr>
          <w:rFonts w:ascii="Times New Roman" w:cs="Times New Roman" w:eastAsia="Times New Roman" w:hAnsi="Times New Roman"/>
          <w:sz w:val="18"/>
          <w:szCs w:val="18"/>
          <w:color w:val="auto"/>
        </w:rPr>
        <w:t xml:space="preserve">” shall mean the adjustment to the Purchase Price to be made pursuant to </w:t>
      </w:r>
      <w:r>
        <w:rPr>
          <w:rFonts w:ascii="Times New Roman" w:cs="Times New Roman" w:eastAsia="Times New Roman" w:hAnsi="Times New Roman"/>
          <w:sz w:val="18"/>
          <w:szCs w:val="18"/>
          <w:u w:val="single" w:color="auto"/>
          <w:color w:val="auto"/>
        </w:rPr>
        <w:t>Section 2.06(b)(ii)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Period</w:t>
      </w:r>
      <w:r>
        <w:rPr>
          <w:rFonts w:ascii="Times New Roman" w:cs="Times New Roman" w:eastAsia="Times New Roman" w:hAnsi="Times New Roman"/>
          <w:sz w:val="18"/>
          <w:szCs w:val="18"/>
          <w:color w:val="auto"/>
        </w:rPr>
        <w:t>” means any taxable period ending on or before the Closing Date and, with respect to any taxable period beginning on or before and ending after the Closing Date, the portion of such taxable period ending on and including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Assets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RCG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Deeds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3.02(iii)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4.10(g)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spilling, leaking, pumping, pouring, emitting, emptying, discharging, injecting, escaping, leaching, dumping, or disposing into the environment (including, without limitation, ambient air (indoor or outdoor), surface water, groundwater, land surface or subsurface strata).</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any Person, any and all directors, officers, employees, consultants, financial advisors, counsel, accountants and other agents of such Person.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8" w:name="page349"/>
    <w:bookmarkEnd w:id="34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Entities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Products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2.06(c)(i)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Fundamental Representation</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(Organization and Qualification of Seller),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(Authority of Seller),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(Title to Purchased Assets),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(Taxes) and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(Brokers).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Indemnifying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Parties</w:t>
      </w:r>
      <w:r>
        <w:rPr>
          <w:rFonts w:ascii="Times New Roman" w:cs="Times New Roman" w:eastAsia="Times New Roman" w:hAnsi="Times New Roman"/>
          <w:sz w:val="18"/>
          <w:szCs w:val="18"/>
          <w:color w:val="auto"/>
        </w:rPr>
        <w:t>” has the meanings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 Savings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Statement of Objections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(a) fifty percent (50%) or more of the voting stock (or any other form of voting or controlling equity interest in the case of a Person that is not a corporation) of which is beneficially owned by such Person directly or indirectly through one or more other Persons or (b) for whom such Person acts as general partner or otherwise controls the board of directors or other governing body.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Survey Certificates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Personal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w:t>
      </w:r>
      <w:r>
        <w:rPr>
          <w:rFonts w:ascii="Times New Roman" w:cs="Times New Roman" w:eastAsia="Times New Roman" w:hAnsi="Times New Roman"/>
          <w:sz w:val="17"/>
          <w:szCs w:val="17"/>
          <w:color w:val="auto"/>
        </w:rPr>
        <w:t>” means any return, declaration, report, form, notice, election, filing, claim for refund, information return, statement or other document (whether in written, electronic or other form) relating to Taxes, including any schedule or attachment thereto, and including any amendment thereof.</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9" w:name="page350"/>
    <w:bookmarkEnd w:id="34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non-U.S. taxes and other charges, fees, duties (including customs duty), levies or assessments (however denominated) that are imposed, collected or assessed by a Governmental Authority, including, but not limited to, any income, gross receipts, sales, use, production, ad valorem, transfer, documentary, franchise, registration, profits, license, lease, service, service use, withholding, payroll, employment, unemployment, estimated, excise, escheat, abandoned or unclaimed property, severance, environmental, stamp, occupation, premium, property (real or personal), real property gains, windfall profits, customs, duties or other taxes, fees, assessments or charges of any kind whatsoever, together with any interest, additions or penalties with respect thereto and any interest in respect of such additions or penalties.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Commitment(s)</w:t>
      </w:r>
      <w:r>
        <w:rPr>
          <w:rFonts w:ascii="Times New Roman" w:cs="Times New Roman" w:eastAsia="Times New Roman" w:hAnsi="Times New Roman"/>
          <w:sz w:val="18"/>
          <w:szCs w:val="18"/>
          <w:color w:val="auto"/>
        </w:rPr>
        <w:t>” means a written commitment by the Title Company for issuance to Buyer (or such Affiliate of Buyer as Buyer shall designate) for the issuance of a 2021 ALTA OWNER’S POLICY, in the case of Owned Real Property, as such commitments may from time to time be amended in each case together with best available copies of all documents constituting exceptions associated with items appearing in Schedule B-II of such commitments.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Company</w:t>
      </w:r>
      <w:r>
        <w:rPr>
          <w:rFonts w:ascii="Times New Roman" w:cs="Times New Roman" w:eastAsia="Times New Roman" w:hAnsi="Times New Roman"/>
          <w:sz w:val="18"/>
          <w:szCs w:val="18"/>
          <w:color w:val="auto"/>
        </w:rPr>
        <w:t>” means Chicago Title Insurance Company or Fidelity National Title Insurance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Endorsements Requested by Buyer</w:t>
      </w:r>
      <w:r>
        <w:rPr>
          <w:rFonts w:ascii="Times New Roman" w:cs="Times New Roman" w:eastAsia="Times New Roman" w:hAnsi="Times New Roman"/>
          <w:sz w:val="18"/>
          <w:szCs w:val="18"/>
          <w:color w:val="auto"/>
        </w:rPr>
        <w:t>” means access, zoning, comprehensive, non-imputation, contiguity endorsements and any other endorsement requested by Buyer in connection with Buyer’s review of title and survey.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Objection Letter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Objection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Policy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3.02(a)(iv)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Employee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means that certain Transition Services Agreement by and between Buyer and Seller,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TSA 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6.03(a)(ii)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Undisputed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2.06(c)(iii)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federal Worker Adjustment and Retraining Notification Act of 1988, and similar state, local and foreign Laws related to plant closings, relocations, mass layoffs and employment losses.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0" w:name="page351"/>
    <w:bookmarkEnd w:id="350"/>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2.01 Purchase and Sale of Assets</w:t>
      </w:r>
      <w:r>
        <w:rPr>
          <w:rFonts w:ascii="Times New Roman" w:cs="Times New Roman" w:eastAsia="Times New Roman" w:hAnsi="Times New Roman"/>
          <w:sz w:val="18"/>
          <w:szCs w:val="18"/>
          <w:color w:val="auto"/>
        </w:rPr>
        <w:t>. Subject to the terms and conditions set forth herein, at the Closing, Seller shall sell, assign,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convey and deliver to Buyer, and Buyer shall purchase from Seller, free and clear of any Encumbrances other than Permitted Encumbrances, all of Seller’s right, title and interest in, to and under all of the assets, properties and rights of every kind and nature, whether real, personal or mixed, tangible or intangible (including goodwill), whether now existing or hereafter acquired (other than the Excluded Assets), which (i) primarily relate to, or (ii) are used or held for use in connection with, the operation of the Business at or by the Acquired Facilities (collectively, the “</w:t>
      </w:r>
      <w:r>
        <w:rPr>
          <w:rFonts w:ascii="Times New Roman" w:cs="Times New Roman" w:eastAsia="Times New Roman" w:hAnsi="Times New Roman"/>
          <w:sz w:val="18"/>
          <w:szCs w:val="18"/>
          <w:u w:val="single" w:color="auto"/>
          <w:color w:val="auto"/>
        </w:rPr>
        <w:t>Purchased Assets</w:t>
      </w:r>
      <w:r>
        <w:rPr>
          <w:rFonts w:ascii="Times New Roman" w:cs="Times New Roman" w:eastAsia="Times New Roman" w:hAnsi="Times New Roman"/>
          <w:sz w:val="18"/>
          <w:szCs w:val="18"/>
          <w:color w:val="auto"/>
        </w:rPr>
        <w:t>”), including, without limitation, the following:</w:t>
      </w:r>
    </w:p>
    <w:p>
      <w:pPr>
        <w:spacing w:after="0" w:line="186" w:lineRule="exact"/>
        <w:rPr>
          <w:sz w:val="20"/>
          <w:szCs w:val="20"/>
          <w:color w:val="auto"/>
        </w:rPr>
      </w:pPr>
    </w:p>
    <w:p>
      <w:pPr>
        <w:ind w:left="1680" w:hanging="376"/>
        <w:spacing w:after="0"/>
        <w:tabs>
          <w:tab w:leader="none" w:pos="168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5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inventory, finished goods, raw materials, work in progress, packaging, supplies, parts and other inventories located at or used primarily in the operations of the Acquired Facilities or the Inventory Facilities, including that listed on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of the Disclosure Schedules (as may be updated by Seller prior to Closing solely to reflect changes in the Ordinary Course of Business after the date of this Agreement)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93"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Contracts, including Intellectual Property Agreements, purchase orders for metal inventory and sales orders for products set forth on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of the Disclosure Schedules (as may be updated by Seller prior to Closing solely to reflect such new Contracts, agreements, purchase orders or sales orders as are entered into, amended or terminated in the Ordinary Course of Business after the date of this Agreement) (the “</w:t>
      </w:r>
      <w:r>
        <w:rPr>
          <w:rFonts w:ascii="Times New Roman" w:cs="Times New Roman" w:eastAsia="Times New Roman" w:hAnsi="Times New Roman"/>
          <w:sz w:val="18"/>
          <w:szCs w:val="18"/>
          <w:u w:val="single" w:color="auto"/>
          <w:color w:val="auto"/>
        </w:rPr>
        <w:t>Assigned Contracts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customer lists, customer history, and customer files;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69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know how, trade secrets and other Intellectual Property Assets primarily related to or used exclusively or primarily in connection with the Acquired Facilities or the Inventory Facilities;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8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 simple title in and to all Owned Real Property listed on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 xml:space="preserve"> of the Disclosure Schedules, and improvements thereon, together with all of Seller’s right, title and interest in and to any and all appurtenances, strips or gores, roads, easements, streets, alleys, drainage facilities and rights-of-way bounding the Owned Real Property; all utility capacity, utilities, water rights, oil, gas and mineral rights, all licenses, Permits, entitlements, consents and bonds, all rights of ingress and egress, and any and all other rights and benefits attributable to the Owned Real Property and improvements thereon;</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80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furniture; fixtures; equipment; machinery; tools; vehicles; office equipment; supplies; computers; telephones; compressors; engines; electrical systems, fixtures and equipment; plumbing fixtures, systems and equipment; heating and air conditioning fixtures, systems and equipment; maintenance equipment; security and fire alarms; replacement parts; building materials and other tangible personal property of every kind and character located at the Acquired Facilities, including that listed on </w:t>
      </w:r>
      <w:r>
        <w:rPr>
          <w:rFonts w:ascii="Times New Roman" w:cs="Times New Roman" w:eastAsia="Times New Roman" w:hAnsi="Times New Roman"/>
          <w:sz w:val="18"/>
          <w:szCs w:val="18"/>
          <w:u w:val="single" w:color="auto"/>
          <w:color w:val="auto"/>
        </w:rPr>
        <w:t>Section 2.01(g)</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u w:val="single" w:color="auto"/>
          <w:color w:val="auto"/>
        </w:rPr>
        <w:t>Tangible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7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leases (together with all rights, title and interest of Seller in and to leasehold improvements relating thereto, including, but not limited to, security deposits, reserves or prepaid rents paid in connection therewith) listed on </w:t>
      </w:r>
      <w:r>
        <w:rPr>
          <w:rFonts w:ascii="Times New Roman" w:cs="Times New Roman" w:eastAsia="Times New Roman" w:hAnsi="Times New Roman"/>
          <w:sz w:val="18"/>
          <w:szCs w:val="18"/>
          <w:u w:val="single" w:color="auto"/>
          <w:color w:val="auto"/>
        </w:rPr>
        <w:t>Section 2.01(h)</w:t>
      </w:r>
      <w:r>
        <w:rPr>
          <w:rFonts w:ascii="Times New Roman" w:cs="Times New Roman" w:eastAsia="Times New Roman" w:hAnsi="Times New Roman"/>
          <w:sz w:val="18"/>
          <w:szCs w:val="18"/>
          <w:color w:val="auto"/>
        </w:rPr>
        <w:t xml:space="preserve"> of the Disclosure Schedules;</w:t>
      </w:r>
    </w:p>
    <w:p>
      <w:pPr>
        <w:spacing w:after="0" w:line="1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1" w:name="page352"/>
    <w:bookmarkEnd w:id="351"/>
    <w:p>
      <w:pPr>
        <w:jc w:val="both"/>
        <w:ind w:firstLine="644"/>
        <w:spacing w:after="0" w:line="256" w:lineRule="auto"/>
        <w:tabs>
          <w:tab w:leader="none" w:pos="1059"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Permits, including Environmental Permits, which are held by Seller and required for the conduct of the Business as currently conducted at the Acquired Facilities, including, without limitation, those listed on </w:t>
      </w: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of the Disclosure Schedules, as well as all building permits and other permits or approvals heretofore granted by any Governmental Authority with respect to the construction and operation of the Owned Real Property and improvements thereon, and all bonds, warranties, licenses and permits relating to the construction, ownership, use, operation and occupancy of the Owned Real Property and/or the Leased Real Property, in each case to the extent transferable to Buyer;</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1144"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prepaid expenses, credits, advance payments, claims, security, refunds, rights of recovery, rights of set-off, rights of recoupment, deposits, charges, sums and fees (including any such item relating to the payment of Taxes), in each case set forth on </w:t>
      </w:r>
      <w:r>
        <w:rPr>
          <w:rFonts w:ascii="Times New Roman" w:cs="Times New Roman" w:eastAsia="Times New Roman" w:hAnsi="Times New Roman"/>
          <w:sz w:val="18"/>
          <w:szCs w:val="18"/>
          <w:u w:val="single" w:color="auto"/>
          <w:color w:val="auto"/>
        </w:rPr>
        <w:t>Section 2.01(j)</w:t>
      </w:r>
      <w:r>
        <w:rPr>
          <w:rFonts w:ascii="Times New Roman" w:cs="Times New Roman" w:eastAsia="Times New Roman" w:hAnsi="Times New Roman"/>
          <w:sz w:val="18"/>
          <w:szCs w:val="18"/>
          <w:color w:val="auto"/>
        </w:rPr>
        <w:t xml:space="preserve"> of the Disclosure Schedules (as may be updated by Seller prior to Closing solely to reflect changes in the Ordinary Course of Business after the date of this Agreement);</w:t>
      </w:r>
    </w:p>
    <w:p>
      <w:pPr>
        <w:spacing w:after="0" w:line="179" w:lineRule="exact"/>
        <w:rPr>
          <w:rFonts w:ascii="Times New Roman" w:cs="Times New Roman" w:eastAsia="Times New Roman" w:hAnsi="Times New Roman"/>
          <w:sz w:val="18"/>
          <w:szCs w:val="18"/>
          <w:color w:val="auto"/>
        </w:rPr>
      </w:pPr>
    </w:p>
    <w:p>
      <w:pPr>
        <w:ind w:left="1060" w:hanging="416"/>
        <w:spacing w:after="0"/>
        <w:tabs>
          <w:tab w:leader="none" w:pos="106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Seller’s rights under warranties, indemnities and all similar rights against third parties to the extent related to any Purchased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w:t>
      </w:r>
    </w:p>
    <w:p>
      <w:pPr>
        <w:spacing w:after="0" w:line="206" w:lineRule="exact"/>
        <w:rPr>
          <w:rFonts w:ascii="Times New Roman" w:cs="Times New Roman" w:eastAsia="Times New Roman" w:hAnsi="Times New Roman"/>
          <w:sz w:val="18"/>
          <w:szCs w:val="18"/>
          <w:color w:val="auto"/>
        </w:rPr>
      </w:pPr>
    </w:p>
    <w:p>
      <w:pPr>
        <w:jc w:val="both"/>
        <w:ind w:firstLine="644"/>
        <w:spacing w:after="0" w:line="253" w:lineRule="auto"/>
        <w:tabs>
          <w:tab w:leader="none" w:pos="109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originals, or where not available, copies, of all books and records, including, but not limited to, books of account, ledgers and general, financial and accounting records, machinery and equipment maintenance files, customer purchasing histories, price lists, distribution lists, supplier lists, production data, quality control records and procedures, customer complaints and inquiry files, research and development files, records and data (including all correspondence with any Governmental Authority), sales material and records (including pricing history, total sales, terms and conditions of sale, sales and pricing policies and practices), strategic plans, internal financial statements, marketing and promotional surveys, material and research and files relating to the Intellectual Property Assets and the Intellectual Property Agreements (“</w:t>
      </w:r>
      <w:r>
        <w:rPr>
          <w:rFonts w:ascii="Times New Roman" w:cs="Times New Roman" w:eastAsia="Times New Roman" w:hAnsi="Times New Roman"/>
          <w:sz w:val="18"/>
          <w:szCs w:val="18"/>
          <w:u w:val="single" w:color="auto"/>
          <w:color w:val="auto"/>
        </w:rPr>
        <w:t>Books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Records</w:t>
      </w:r>
      <w:r>
        <w:rPr>
          <w:rFonts w:ascii="Times New Roman" w:cs="Times New Roman" w:eastAsia="Times New Roman" w:hAnsi="Times New Roman"/>
          <w:sz w:val="18"/>
          <w:szCs w:val="18"/>
          <w:color w:val="auto"/>
        </w:rPr>
        <w:t xml:space="preserve">”), in each case exclusively or primarily arising from or relating to the Business at the Acquired Facilities, the Purchased Assets or the Assumed Liabilities;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Seller will be entitled to retain and use copies of such Books and Records where necessary to comply with any applicable Law or to satisfy Seller’s obligations under the Ancillary Documents, including the Transition Services Agreement, in connection with any Action, or in connection with the preparation of tax returns or financial statements or the administration of any Benefit Plans;</w:t>
      </w:r>
    </w:p>
    <w:p>
      <w:pPr>
        <w:spacing w:after="0" w:line="194" w:lineRule="exact"/>
        <w:rPr>
          <w:rFonts w:ascii="Times New Roman" w:cs="Times New Roman" w:eastAsia="Times New Roman" w:hAnsi="Times New Roman"/>
          <w:sz w:val="18"/>
          <w:szCs w:val="18"/>
          <w:color w:val="auto"/>
        </w:rPr>
      </w:pPr>
    </w:p>
    <w:p>
      <w:pPr>
        <w:ind w:left="1080" w:hanging="436"/>
        <w:spacing w:after="0"/>
        <w:tabs>
          <w:tab w:leader="none" w:pos="108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and the going concern value of the Business at the Acquired Facilities; and</w:t>
      </w:r>
    </w:p>
    <w:p>
      <w:pPr>
        <w:spacing w:after="0" w:line="225" w:lineRule="exact"/>
        <w:rPr>
          <w:rFonts w:ascii="Times New Roman" w:cs="Times New Roman" w:eastAsia="Times New Roman" w:hAnsi="Times New Roman"/>
          <w:sz w:val="18"/>
          <w:szCs w:val="18"/>
          <w:color w:val="auto"/>
        </w:rPr>
      </w:pPr>
    </w:p>
    <w:p>
      <w:pPr>
        <w:jc w:val="both"/>
        <w:ind w:right="20" w:firstLine="644"/>
        <w:spacing w:after="0" w:line="266" w:lineRule="auto"/>
        <w:tabs>
          <w:tab w:leader="none" w:pos="106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plans and specifications, site plans, soil and substrata studies, architectural drawings, floor plans and landscape plans relating to the Owned Real Property and/or the Leased Real Property and improvements thereon, as well as any and all construction Contracts, assigned service Contracts.</w:t>
      </w:r>
    </w:p>
    <w:p>
      <w:pPr>
        <w:spacing w:after="0" w:line="175"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52" w:name="page353"/>
    <w:bookmarkEnd w:id="352"/>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2.02 Excluded Assets</w:t>
      </w:r>
      <w:r>
        <w:rPr>
          <w:rFonts w:ascii="Times New Roman" w:cs="Times New Roman" w:eastAsia="Times New Roman" w:hAnsi="Times New Roman"/>
          <w:sz w:val="18"/>
          <w:szCs w:val="18"/>
          <w:color w:val="auto"/>
        </w:rPr>
        <w:t>. Notwithstanding the foregoing, the Purchased Assets shall not include the following assets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760" w:hanging="456"/>
        <w:spacing w:after="0"/>
        <w:tabs>
          <w:tab w:leader="none" w:pos="176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including Intellectual Property Agreements and derivative Contracts, that are not Assigned Contracts (the “</w:t>
      </w:r>
      <w:r>
        <w:rPr>
          <w:rFonts w:ascii="Times New Roman" w:cs="Times New Roman" w:eastAsia="Times New Roman" w:hAnsi="Times New Roman"/>
          <w:sz w:val="18"/>
          <w:szCs w:val="18"/>
          <w:u w:val="single" w:color="auto"/>
          <w:color w:val="auto"/>
        </w:rPr>
        <w:t>Excluded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receivable or notes receivable held by Seller, and any security, claim, remedy or other right related to any of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w:t>
      </w:r>
    </w:p>
    <w:p>
      <w:pPr>
        <w:spacing w:after="0" w:line="206"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properties and rights primarily related to Seller’s operations at its facility in Tulsa, Oklahoma;</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1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seals, organizational documents, minute books, stock books, Tax Returns, books of account or other records having to do with the corporate organization of Seller;</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718"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Owned Real Property, and/or the Leased Real Property, leases, and Tangible Personal Property located at or used in the operations of the Inventory Facilities other than such assets that are expressly included as Purchased Assets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benefit plans and programs of Seller and its Affiliates and assets attributable thereto;</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assets, properties and rights specifically set forth on </w:t>
      </w:r>
      <w:r>
        <w:rPr>
          <w:rFonts w:ascii="Times New Roman" w:cs="Times New Roman" w:eastAsia="Times New Roman" w:hAnsi="Times New Roman"/>
          <w:sz w:val="18"/>
          <w:szCs w:val="18"/>
          <w:u w:val="single" w:color="auto"/>
          <w:color w:val="auto"/>
        </w:rPr>
        <w:t>Section 2.02(g)</w:t>
      </w:r>
      <w:r>
        <w:rPr>
          <w:rFonts w:ascii="Times New Roman" w:cs="Times New Roman" w:eastAsia="Times New Roman" w:hAnsi="Times New Roman"/>
          <w:sz w:val="18"/>
          <w:szCs w:val="18"/>
          <w:color w:val="auto"/>
        </w:rPr>
        <w:t xml:space="preserve"> of the Disclosure Schedules;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benefits, including rights and proceeds, arising from or relating to the Business;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which accrue or will accrue to Seller under this Agreement and the Ancillary Documents; and</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and/or cash equivalents.</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2.03 Assumed Liabilities</w:t>
      </w:r>
      <w:r>
        <w:rPr>
          <w:rFonts w:ascii="Times New Roman" w:cs="Times New Roman" w:eastAsia="Times New Roman" w:hAnsi="Times New Roman"/>
          <w:sz w:val="18"/>
          <w:szCs w:val="18"/>
          <w:color w:val="auto"/>
        </w:rPr>
        <w:t>. Subject to the terms and conditions set forth herein, Buyer shall assume and agree to pay, perform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discharge only the following Liabilities of Seller (collectively, the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and no other Liabilities:</w:t>
      </w:r>
    </w:p>
    <w:p>
      <w:pPr>
        <w:spacing w:after="0" w:line="159" w:lineRule="exact"/>
        <w:rPr>
          <w:sz w:val="20"/>
          <w:szCs w:val="20"/>
          <w:color w:val="auto"/>
        </w:rPr>
      </w:pPr>
    </w:p>
    <w:p>
      <w:pPr>
        <w:jc w:val="both"/>
        <w:ind w:left="660" w:firstLine="644"/>
        <w:spacing w:after="0" w:line="261" w:lineRule="auto"/>
        <w:tabs>
          <w:tab w:leader="none" w:pos="169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trade accounts payable of Seller to third parties in connection with the Business at the Acquired Facilities that remain unpaid and are not delinquent as of the Closing Date and that are specifically listed on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of the Disclosure Schedules (as may be updated by Seller prior to Closing solely to reflect new accounts payable incurred after the date of this Agreement or payment of previously listed accounts payable);</w:t>
      </w:r>
    </w:p>
    <w:p>
      <w:pPr>
        <w:spacing w:after="0" w:line="179"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3" w:name="page354"/>
    <w:bookmarkEnd w:id="353"/>
    <w:p>
      <w:pPr>
        <w:jc w:val="both"/>
        <w:ind w:left="660" w:firstLine="644"/>
        <w:spacing w:after="0" w:line="266" w:lineRule="auto"/>
        <w:tabs>
          <w:tab w:leader="none" w:pos="1826"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in respect of the Assigned Contracts but only to the extent that such Liabilities thereunder are required to be performed after the Closing Date, were incurred in the Ordinary Course of Business and do not relate to any failure to perform, improper performance, warranty or other breach, default or violation by Seller on or prior to the Closing Date; and</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Liabilities of Seller set forth on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of the Disclosure Schedules.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2.04 Excluded Liabilities</w:t>
      </w:r>
      <w:r>
        <w:rPr>
          <w:rFonts w:ascii="Times New Roman" w:cs="Times New Roman" w:eastAsia="Times New Roman" w:hAnsi="Times New Roman"/>
          <w:sz w:val="18"/>
          <w:szCs w:val="18"/>
          <w:color w:val="auto"/>
        </w:rPr>
        <w:t>. Notwithstanding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provision in this Agreement 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 shall not assume and shall not be responsible to pay, perform or discharge any Liabilities of Seller or any of its Affiliates of any kind or nature whatsoever other than the Assumed Liabilities (the “</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Seller shall, and shall cause each of its Affiliates to, pay and satisfy in due course all Excluded Liabilities which they are obligated to pay and satisfy. Without limiting the generality of the foregoing, the Excluded Liabilities shall include, but not be limited to, the following:</w:t>
      </w:r>
    </w:p>
    <w:p>
      <w:pPr>
        <w:spacing w:after="0" w:line="183" w:lineRule="exact"/>
        <w:rPr>
          <w:sz w:val="20"/>
          <w:szCs w:val="20"/>
          <w:color w:val="auto"/>
        </w:rPr>
      </w:pPr>
    </w:p>
    <w:p>
      <w:pPr>
        <w:jc w:val="both"/>
        <w:ind w:left="660" w:firstLine="644"/>
        <w:spacing w:after="0" w:line="266" w:lineRule="auto"/>
        <w:tabs>
          <w:tab w:leader="none" w:pos="1744"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of Seller arising or incurred in connection with the negotiation, preparation, investigation and performance of this Agreement, the Ancillary Documents and the transactions contemplated hereby and thereby, including, without limitation, fees and expenses of counsel, accountants, consultants, advisers and others;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for (i) Taxes of Seller (or any Stockholder or Affiliate of Seller); (ii) Taxes relating to the Business, the Purchased Assets or the Assumed Liabilities for any Pre-Closing Tax Period; (iii) Taxes that arise out of the consummation of the transactions contemplated hereby or that are the responsibility of Seller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(iv) Taxes related to the Excluded Assets; or (v) other Taxes of Seller of any kind or description that become a Liability of Buyer under any common law doctrine of de facto merger or transferee or successor liability or otherwise by operation of contract or Law (collectively, the “</w:t>
      </w:r>
      <w:r>
        <w:rPr>
          <w:rFonts w:ascii="Times New Roman" w:cs="Times New Roman" w:eastAsia="Times New Roman" w:hAnsi="Times New Roman"/>
          <w:sz w:val="18"/>
          <w:szCs w:val="18"/>
          <w:u w:val="single" w:color="auto"/>
          <w:color w:val="auto"/>
        </w:rPr>
        <w:t>Excluded Tax Liabilities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related to any derivative Contracts;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relating to or arising out of the Excluded Assets;</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2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in respect of any pending or threatened Action arising out of, relating to or otherwise in respect of the operation of the Business or the Purchased Assets to the extent such Action relates to such operation on or prior to the Closing Date;</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87"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similar claim for injury to a Person or property which arises out of or is based upon any express or implied representation, warranty, agreement or guaranty made by Seller, or by reason of the improper performance or malfunctioning of a product, improper design or manufacture, failure to adequately package, label or warn of hazards or other related product defects of any products at any time manufactured or sold or any service performed by Seller;</w:t>
      </w:r>
    </w:p>
    <w:p>
      <w:pPr>
        <w:spacing w:after="0" w:line="179"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recall, design defect or similar claims of any products manufactured or sold or any service performed by Seller;</w:t>
      </w:r>
    </w:p>
    <w:p>
      <w:pPr>
        <w:spacing w:after="0" w:line="22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4" w:name="page355"/>
    <w:bookmarkEnd w:id="354"/>
    <w:p>
      <w:pPr>
        <w:ind w:left="4" w:right="20" w:firstLine="644"/>
        <w:spacing w:after="0" w:line="282" w:lineRule="auto"/>
        <w:tabs>
          <w:tab w:leader="none" w:pos="117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Liabilities of Seller arising under or in connection with any benefit plans of Seller or its Affiliates with respect to the Transferred Employees as described in </w:t>
      </w: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038"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of Seller for any present or former employees, officers, directors, retirees, independent contractors or consultants of Seller, including, without limitation, any Liabilities associated with any claims for wages or other benefits, bonuses, accrued vacation, workers’ compensation, severance, retention, termination or other payments arising on or before the Closing;</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13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Environmental Claims or Liabilities under Environmental Laws related to the ownership of the Purchased Assets or the operation of the Business with respect to the Purchased Assets, to the extent arising out of or relating to facts, circumstances or conditions existing on or prior to the Closing Date (the “</w:t>
      </w:r>
      <w:r>
        <w:rPr>
          <w:rFonts w:ascii="Times New Roman" w:cs="Times New Roman" w:eastAsia="Times New Roman" w:hAnsi="Times New Roman"/>
          <w:sz w:val="18"/>
          <w:szCs w:val="18"/>
          <w:u w:val="single" w:color="auto"/>
          <w:color w:val="auto"/>
        </w:rPr>
        <w:t>Excluded Environmental Liabilities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164" w:hanging="516"/>
        <w:spacing w:after="0"/>
        <w:tabs>
          <w:tab w:leader="none" w:pos="1164"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trade accounts payable of Seller (i) to the extent not specifically listed on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of the Disclosure Schedules;</w:t>
      </w:r>
    </w:p>
    <w:p>
      <w:pPr>
        <w:spacing w:after="0" w:line="27" w:lineRule="exact"/>
        <w:rPr>
          <w:rFonts w:ascii="Times New Roman" w:cs="Times New Roman" w:eastAsia="Times New Roman" w:hAnsi="Times New Roman"/>
          <w:sz w:val="18"/>
          <w:szCs w:val="18"/>
          <w:color w:val="auto"/>
        </w:rPr>
      </w:pPr>
    </w:p>
    <w:p>
      <w:pPr>
        <w:ind w:left="4" w:hanging="4"/>
        <w:spacing w:after="0" w:line="260" w:lineRule="auto"/>
        <w:tabs>
          <w:tab w:leader="none" w:pos="309"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constitute intercompany payables owing to Affiliates of Seller; (iii) which constitute debt, loans or credit facilities to financial institutions; or (iv) which did not arise in the Ordinary Course of Business;</w:t>
      </w:r>
    </w:p>
    <w:p>
      <w:pPr>
        <w:spacing w:after="0" w:line="181"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072"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of the Business relating or arising from unfulfilled commitments, quotations, purchase orders, customer orders or work orders that (i) do not constitute part of the Purchased Assets issued by the Business’ customers to Seller on or before the Closing; (ii) did not arise in the Ordinary Course of Business; or (iii) are not validly and effectively assigned to Buyer pursuant to this Agreement;</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125"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Liabilities to indemnify, reimburse or advance amounts to any present or former officer, director, employee or agent of Seller (including with respect to any breach of fiduciary obligations by same), except for indemnification of same pursuant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as Seller Indemnitees;</w:t>
      </w:r>
    </w:p>
    <w:p>
      <w:pPr>
        <w:spacing w:after="0" w:line="175"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under the Excluded Contracts;</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131"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under any other Contracts, including Intellectual Property Agreements, (i) which are not validly and effectively assigned to Buyer pursuant to this Agreement; (ii) which do not conform to the representations and warranties with respect thereto contained in this Agreement; or (iii) to the extent such Liabilities arise out of or relate to a breach by Seller or failure to perform by such Seller of such Contracts prior to Closing;</w:t>
      </w:r>
    </w:p>
    <w:p>
      <w:pPr>
        <w:spacing w:after="0" w:line="179"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associated with debt, loans or credit facilities of Seller and/or the Business owing to financial institutions;</w:t>
      </w:r>
    </w:p>
    <w:p>
      <w:pPr>
        <w:spacing w:after="0" w:line="225" w:lineRule="exact"/>
        <w:rPr>
          <w:rFonts w:ascii="Times New Roman" w:cs="Times New Roman" w:eastAsia="Times New Roman" w:hAnsi="Times New Roman"/>
          <w:sz w:val="18"/>
          <w:szCs w:val="18"/>
          <w:color w:val="auto"/>
        </w:rPr>
      </w:pPr>
    </w:p>
    <w:p>
      <w:pPr>
        <w:ind w:left="4" w:firstLine="644"/>
        <w:spacing w:after="0" w:line="282" w:lineRule="auto"/>
        <w:tabs>
          <w:tab w:leader="none" w:pos="1047"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arising out of, in respect of or in connection with the failure by Seller or any of its Affiliates to comply with any Law or Governmental Order;</w:t>
      </w:r>
    </w:p>
    <w:p>
      <w:pPr>
        <w:spacing w:after="0" w:line="161"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355" w:name="page356"/>
    <w:bookmarkEnd w:id="355"/>
    <w:p>
      <w:pPr>
        <w:jc w:val="both"/>
        <w:ind w:left="660" w:firstLine="644"/>
        <w:spacing w:after="0" w:line="266" w:lineRule="auto"/>
        <w:tabs>
          <w:tab w:leader="none" w:pos="1763"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claims or Liabilities related to the ownership of the Purchased Assets or the operation of the Business with respect to the Purchased Assets, to the extent arising out of or relating to facts, circumstances or conditions existing on or prior to the Closing Date that are not expressly Assumed Liabilities;</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not primarily related to the Business;</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Liabilities related to the matters disclosed in </w:t>
      </w:r>
      <w:r>
        <w:rPr>
          <w:rFonts w:ascii="Times New Roman" w:cs="Times New Roman" w:eastAsia="Times New Roman" w:hAnsi="Times New Roman"/>
          <w:sz w:val="18"/>
          <w:szCs w:val="18"/>
          <w:u w:val="single" w:color="auto"/>
          <w:color w:val="auto"/>
        </w:rPr>
        <w:t>Section 4.19(c)</w:t>
      </w:r>
      <w:r>
        <w:rPr>
          <w:rFonts w:ascii="Times New Roman" w:cs="Times New Roman" w:eastAsia="Times New Roman" w:hAnsi="Times New Roman"/>
          <w:sz w:val="18"/>
          <w:szCs w:val="18"/>
          <w:color w:val="auto"/>
        </w:rPr>
        <w:t xml:space="preserve"> of the Seller Disclosure Schedules;</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and payable by Seller to Mayer Brown LLP; and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and payable by Seller to Deloitte.</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2.05 Purchase Price</w:t>
      </w:r>
      <w:r>
        <w:rPr>
          <w:rFonts w:ascii="Times New Roman" w:cs="Times New Roman" w:eastAsia="Times New Roman" w:hAnsi="Times New Roman"/>
          <w:sz w:val="18"/>
          <w:szCs w:val="18"/>
          <w:color w:val="auto"/>
        </w:rPr>
        <w:t>. The aggregate purchase price for the Purchased Assets shall be the aggregate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plus the assumption of the Assumed Liabilities, in each case as adjusted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680" w:hanging="376"/>
        <w:spacing w:after="0"/>
        <w:tabs>
          <w:tab w:leader="none" w:pos="168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$63,817,073.06, in cash, and subject to adjustment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Cash Purchase Price</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516,041 shares of Buyer Stock (such number of shares of Buyer Stock, the “</w:t>
      </w:r>
      <w:r>
        <w:rPr>
          <w:rFonts w:ascii="Times New Roman" w:cs="Times New Roman" w:eastAsia="Times New Roman" w:hAnsi="Times New Roman"/>
          <w:sz w:val="18"/>
          <w:szCs w:val="18"/>
          <w:u w:val="single" w:color="auto"/>
          <w:color w:val="auto"/>
        </w:rPr>
        <w:t>Issued Buyer Stock</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2.06</w:t>
      </w:r>
      <w:r>
        <w:rPr>
          <w:sz w:val="20"/>
          <w:szCs w:val="20"/>
          <w:color w:val="auto"/>
        </w:rPr>
        <w:tab/>
      </w:r>
      <w:r>
        <w:rPr>
          <w:rFonts w:ascii="Times New Roman" w:cs="Times New Roman" w:eastAsia="Times New Roman" w:hAnsi="Times New Roman"/>
          <w:sz w:val="17"/>
          <w:szCs w:val="17"/>
          <w:b w:val="1"/>
          <w:bCs w:val="1"/>
          <w:color w:val="auto"/>
        </w:rPr>
        <w:t>Purchase Price Adjustment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680" w:hanging="376"/>
        <w:spacing w:after="0"/>
        <w:tabs>
          <w:tab w:leader="none" w:pos="168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Adjustment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490"/>
        <w:spacing w:after="0" w:line="253" w:lineRule="auto"/>
        <w:tabs>
          <w:tab w:leader="none" w:pos="2188"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three Business Days prior to the Closing Date, Seller will prepare and deliver to Buyer an unaudited balance sheet of Seller prepared on an estimated basis as of the close of business on the Closing Date (the “</w:t>
      </w:r>
      <w:r>
        <w:rPr>
          <w:rFonts w:ascii="Times New Roman" w:cs="Times New Roman" w:eastAsia="Times New Roman" w:hAnsi="Times New Roman"/>
          <w:sz w:val="18"/>
          <w:szCs w:val="18"/>
          <w:u w:val="single" w:color="auto"/>
          <w:color w:val="auto"/>
        </w:rPr>
        <w:t>Estimated Closing Balance Sheet</w:t>
      </w:r>
      <w:r>
        <w:rPr>
          <w:rFonts w:ascii="Times New Roman" w:cs="Times New Roman" w:eastAsia="Times New Roman" w:hAnsi="Times New Roman"/>
          <w:sz w:val="18"/>
          <w:szCs w:val="18"/>
          <w:color w:val="auto"/>
        </w:rPr>
        <w:t xml:space="preserve">”). The Estimated Closing Balance Sheet will be prepared in accordance with GAAP in a manner consistent with the methods and practices used to prepare the Financial Statements (without giving effect to the transactions contemplated herein) subject to the modifications and limitations set forth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and the valuation of the inventory in accordance with the Inventory Valuation Principles set forth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Agreed Accounting Principles</w:t>
      </w:r>
      <w:r>
        <w:rPr>
          <w:rFonts w:ascii="Times New Roman" w:cs="Times New Roman" w:eastAsia="Times New Roman" w:hAnsi="Times New Roman"/>
          <w:sz w:val="18"/>
          <w:szCs w:val="18"/>
          <w:color w:val="auto"/>
        </w:rPr>
        <w:t>”). Seller will deliver with the Estimated Closing Balance Sheet (A) a statement setting forth Seller’s calculation of the Closing Working Capital based on the Estimated Closing Balance Sheet and reflecting the exclusion of the Excluded Assets and Excluded Liabilities (the “</w:t>
      </w:r>
      <w:r>
        <w:rPr>
          <w:rFonts w:ascii="Times New Roman" w:cs="Times New Roman" w:eastAsia="Times New Roman" w:hAnsi="Times New Roman"/>
          <w:sz w:val="18"/>
          <w:szCs w:val="18"/>
          <w:u w:val="single" w:color="auto"/>
          <w:color w:val="auto"/>
        </w:rPr>
        <w:t>Estimated Closing Working Capital</w:t>
      </w:r>
      <w:r>
        <w:rPr>
          <w:rFonts w:ascii="Times New Roman" w:cs="Times New Roman" w:eastAsia="Times New Roman" w:hAnsi="Times New Roman"/>
          <w:sz w:val="18"/>
          <w:szCs w:val="18"/>
          <w:color w:val="auto"/>
        </w:rPr>
        <w:t>”) and (B) a certification of each of Seller’s chief executive officer and chief operating officer that the Estimated Closing Balance Sheet was prepared in accordance with the Agreed Accounting Principles.</w:t>
      </w:r>
    </w:p>
    <w:p>
      <w:pPr>
        <w:spacing w:after="0" w:line="1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6" w:name="page357"/>
    <w:bookmarkEnd w:id="356"/>
    <w:p>
      <w:pPr>
        <w:ind w:left="580" w:hanging="396"/>
        <w:spacing w:after="0"/>
        <w:tabs>
          <w:tab w:leader="none" w:pos="5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Adjustment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right="20" w:firstLine="490"/>
        <w:spacing w:after="0" w:line="261" w:lineRule="auto"/>
        <w:tabs>
          <w:tab w:leader="none" w:pos="1021"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90 days after the Closing Date, Buyer shall prepare and deliver to Seller a (A) statement setting forth its calculation of Closing Working Capital, which statement shall be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Closing Working Capital Statement</w:t>
      </w:r>
      <w:r>
        <w:rPr>
          <w:rFonts w:ascii="Times New Roman" w:cs="Times New Roman" w:eastAsia="Times New Roman" w:hAnsi="Times New Roman"/>
          <w:sz w:val="18"/>
          <w:szCs w:val="18"/>
          <w:color w:val="auto"/>
        </w:rPr>
        <w:t>”), and</w:t>
      </w:r>
    </w:p>
    <w:p>
      <w:pPr>
        <w:ind w:lef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certification of each of Buyer’s chief executive officer and chief financial officer that the Closing Working Capital Statement was prepared in accordance with the Agreed Accounting Principles.</w:t>
      </w:r>
    </w:p>
    <w:p>
      <w:pPr>
        <w:spacing w:after="0" w:line="181" w:lineRule="exact"/>
        <w:rPr>
          <w:rFonts w:ascii="Times New Roman" w:cs="Times New Roman" w:eastAsia="Times New Roman" w:hAnsi="Times New Roman"/>
          <w:sz w:val="18"/>
          <w:szCs w:val="18"/>
          <w:color w:val="auto"/>
        </w:rPr>
      </w:pPr>
    </w:p>
    <w:p>
      <w:pPr>
        <w:jc w:val="both"/>
        <w:ind w:left="180" w:firstLine="490"/>
        <w:spacing w:after="0" w:line="266" w:lineRule="auto"/>
        <w:tabs>
          <w:tab w:leader="none" w:pos="1079"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Closing Working Capital is less than the Estimated Closing Working Capital, Seller will pay Buyer dollar for dollar by the absolute value of the deficiency. If the Closing Working Capital is greater than the Estimated Closing Working Capital, Buyer will pay Seller dollar for dollar by the absolute value of the excess.</w:t>
      </w:r>
    </w:p>
    <w:p>
      <w:pPr>
        <w:spacing w:after="0" w:line="175" w:lineRule="exact"/>
        <w:rPr>
          <w:rFonts w:ascii="Times New Roman" w:cs="Times New Roman" w:eastAsia="Times New Roman" w:hAnsi="Times New Roman"/>
          <w:sz w:val="18"/>
          <w:szCs w:val="18"/>
          <w:color w:val="auto"/>
        </w:rPr>
      </w:pPr>
    </w:p>
    <w:p>
      <w:pPr>
        <w:ind w:left="560" w:hanging="376"/>
        <w:spacing w:after="0"/>
        <w:tabs>
          <w:tab w:leader="none" w:pos="56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Examination and Review</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490"/>
        <w:spacing w:after="0" w:line="261" w:lineRule="auto"/>
        <w:tabs>
          <w:tab w:leader="none" w:pos="1173"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Examination</w:t>
      </w:r>
      <w:r>
        <w:rPr>
          <w:rFonts w:ascii="Times New Roman" w:cs="Times New Roman" w:eastAsia="Times New Roman" w:hAnsi="Times New Roman"/>
          <w:sz w:val="18"/>
          <w:szCs w:val="18"/>
          <w:color w:val="auto"/>
        </w:rPr>
        <w:t>. After receipt of the Closing Working Capital Statement, Seller shall have 30 days (the “</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to review the Closing Working Capital Statement. During the Review Period, Seller and Seller’s Representatives shall have reasonable access to Buyer’s work papers as Seller may reasonably request for the purpose of reviewing the Closing Working Capital Statement and to prepare a Statement of Objections (defined below).</w:t>
      </w:r>
    </w:p>
    <w:p>
      <w:pPr>
        <w:spacing w:after="0" w:line="179" w:lineRule="exact"/>
        <w:rPr>
          <w:rFonts w:ascii="Times New Roman" w:cs="Times New Roman" w:eastAsia="Times New Roman" w:hAnsi="Times New Roman"/>
          <w:sz w:val="18"/>
          <w:szCs w:val="18"/>
          <w:color w:val="auto"/>
        </w:rPr>
      </w:pPr>
    </w:p>
    <w:p>
      <w:pPr>
        <w:jc w:val="both"/>
        <w:ind w:left="180" w:firstLine="490"/>
        <w:spacing w:after="0" w:line="253" w:lineRule="auto"/>
        <w:tabs>
          <w:tab w:leader="none" w:pos="1093"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Objection</w:t>
      </w:r>
      <w:r>
        <w:rPr>
          <w:rFonts w:ascii="Times New Roman" w:cs="Times New Roman" w:eastAsia="Times New Roman" w:hAnsi="Times New Roman"/>
          <w:sz w:val="18"/>
          <w:szCs w:val="18"/>
          <w:color w:val="auto"/>
        </w:rPr>
        <w:t>. On or prior to the last day of the Review Period, Seller may object to the Closing Working Capital Statement by delivering to Buyer a written statement setting forth Seller’s objections in reasonable detail, indicating each disputed item or amount and the basis for Seller’s disagreement therewith (the “</w:t>
      </w:r>
      <w:r>
        <w:rPr>
          <w:rFonts w:ascii="Times New Roman" w:cs="Times New Roman" w:eastAsia="Times New Roman" w:hAnsi="Times New Roman"/>
          <w:sz w:val="18"/>
          <w:szCs w:val="18"/>
          <w:u w:val="single" w:color="auto"/>
          <w:color w:val="auto"/>
        </w:rPr>
        <w:t>Statement of Objections</w:t>
      </w:r>
      <w:r>
        <w:rPr>
          <w:rFonts w:ascii="Times New Roman" w:cs="Times New Roman" w:eastAsia="Times New Roman" w:hAnsi="Times New Roman"/>
          <w:sz w:val="18"/>
          <w:szCs w:val="18"/>
          <w:color w:val="auto"/>
        </w:rPr>
        <w:t>”). If Seller fails to deliver the Statement of Objections before the expiration of the Review Period, the Closing Working Capital Statement and the Post-Closing Adjustment, as the case may be, reflected in the Closing Working Capital Statement shall be deemed to have been accepted by Seller. If Seller delivers the Statement of Objections before the expiration of the Review Period, (A) only the items and amounts set forth in the Statement of Objections shall be deemed to be in dispute, and the Closing Working Capital Statement shall otherwise be deemed accepted by the Parties and (B) Buyer and Seller shall negotiate in good faith to resolve the items and amounts set forth in the Statement of Objections within 30 days after the delivery of the Statement of Objections (the “</w:t>
      </w:r>
      <w:r>
        <w:rPr>
          <w:rFonts w:ascii="Times New Roman" w:cs="Times New Roman" w:eastAsia="Times New Roman" w:hAnsi="Times New Roman"/>
          <w:sz w:val="18"/>
          <w:szCs w:val="18"/>
          <w:u w:val="single" w:color="auto"/>
          <w:color w:val="auto"/>
        </w:rPr>
        <w:t>Resolution Period</w:t>
      </w:r>
      <w:r>
        <w:rPr>
          <w:rFonts w:ascii="Times New Roman" w:cs="Times New Roman" w:eastAsia="Times New Roman" w:hAnsi="Times New Roman"/>
          <w:sz w:val="18"/>
          <w:szCs w:val="18"/>
          <w:color w:val="auto"/>
        </w:rPr>
        <w:t>”), and, if the same are so resolved within the Resolution Period, then the Post-Closing Adjustment and the Closing Working Capital Statement with such changes as may have been previously agreed in writing by Buyer and Seller, shall be final and binding. Buyer and Seller may agree in writing to extend the Resolution Period as necessary.</w:t>
      </w:r>
    </w:p>
    <w:p>
      <w:pPr>
        <w:spacing w:after="0" w:line="191" w:lineRule="exact"/>
        <w:rPr>
          <w:rFonts w:ascii="Times New Roman" w:cs="Times New Roman" w:eastAsia="Times New Roman" w:hAnsi="Times New Roman"/>
          <w:sz w:val="18"/>
          <w:szCs w:val="18"/>
          <w:color w:val="auto"/>
        </w:rPr>
      </w:pPr>
    </w:p>
    <w:p>
      <w:pPr>
        <w:jc w:val="both"/>
        <w:ind w:left="180" w:firstLine="490"/>
        <w:spacing w:after="0" w:line="253" w:lineRule="auto"/>
        <w:tabs>
          <w:tab w:leader="none" w:pos="1138"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Disputes</w:t>
      </w:r>
      <w:r>
        <w:rPr>
          <w:rFonts w:ascii="Times New Roman" w:cs="Times New Roman" w:eastAsia="Times New Roman" w:hAnsi="Times New Roman"/>
          <w:sz w:val="18"/>
          <w:szCs w:val="18"/>
          <w:color w:val="auto"/>
        </w:rPr>
        <w:t xml:space="preserve">. If Seller and Buyer fail to reach an agreement with respect to all of the matters set forth in the Statement of Objections before expiration of the Resolution Period (as may be extended pursuant to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 then any amounts remaining in dispute (“</w:t>
      </w:r>
      <w:r>
        <w:rPr>
          <w:rFonts w:ascii="Times New Roman" w:cs="Times New Roman" w:eastAsia="Times New Roman" w:hAnsi="Times New Roman"/>
          <w:sz w:val="18"/>
          <w:szCs w:val="18"/>
          <w:u w:val="single" w:color="auto"/>
          <w:color w:val="auto"/>
        </w:rPr>
        <w:t>Disputed Amounts</w:t>
      </w:r>
      <w:r>
        <w:rPr>
          <w:rFonts w:ascii="Times New Roman" w:cs="Times New Roman" w:eastAsia="Times New Roman" w:hAnsi="Times New Roman"/>
          <w:sz w:val="18"/>
          <w:szCs w:val="18"/>
          <w:color w:val="auto"/>
        </w:rPr>
        <w:t>” and any amounts not so disputed, the “</w:t>
      </w:r>
      <w:r>
        <w:rPr>
          <w:rFonts w:ascii="Times New Roman" w:cs="Times New Roman" w:eastAsia="Times New Roman" w:hAnsi="Times New Roman"/>
          <w:sz w:val="18"/>
          <w:szCs w:val="18"/>
          <w:u w:val="single" w:color="auto"/>
          <w:color w:val="auto"/>
        </w:rPr>
        <w:t>Undisputed Amounts</w:t>
      </w:r>
      <w:r>
        <w:rPr>
          <w:rFonts w:ascii="Times New Roman" w:cs="Times New Roman" w:eastAsia="Times New Roman" w:hAnsi="Times New Roman"/>
          <w:sz w:val="18"/>
          <w:szCs w:val="18"/>
          <w:color w:val="auto"/>
        </w:rPr>
        <w:t>”) shall be submitted for resolution to BKD, LLP for resolution, or if that firm is unwilling or unable to serve, Buyer and Seller will engage another mutually agreeable independent accounting firm of recognized national standing, which firm is not the regular auditing firm of Buyer or Seller (or its Affiliates) (the “</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who, acting as experts and not arbitrators, shall resolve the Disputed Amounts only and make any adjustments to the Post-Closing Adjustment, as the case may be, and the Closing Working Capital Statement. The Parties hereto agree that all adjustments shall be made without regard to materiality. The Independent Accountant shall only decide the specific items under dispute by the Parties and their decision for each Disputed Amount must be within the range of values assigned to each such item in the Closing Working Capital Statement and the Statement of Objections, respectively.</w:t>
      </w:r>
    </w:p>
    <w:p>
      <w:pPr>
        <w:spacing w:after="0" w:line="194"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57" w:name="page358"/>
    <w:bookmarkEnd w:id="357"/>
    <w:p>
      <w:pPr>
        <w:jc w:val="both"/>
        <w:ind w:left="1300" w:firstLine="490"/>
        <w:spacing w:after="0" w:line="266" w:lineRule="auto"/>
        <w:tabs>
          <w:tab w:leader="none" w:pos="2181"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of the Independent Accountant</w:t>
      </w:r>
      <w:r>
        <w:rPr>
          <w:rFonts w:ascii="Times New Roman" w:cs="Times New Roman" w:eastAsia="Times New Roman" w:hAnsi="Times New Roman"/>
          <w:sz w:val="18"/>
          <w:szCs w:val="18"/>
          <w:color w:val="auto"/>
        </w:rPr>
        <w:t>. The fees and expenses of the Independent Accountant shall be paid by Seller, on the one hand, and Buyer, on the other hand, based upon the percentage that the amount actually contested but not awarded to Seller or Buyer, respectively, bears to the aggregate amount actually contested by Seller and Buyer.</w:t>
      </w:r>
    </w:p>
    <w:p>
      <w:pPr>
        <w:spacing w:after="0" w:line="175" w:lineRule="exact"/>
        <w:rPr>
          <w:rFonts w:ascii="Times New Roman" w:cs="Times New Roman" w:eastAsia="Times New Roman" w:hAnsi="Times New Roman"/>
          <w:sz w:val="18"/>
          <w:szCs w:val="18"/>
          <w:color w:val="auto"/>
        </w:rPr>
      </w:pPr>
    </w:p>
    <w:p>
      <w:pPr>
        <w:jc w:val="both"/>
        <w:ind w:left="1300" w:firstLine="490"/>
        <w:spacing w:after="0" w:line="261" w:lineRule="auto"/>
        <w:tabs>
          <w:tab w:leader="none" w:pos="2261"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by Independent Accountant</w:t>
      </w:r>
      <w:r>
        <w:rPr>
          <w:rFonts w:ascii="Times New Roman" w:cs="Times New Roman" w:eastAsia="Times New Roman" w:hAnsi="Times New Roman"/>
          <w:sz w:val="18"/>
          <w:szCs w:val="18"/>
          <w:color w:val="auto"/>
        </w:rPr>
        <w:t>. The Independent Accountant shall make a determination as soon as practicable within 30 days (or such other time as Buyer and Seller shall agree in writing) after their engagement, and their resolution of the Disputed Amounts and their adjustments to the Closing Working Capital Statement and/or the Post-Closing Adjustment shall be conclusive and binding upon the Parties hereto.</w:t>
      </w:r>
    </w:p>
    <w:p>
      <w:pPr>
        <w:spacing w:after="0" w:line="179" w:lineRule="exact"/>
        <w:rPr>
          <w:rFonts w:ascii="Times New Roman" w:cs="Times New Roman" w:eastAsia="Times New Roman" w:hAnsi="Times New Roman"/>
          <w:sz w:val="18"/>
          <w:szCs w:val="18"/>
          <w:color w:val="auto"/>
        </w:rPr>
      </w:pPr>
    </w:p>
    <w:p>
      <w:pPr>
        <w:jc w:val="both"/>
        <w:ind w:left="1300" w:firstLine="490"/>
        <w:spacing w:after="0" w:line="261" w:lineRule="auto"/>
        <w:tabs>
          <w:tab w:leader="none" w:pos="2221"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of Post-Closing Adjustment</w:t>
      </w:r>
      <w:r>
        <w:rPr>
          <w:rFonts w:ascii="Times New Roman" w:cs="Times New Roman" w:eastAsia="Times New Roman" w:hAnsi="Times New Roman"/>
          <w:sz w:val="18"/>
          <w:szCs w:val="18"/>
          <w:color w:val="auto"/>
        </w:rPr>
        <w:t>. Except as otherwise provided herein, any payment of the Post-Closing Adjustment shall (A) be due (x) within five Business Days of acceptance of the applicable Closing Working Capital Statement or (y) if there are Disputed Amounts, then within five Business Days of the resolution described in clause (v) above; and (B) be paid by wire transfer of immediately available funds to such account as is directed by Buyer or Seller, as the case may be.</w:t>
      </w:r>
    </w:p>
    <w:p>
      <w:pPr>
        <w:spacing w:after="0" w:line="180" w:lineRule="exact"/>
        <w:rPr>
          <w:sz w:val="20"/>
          <w:szCs w:val="20"/>
          <w:color w:val="auto"/>
        </w:rPr>
      </w:pPr>
    </w:p>
    <w:p>
      <w:pPr>
        <w:ind w:left="660" w:firstLine="644"/>
        <w:spacing w:after="0" w:line="282" w:lineRule="auto"/>
        <w:tabs>
          <w:tab w:leader="none" w:pos="169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Tax Purposes</w:t>
      </w:r>
      <w:r>
        <w:rPr>
          <w:rFonts w:ascii="Times New Roman" w:cs="Times New Roman" w:eastAsia="Times New Roman" w:hAnsi="Times New Roman"/>
          <w:sz w:val="18"/>
          <w:szCs w:val="18"/>
          <w:color w:val="auto"/>
        </w:rPr>
        <w:t xml:space="preserve">. Any payments made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be treated as an adjustment to the Purchase Price by the Parties for Tax purposes, unless otherwise required by Law.</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2.07 Allocation of Purchase Price</w:t>
      </w:r>
      <w:r>
        <w:rPr>
          <w:rFonts w:ascii="Times New Roman" w:cs="Times New Roman" w:eastAsia="Times New Roman" w:hAnsi="Times New Roman"/>
          <w:sz w:val="18"/>
          <w:szCs w:val="18"/>
          <w:color w:val="auto"/>
        </w:rPr>
        <w:t>. Seller and Buyer agree that the Purchase Price and the Assumed Liabilities (plus other relevant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items) shall be allocated among the Purchased Assets for all Tax purposes in accordance with the allocation methodology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Allocation Methodology</w:t>
      </w:r>
      <w:r>
        <w:rPr>
          <w:rFonts w:ascii="Times New Roman" w:cs="Times New Roman" w:eastAsia="Times New Roman" w:hAnsi="Times New Roman"/>
          <w:sz w:val="18"/>
          <w:szCs w:val="18"/>
          <w:color w:val="auto"/>
        </w:rPr>
        <w:t xml:space="preserve">”). Within 90 days following the date that the Post-Closing Adjustment is finalized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Buyer shall deliver to Seller an allocation of the Purchase Price and Assumed Liabilities to the Purchased Assets, which allocation shall be prepared in accordance with the Allocation Methodology. If Seller notifies Buyer in writing within fifteen (15) days after receipt of the allocation that Seller objects to one or more items reflected in the allocation, Seller and Buyer shall negotiate in good faith to resolve such dispute;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Seller and Buyer are unable to resolve any dispute within 30 days following Buyer’s receipt of the written objection from Seller, such dispute shall be resolved by the Independent Accountant. The Independent Accountant’s resolution must be in accordance and consistent with the Allocation Methodology. The fees and expenses of such accounting firm shall be borne equally by Seller and Buyer. The final allocation of the Purchase Price and Assumed Liabilities as determined by Buyer if Seller does not timely object, as agreed to by Buyer and Seller or as determined by the Independent Accountant, as applicable, shall be referred to as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Buyer and Seller shall prepare all Tax Returns in a manner consistent with the Allocation Schedule. Any adjustments to the Purchase Price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herein shall be allocated in a manner consistent with the Allocation Schedule.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8" w:name="page359"/>
    <w:bookmarkEnd w:id="35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2.08 Withholding Tax</w:t>
      </w:r>
      <w:r>
        <w:rPr>
          <w:rFonts w:ascii="Times New Roman" w:cs="Times New Roman" w:eastAsia="Times New Roman" w:hAnsi="Times New Roman"/>
          <w:sz w:val="18"/>
          <w:szCs w:val="18"/>
          <w:color w:val="auto"/>
        </w:rPr>
        <w:t>. Buyer shall be entitled to deduct and withhold from the Purchase Price and any other amounts payable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this Agreement all Taxes that Buyer determines in good faith that it is required to deduct and withhold under any provision of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Buyer shall provide Seller notice at least two (2) Business Days prior to any withholding and shall cooperate in good faith with Seller in Seller’s attempts to reduce or eliminate any such withholding obligation. All such withheld amounts shall be treated as delivered to Seller for all purposes of this Agreement.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2.09 Third Party Consents</w:t>
      </w:r>
      <w:r>
        <w:rPr>
          <w:rFonts w:ascii="Times New Roman" w:cs="Times New Roman" w:eastAsia="Times New Roman" w:hAnsi="Times New Roman"/>
          <w:sz w:val="18"/>
          <w:szCs w:val="18"/>
          <w:color w:val="auto"/>
        </w:rPr>
        <w:t>. To the extent that Seller’s rights under any Contract or Permit constituting a Purchased Asset,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Asset, may not be assigned to Buyer without the consent of another Person which has not been obtained, this Agreement shall not constitute an agreement to assign the same if an attempted assignment would constitute a breach thereof or be unlawful, and Seller, at its expense, shall use its commercially reasonable efforts to obtain any such required consent(s) as promptly as possible. Until such consents are obtained and if any such consent shall not be obtained or if any attempted assignment would be ineffective or would impair Buyer’s rights under the Purchased Asset in question so that Buyer would not in effect acquire the benefit of all such rights, Seller, to the maximum extent permitted by law and the Purchased Asset, shall act after the Closing as Buyer’s agent in order to obtain for it the benefits thereunder and shall cooperate, to the maximum extent permitted by Law and the Purchased Asset, with Buyer in any other reasonable arrangement designed to provide such benefits to Buyer. Notwithstanding the foregoing, Seller shall in no event be required to expend money, commence, defend or participate in any litigation, or offer or grant any accommodation (financial or otherwise) to any third party or to remain secondarily liable with respect to any such Contract or Permit.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3.01 Closing</w:t>
      </w:r>
      <w:r>
        <w:rPr>
          <w:rFonts w:ascii="Times New Roman" w:cs="Times New Roman" w:eastAsia="Times New Roman" w:hAnsi="Times New Roman"/>
          <w:sz w:val="18"/>
          <w:szCs w:val="18"/>
          <w:color w:val="auto"/>
        </w:rPr>
        <w:t>. Subject to the terms and conditions of this Agreement, the consummation of the transactions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be effective as of midnight, Central Standard Time, on April 30, 2022 or, if the conditions to Closing have not been satisfied by April 29, 2022, such time, on the date that is two (2) Business Days after the date on which each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has been satisfied or, if permitted, waived by the Party entitled to the benefits of such condition (other than any conditions that by their nature can only be satisfied on the Closing Date, but subject to the satisfaction of such conditions on the Closing Date or waiver by the Party entitled to the benefits of such condition), to be held effective as of midnight, Central Standard Time, at the offices of Norton Rose Fulbright US LLP in Houston, Texas, via mutual exchange of executed copies of this Agreement and the Ancillary Documents, or at such other time, date or place as Seller and Buyer may mutually agree upon in writing. The date on which the Closing is to occur is herein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may occur by electronic submission and release of signatures, documents and funds.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9" w:name="page360"/>
    <w:bookmarkEnd w:id="359"/>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3.02</w:t>
      </w:r>
      <w:r>
        <w:rPr>
          <w:sz w:val="20"/>
          <w:szCs w:val="20"/>
          <w:color w:val="auto"/>
        </w:rPr>
        <w:tab/>
      </w:r>
      <w:r>
        <w:rPr>
          <w:rFonts w:ascii="Times New Roman" w:cs="Times New Roman" w:eastAsia="Times New Roman" w:hAnsi="Times New Roman"/>
          <w:sz w:val="17"/>
          <w:szCs w:val="17"/>
          <w:b w:val="1"/>
          <w:bCs w:val="1"/>
          <w:color w:val="auto"/>
        </w:rPr>
        <w:t>Closing Deliverables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020" w:hanging="376"/>
        <w:spacing w:after="0"/>
        <w:tabs>
          <w:tab w:leader="none" w:pos="102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Seller shall deliver to Buyer, or to the Title Company, as applicable, the following:</w:t>
      </w:r>
    </w:p>
    <w:p>
      <w:pPr>
        <w:spacing w:after="0" w:line="225" w:lineRule="exact"/>
        <w:rPr>
          <w:rFonts w:ascii="Times New Roman" w:cs="Times New Roman" w:eastAsia="Times New Roman" w:hAnsi="Times New Roman"/>
          <w:sz w:val="18"/>
          <w:szCs w:val="18"/>
          <w:color w:val="auto"/>
        </w:rPr>
      </w:pPr>
    </w:p>
    <w:p>
      <w:pPr>
        <w:ind w:left="640" w:firstLine="490"/>
        <w:spacing w:after="0" w:line="282" w:lineRule="auto"/>
        <w:tabs>
          <w:tab w:leader="none" w:pos="1635"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bill of sale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and duly executed by Seller, transferring the tangible personal property included in the Purchased Assets to Buyer;</w:t>
      </w:r>
    </w:p>
    <w:p>
      <w:pPr>
        <w:spacing w:after="0" w:line="161" w:lineRule="exact"/>
        <w:rPr>
          <w:rFonts w:ascii="Times New Roman" w:cs="Times New Roman" w:eastAsia="Times New Roman" w:hAnsi="Times New Roman"/>
          <w:sz w:val="18"/>
          <w:szCs w:val="18"/>
          <w:color w:val="auto"/>
        </w:rPr>
      </w:pPr>
    </w:p>
    <w:p>
      <w:pPr>
        <w:ind w:left="640" w:firstLine="490"/>
        <w:spacing w:after="0" w:line="282" w:lineRule="auto"/>
        <w:tabs>
          <w:tab w:leader="none" w:pos="1580"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assignment and assumption agreement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Assignment and Assumption Agreement</w:t>
      </w:r>
      <w:r>
        <w:rPr>
          <w:rFonts w:ascii="Times New Roman" w:cs="Times New Roman" w:eastAsia="Times New Roman" w:hAnsi="Times New Roman"/>
          <w:sz w:val="18"/>
          <w:szCs w:val="18"/>
          <w:color w:val="auto"/>
        </w:rPr>
        <w:t>”) and duly executed by Seller, effecting the assignment to and assumption by Buyer of the Purchased Assets and the Assumed Liabilities;</w:t>
      </w:r>
    </w:p>
    <w:p>
      <w:pPr>
        <w:spacing w:after="0" w:line="161" w:lineRule="exact"/>
        <w:rPr>
          <w:rFonts w:ascii="Times New Roman" w:cs="Times New Roman" w:eastAsia="Times New Roman" w:hAnsi="Times New Roman"/>
          <w:sz w:val="18"/>
          <w:szCs w:val="18"/>
          <w:color w:val="auto"/>
        </w:rPr>
      </w:pPr>
    </w:p>
    <w:p>
      <w:pPr>
        <w:jc w:val="both"/>
        <w:ind w:left="640" w:firstLine="490"/>
        <w:spacing w:after="0" w:line="266" w:lineRule="auto"/>
        <w:tabs>
          <w:tab w:leader="none" w:pos="1488"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parcel of Owned Real Property, a recordable special warranty deed or such other appropriate document or instrument of transfer in accordance with local custom, each in form and substance reasonably satisfactory to Buyer and its counsel, duly executed and acknowledged by Seller (collectively, the “</w:t>
      </w:r>
      <w:r>
        <w:rPr>
          <w:rFonts w:ascii="Times New Roman" w:cs="Times New Roman" w:eastAsia="Times New Roman" w:hAnsi="Times New Roman"/>
          <w:sz w:val="18"/>
          <w:szCs w:val="18"/>
          <w:u w:val="single" w:color="auto"/>
          <w:color w:val="auto"/>
        </w:rPr>
        <w:t>Real Property Deeds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40" w:firstLine="490"/>
        <w:spacing w:after="0" w:line="254" w:lineRule="auto"/>
        <w:tabs>
          <w:tab w:leader="none" w:pos="1679"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and instruments expressed as “requirements” to be satisfied by Seller in Schedule B-I of each of the Title Commitments as amended for issuance of the policies of title insurance provided for in the Title Commitments, to wit, (A) a fee owner’s title insurance policy issued to Buyer (or such Affiliates of Buyer as Buyer may designate), with respect to each parcel of Owned Real Property, in form and substance satisfactory to Buyer and Buyer’s lenders, together with endorsements requested by Buyer, and (B) a leasehold title insurance policy issued to Buyer (or such Affiliates of Buyer as Buyer may designate) each in an amount reasonably determined by Buyer in form and substance satisfactory to Buyer and Buyer’s lenders, together with endorsements reasonably requested by Buyer (each, a “</w:t>
      </w:r>
      <w:r>
        <w:rPr>
          <w:rFonts w:ascii="Times New Roman" w:cs="Times New Roman" w:eastAsia="Times New Roman" w:hAnsi="Times New Roman"/>
          <w:sz w:val="18"/>
          <w:szCs w:val="18"/>
          <w:u w:val="single" w:color="auto"/>
          <w:color w:val="auto"/>
        </w:rPr>
        <w:t>Title Policy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Title Policies</w:t>
      </w:r>
      <w:r>
        <w:rPr>
          <w:rFonts w:ascii="Times New Roman" w:cs="Times New Roman" w:eastAsia="Times New Roman" w:hAnsi="Times New Roman"/>
          <w:sz w:val="18"/>
          <w:szCs w:val="18"/>
          <w:color w:val="auto"/>
        </w:rPr>
        <w:t>”), including without limitation standard owners’ affidavits, a GAP indemnity, and FIRPTA, in form and substance acceptable to the Title Company and any and all other documents the Title Company may reasonably require to extend coverage and provide endorsements;</w:t>
      </w:r>
    </w:p>
    <w:p>
      <w:pPr>
        <w:spacing w:after="0" w:line="188" w:lineRule="exact"/>
        <w:rPr>
          <w:rFonts w:ascii="Times New Roman" w:cs="Times New Roman" w:eastAsia="Times New Roman" w:hAnsi="Times New Roman"/>
          <w:sz w:val="18"/>
          <w:szCs w:val="18"/>
          <w:color w:val="auto"/>
        </w:rPr>
      </w:pPr>
    </w:p>
    <w:p>
      <w:pPr>
        <w:ind w:left="1560" w:hanging="430"/>
        <w:spacing w:after="0"/>
        <w:tabs>
          <w:tab w:leader="none" w:pos="1560"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Services Agreement, duly executed by Seller;</w:t>
      </w:r>
    </w:p>
    <w:p>
      <w:pPr>
        <w:spacing w:after="0" w:line="225" w:lineRule="exact"/>
        <w:rPr>
          <w:rFonts w:ascii="Times New Roman" w:cs="Times New Roman" w:eastAsia="Times New Roman" w:hAnsi="Times New Roman"/>
          <w:sz w:val="18"/>
          <w:szCs w:val="18"/>
          <w:color w:val="auto"/>
        </w:rPr>
      </w:pPr>
    </w:p>
    <w:p>
      <w:pPr>
        <w:ind w:left="1560" w:hanging="430"/>
        <w:spacing w:after="0"/>
        <w:tabs>
          <w:tab w:leader="none" w:pos="1560"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(or its equivalent) for Seller from the secretary of state of the state of Delaware;</w:t>
      </w:r>
    </w:p>
    <w:p>
      <w:pPr>
        <w:spacing w:after="0" w:line="225"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2"/>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76" w:right="339" w:bottom="1440" w:gutter="0" w:footer="0" w:header="0"/>
        </w:sectPr>
      </w:pPr>
    </w:p>
    <w:bookmarkStart w:id="360" w:name="page361"/>
    <w:bookmarkEnd w:id="360"/>
    <w:p>
      <w:pPr>
        <w:ind w:left="1120" w:hanging="450"/>
        <w:spacing w:after="0"/>
        <w:tabs>
          <w:tab w:leader="none" w:pos="112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IRS Form W-9, duly executed and completed by Seller;</w:t>
      </w:r>
    </w:p>
    <w:p>
      <w:pPr>
        <w:spacing w:after="0" w:line="225" w:lineRule="exact"/>
        <w:rPr>
          <w:rFonts w:ascii="Times New Roman" w:cs="Times New Roman" w:eastAsia="Times New Roman" w:hAnsi="Times New Roman"/>
          <w:sz w:val="18"/>
          <w:szCs w:val="18"/>
          <w:color w:val="auto"/>
        </w:rPr>
      </w:pPr>
    </w:p>
    <w:p>
      <w:pPr>
        <w:jc w:val="both"/>
        <w:ind w:left="180" w:firstLine="490"/>
        <w:spacing w:after="0" w:line="256" w:lineRule="auto"/>
        <w:tabs>
          <w:tab w:leader="none" w:pos="1075"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an Assistant Secretary (or equivalent officer) of Seller certifying that attached thereto are (A) the names and signatures of the officers of Seller authorized to sign this Agreement, the Ancillary Documents, and the other documents to be delivered hereunder and thereunder, and (B) all resolutions adopted by the board of directors of Seller authorizing the execution, delivery and performance of this Agreement and the Ancillary Documents and the consummation of the transactions contemplated hereby and thereby, and that all such resolutions are in full force and effect and are all the resolutions adopted in connection with the transactions contemplated hereby and thereby;</w:t>
      </w:r>
    </w:p>
    <w:p>
      <w:pPr>
        <w:spacing w:after="0" w:line="187" w:lineRule="exact"/>
        <w:rPr>
          <w:rFonts w:ascii="Times New Roman" w:cs="Times New Roman" w:eastAsia="Times New Roman" w:hAnsi="Times New Roman"/>
          <w:sz w:val="18"/>
          <w:szCs w:val="18"/>
          <w:color w:val="auto"/>
        </w:rPr>
      </w:pPr>
    </w:p>
    <w:p>
      <w:pPr>
        <w:jc w:val="both"/>
        <w:ind w:left="180" w:firstLine="490"/>
        <w:spacing w:after="0" w:line="266" w:lineRule="auto"/>
        <w:tabs>
          <w:tab w:leader="none" w:pos="1184"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evidence or documents as may be reasonably required by the Title Company evidencing the status and capacity of Seller and the authority of the person or persons who are executing the various documents on behalf of Seller in connection with the Owned Real Property;</w:t>
      </w:r>
    </w:p>
    <w:p>
      <w:pPr>
        <w:spacing w:after="0" w:line="175" w:lineRule="exact"/>
        <w:rPr>
          <w:rFonts w:ascii="Times New Roman" w:cs="Times New Roman" w:eastAsia="Times New Roman" w:hAnsi="Times New Roman"/>
          <w:sz w:val="18"/>
          <w:szCs w:val="18"/>
          <w:color w:val="auto"/>
        </w:rPr>
      </w:pPr>
    </w:p>
    <w:p>
      <w:pPr>
        <w:ind w:left="1060" w:hanging="390"/>
        <w:spacing w:after="0"/>
        <w:tabs>
          <w:tab w:leader="none" w:pos="106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third party consents listed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80" w:firstLine="490"/>
        <w:spacing w:after="0" w:line="282" w:lineRule="auto"/>
        <w:tabs>
          <w:tab w:leader="none" w:pos="1289"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customary instruments of transfer, assumption, filings or documents, in form and substance reasonably satisfactory to Buyer, as may be reasonably requested by Buyer to give effect to this Agreement.</w:t>
      </w:r>
    </w:p>
    <w:p>
      <w:pPr>
        <w:spacing w:after="0" w:line="161" w:lineRule="exact"/>
        <w:rPr>
          <w:rFonts w:ascii="Times New Roman" w:cs="Times New Roman" w:eastAsia="Times New Roman" w:hAnsi="Times New Roman"/>
          <w:sz w:val="18"/>
          <w:szCs w:val="18"/>
          <w:color w:val="auto"/>
        </w:rPr>
      </w:pPr>
    </w:p>
    <w:p>
      <w:pPr>
        <w:ind w:left="560" w:hanging="376"/>
        <w:spacing w:after="0"/>
        <w:tabs>
          <w:tab w:leader="none" w:pos="56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shall:</w:t>
      </w:r>
    </w:p>
    <w:p>
      <w:pPr>
        <w:spacing w:after="0" w:line="225" w:lineRule="exact"/>
        <w:rPr>
          <w:rFonts w:ascii="Times New Roman" w:cs="Times New Roman" w:eastAsia="Times New Roman" w:hAnsi="Times New Roman"/>
          <w:sz w:val="18"/>
          <w:szCs w:val="18"/>
          <w:color w:val="auto"/>
        </w:rPr>
      </w:pPr>
    </w:p>
    <w:p>
      <w:pPr>
        <w:ind w:left="1080" w:hanging="410"/>
        <w:spacing w:after="0"/>
        <w:tabs>
          <w:tab w:leader="none" w:pos="1080"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Cash Purchase Price, by wire transfer of immediately available funds to an account designated in writing by Seller to</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w:t>
      </w:r>
    </w:p>
    <w:p>
      <w:pPr>
        <w:spacing w:after="0" w:line="206" w:lineRule="exact"/>
        <w:rPr>
          <w:rFonts w:ascii="Times New Roman" w:cs="Times New Roman" w:eastAsia="Times New Roman" w:hAnsi="Times New Roman"/>
          <w:sz w:val="18"/>
          <w:szCs w:val="18"/>
          <w:color w:val="auto"/>
        </w:rPr>
      </w:pPr>
    </w:p>
    <w:p>
      <w:pPr>
        <w:ind w:left="180" w:firstLine="490"/>
        <w:spacing w:after="0" w:line="282" w:lineRule="auto"/>
        <w:tabs>
          <w:tab w:leader="none" w:pos="1113"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instruct its transfer agent to issue the Issued Buyer Stock to Seller (or its designee), which Issued Buyer Stock will be subject to the lockup provisions of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120" w:hanging="450"/>
        <w:spacing w:after="0"/>
        <w:tabs>
          <w:tab w:leader="none" w:pos="1120"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Bill of Sale, duly executed by Buyer;</w:t>
      </w:r>
    </w:p>
    <w:p>
      <w:pPr>
        <w:spacing w:after="0" w:line="225" w:lineRule="exact"/>
        <w:rPr>
          <w:rFonts w:ascii="Times New Roman" w:cs="Times New Roman" w:eastAsia="Times New Roman" w:hAnsi="Times New Roman"/>
          <w:sz w:val="18"/>
          <w:szCs w:val="18"/>
          <w:color w:val="auto"/>
        </w:rPr>
      </w:pPr>
    </w:p>
    <w:p>
      <w:pPr>
        <w:ind w:left="1100" w:hanging="430"/>
        <w:spacing w:after="0"/>
        <w:tabs>
          <w:tab w:leader="none" w:pos="1100"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Assignment and Assumption Agreement, duly executed by Buyer;</w:t>
      </w:r>
    </w:p>
    <w:p>
      <w:pPr>
        <w:spacing w:after="0" w:line="225" w:lineRule="exact"/>
        <w:rPr>
          <w:rFonts w:ascii="Times New Roman" w:cs="Times New Roman" w:eastAsia="Times New Roman" w:hAnsi="Times New Roman"/>
          <w:sz w:val="18"/>
          <w:szCs w:val="18"/>
          <w:color w:val="auto"/>
        </w:rPr>
      </w:pPr>
    </w:p>
    <w:p>
      <w:pPr>
        <w:ind w:left="180" w:firstLine="490"/>
        <w:spacing w:after="0" w:line="282" w:lineRule="auto"/>
        <w:tabs>
          <w:tab w:leader="none" w:pos="1117"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any documents or agreements required by the Title Company to issue the policies of title insurance with extended coverage and all endorsements in connection therewith in form and substance acceptable to the Title Company;</w:t>
      </w:r>
    </w:p>
    <w:p>
      <w:pPr>
        <w:spacing w:after="0" w:line="161" w:lineRule="exact"/>
        <w:rPr>
          <w:rFonts w:ascii="Times New Roman" w:cs="Times New Roman" w:eastAsia="Times New Roman" w:hAnsi="Times New Roman"/>
          <w:sz w:val="18"/>
          <w:szCs w:val="18"/>
          <w:color w:val="auto"/>
        </w:rPr>
      </w:pPr>
    </w:p>
    <w:p>
      <w:pPr>
        <w:jc w:val="both"/>
        <w:ind w:left="180" w:firstLine="490"/>
        <w:spacing w:after="0" w:line="266" w:lineRule="auto"/>
        <w:tabs>
          <w:tab w:leader="none" w:pos="1120"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evidence or documents as may be reasonably required by the Title Company evidencing the status and capacity of Buyer and the authority of the person or persons who are executing the various documents on behalf of Buyer in connection with the Owned Real Property;</w:t>
      </w:r>
    </w:p>
    <w:p>
      <w:pPr>
        <w:spacing w:after="0" w:line="175"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61" w:name="page362"/>
    <w:bookmarkEnd w:id="361"/>
    <w:p>
      <w:pPr>
        <w:ind w:left="1300" w:firstLine="490"/>
        <w:spacing w:after="0" w:line="282" w:lineRule="auto"/>
        <w:tabs>
          <w:tab w:leader="none" w:pos="2186"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Indiana and Illinois Resale Exemption Certificates, including Illinois Form CRT-61, Certificate of Resale, and Indiana Form ST-105, General Sales Tax Exemption Certificate;</w:t>
      </w:r>
    </w:p>
    <w:p>
      <w:pPr>
        <w:spacing w:after="0" w:line="161" w:lineRule="exact"/>
        <w:rPr>
          <w:rFonts w:ascii="Times New Roman" w:cs="Times New Roman" w:eastAsia="Times New Roman" w:hAnsi="Times New Roman"/>
          <w:sz w:val="18"/>
          <w:szCs w:val="18"/>
          <w:color w:val="auto"/>
        </w:rPr>
      </w:pPr>
    </w:p>
    <w:p>
      <w:pPr>
        <w:ind w:left="2200" w:hanging="410"/>
        <w:spacing w:after="0"/>
        <w:tabs>
          <w:tab w:leader="none" w:pos="2200"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the Transition Services Agreement, duly executed by Buyer; and</w:t>
      </w:r>
    </w:p>
    <w:p>
      <w:pPr>
        <w:spacing w:after="0" w:line="225" w:lineRule="exact"/>
        <w:rPr>
          <w:rFonts w:ascii="Times New Roman" w:cs="Times New Roman" w:eastAsia="Times New Roman" w:hAnsi="Times New Roman"/>
          <w:sz w:val="18"/>
          <w:szCs w:val="18"/>
          <w:color w:val="auto"/>
        </w:rPr>
      </w:pPr>
    </w:p>
    <w:p>
      <w:pPr>
        <w:ind w:left="1300" w:firstLine="490"/>
        <w:spacing w:after="0" w:line="282" w:lineRule="auto"/>
        <w:tabs>
          <w:tab w:leader="none" w:pos="2235"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other customary instruments of transfer, assumption, filings or documents, in form and substance reasonably satisfactory to Seller, as may be required to give effect to this Agreement.</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shall deliver to the Title Company:</w:t>
      </w:r>
    </w:p>
    <w:p>
      <w:pPr>
        <w:spacing w:after="0" w:line="225" w:lineRule="exact"/>
        <w:rPr>
          <w:rFonts w:ascii="Times New Roman" w:cs="Times New Roman" w:eastAsia="Times New Roman" w:hAnsi="Times New Roman"/>
          <w:sz w:val="18"/>
          <w:szCs w:val="18"/>
          <w:color w:val="auto"/>
        </w:rPr>
      </w:pPr>
    </w:p>
    <w:p>
      <w:pPr>
        <w:ind w:left="1300" w:right="20" w:firstLine="490"/>
        <w:spacing w:after="0" w:line="282" w:lineRule="auto"/>
        <w:tabs>
          <w:tab w:leader="none" w:pos="2219"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or agreements required by the Title Company to issue the policies of title insurance with extended coverage and all endorsements in connection therewith in form and substance acceptable to the Title Company; and</w:t>
      </w:r>
    </w:p>
    <w:p>
      <w:pPr>
        <w:spacing w:after="0" w:line="161" w:lineRule="exact"/>
        <w:rPr>
          <w:rFonts w:ascii="Times New Roman" w:cs="Times New Roman" w:eastAsia="Times New Roman" w:hAnsi="Times New Roman"/>
          <w:sz w:val="18"/>
          <w:szCs w:val="18"/>
          <w:color w:val="auto"/>
        </w:rPr>
      </w:pPr>
    </w:p>
    <w:p>
      <w:pPr>
        <w:jc w:val="both"/>
        <w:ind w:left="1300" w:firstLine="490"/>
        <w:spacing w:after="0" w:line="266" w:lineRule="auto"/>
        <w:tabs>
          <w:tab w:leader="none" w:pos="2272"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evidence or documents as may be reasonably required by the Title Company evidencing the status and capacity of Buyer and the authority of the person or persons who are executing the various documents on behalf of Buyer in connection with the Owned Real Property.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the correspondingly numbered Section of the Disclosure Schedules, Seller represents and warrants to Buyer that the statements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true and correct as of the date hereof.</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4.01 Organization and Qualification of Seller</w:t>
      </w:r>
      <w:r>
        <w:rPr>
          <w:rFonts w:ascii="Times New Roman" w:cs="Times New Roman" w:eastAsia="Times New Roman" w:hAnsi="Times New Roman"/>
          <w:sz w:val="18"/>
          <w:szCs w:val="18"/>
          <w:color w:val="auto"/>
        </w:rPr>
        <w:t>. Seller is a corporation duly organized, validly existing and in good standing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Delaware and has full corporate power and authority to own, operate or lease the Purchased Assets and to carry on the Business as currently conducted at or on the Acquired Facilities. Seller is duly qualified to do business and is in good standing in each jurisdiction in which the ownership of the Purchased Assets or the operation of the Business as currently conducted at or on the Acquired Facilities makes such qualification necessary.</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4.02 Authority of Seller</w:t>
      </w:r>
      <w:r>
        <w:rPr>
          <w:rFonts w:ascii="Times New Roman" w:cs="Times New Roman" w:eastAsia="Times New Roman" w:hAnsi="Times New Roman"/>
          <w:sz w:val="18"/>
          <w:szCs w:val="18"/>
          <w:color w:val="auto"/>
        </w:rPr>
        <w:t>. Seller has full corporate power and authority to enter into this Agreement and the Ancillary Documents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Seller is a party, to carry out its obligations hereunder and thereunder and to consummate the transactions contemplated hereby and thereby. The execution and delivery by Seller of this Agreement and any Ancillary Document to which Seller is a party, the performance by Seller of its obligations hereunder and thereunder and the consummation by Seller of the transactions contemplated hereby and thereby have been duly authorized by all requisite corporate action on the part of Seller. This Agreement has been duly executed and delivered by Seller, and (assuming due authorization, execution and delivery by each other Party hereto) this Agreement constitutes a legal, valid and binding obligation of Seller enforceable against Seller in accordance with its terms. When each Ancillary Document to which Seller is or will be a party has been duly executed and delivered by Seller (assuming due authorization, execution and delivery by each other party thereto), such Ancillary Document will constitute a legal and binding obligation of Seller enforceable against it in accordance with its terms.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2" w:name="page363"/>
    <w:bookmarkEnd w:id="362"/>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4.03 No Conflicts; Consents</w:t>
      </w:r>
      <w:r>
        <w:rPr>
          <w:rFonts w:ascii="Times New Roman" w:cs="Times New Roman" w:eastAsia="Times New Roman" w:hAnsi="Times New Roman"/>
          <w:sz w:val="18"/>
          <w:szCs w:val="18"/>
          <w:color w:val="auto"/>
        </w:rPr>
        <w:t>. The execution, delivery and performance by Seller of this Agreement and the Ancillary Documents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it is a party, and the consummation of the transactions contemplated hereby and thereby, do not and will not: (a) conflict with or result in a violation or breach of, or default under, any provision of the certificate of incorporation, by-laws or other organizational documents of Seller; (b) conflict with or result in a violation or breach of any provision of any Law or Governmental Order applicable to Seller, the Business as currently conducted at or on the Acquired Facilities or the Purchased Assets; (c) except as set forth on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of the Disclosure Schedules,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party the right to accelerate, terminate, modify or cancel any Assigned Contract or Permit; or (d) result in the creation or imposition of any Encumbrance other than Permitted Encumbrances on the Purchased Assets. Except as set forth on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of the Disclosure Schedules, no consent, approval, Permit, Governmental Order, declaration or filing with, or notice to, any Governmental Authority is required by or with respect to Seller in connection with the execution and delivery of this Agreement or any of the Ancillary Documents and the consummation of the transactions contemplated hereby and thereby.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4.04 Financial Statements</w:t>
      </w:r>
      <w:r>
        <w:rPr>
          <w:rFonts w:ascii="Times New Roman" w:cs="Times New Roman" w:eastAsia="Times New Roman" w:hAnsi="Times New Roman"/>
          <w:sz w:val="18"/>
          <w:szCs w:val="18"/>
          <w:color w:val="auto"/>
        </w:rPr>
        <w:t>. Seller has delivered to Buyer a true and correct copy of the Financial Statements attached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Disclosure Schedules (collectively,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were derived from the books and records of the Business and have been prepared in accordance with GAAP applied on a consistent basis throughout the periods involved. Having regard for the purpose for which the Financial Statements were prepared, the Financial Statements fairly present in all material respects the financial condition of (i) the Acquired Facilities,</w:t>
      </w:r>
    </w:p>
    <w:p>
      <w:pPr>
        <w:spacing w:after="0" w:line="3" w:lineRule="exact"/>
        <w:rPr>
          <w:sz w:val="20"/>
          <w:szCs w:val="20"/>
          <w:color w:val="auto"/>
        </w:rPr>
      </w:pPr>
    </w:p>
    <w:p>
      <w:pPr>
        <w:jc w:val="both"/>
        <w:ind w:firstLine="8"/>
        <w:spacing w:after="0" w:line="255" w:lineRule="auto"/>
        <w:tabs>
          <w:tab w:leader="none" w:pos="265"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Inventory Facilities, (iii) Seller’s facility in Tulsa, Oklahoma, (iv) Seller’s headquarters in The Woodlands, Texas, and (v) Seller’s previously-owned facility in Windsor, Colorado as of the respective dates they were prepared and the results of the operations of the Business as currently conducted at or on such facilities and locations for the periods indicated.</w:t>
      </w:r>
    </w:p>
    <w:p>
      <w:pPr>
        <w:spacing w:after="0" w:line="18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4.05</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4.06 Absence of Certain Changes, Events and Conditions</w:t>
      </w:r>
      <w:r>
        <w:rPr>
          <w:rFonts w:ascii="Times New Roman" w:cs="Times New Roman" w:eastAsia="Times New Roman" w:hAnsi="Times New Roman"/>
          <w:sz w:val="18"/>
          <w:szCs w:val="18"/>
          <w:color w:val="auto"/>
        </w:rPr>
        <w:t>. Since December 31, 2021, the Business has been operated in the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Course of Business and there has not been any:</w:t>
      </w:r>
    </w:p>
    <w:p>
      <w:pPr>
        <w:spacing w:after="0" w:line="159" w:lineRule="exact"/>
        <w:rPr>
          <w:sz w:val="20"/>
          <w:szCs w:val="20"/>
          <w:color w:val="auto"/>
        </w:rPr>
      </w:pPr>
    </w:p>
    <w:p>
      <w:pPr>
        <w:ind w:left="1680" w:hanging="376"/>
        <w:spacing w:after="0"/>
        <w:tabs>
          <w:tab w:leader="none" w:pos="168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Adverse Effect;</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12"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assignment, sale or other disposition of any of the Purchased Assets shown or reflected in the Financial Statements, except for the sale of Inventory in the Ordinary Course of Business;</w:t>
      </w:r>
    </w:p>
    <w:p>
      <w:pPr>
        <w:spacing w:after="0" w:line="1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3" w:name="page364"/>
    <w:bookmarkEnd w:id="363"/>
    <w:p>
      <w:pPr>
        <w:ind w:left="1120" w:hanging="476"/>
        <w:spacing w:after="0"/>
        <w:tabs>
          <w:tab w:leader="none" w:pos="112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damage, destruction or loss, or any material interruption in use, of any Purchased Assets, whether or not covered by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or</w:t>
      </w:r>
    </w:p>
    <w:p>
      <w:pPr>
        <w:spacing w:after="0" w:line="206" w:lineRule="exact"/>
        <w:rPr>
          <w:rFonts w:ascii="Times New Roman" w:cs="Times New Roman" w:eastAsia="Times New Roman" w:hAnsi="Times New Roman"/>
          <w:sz w:val="18"/>
          <w:szCs w:val="18"/>
          <w:color w:val="auto"/>
        </w:rPr>
      </w:pPr>
    </w:p>
    <w:p>
      <w:pPr>
        <w:ind w:left="1040" w:hanging="396"/>
        <w:spacing w:after="0"/>
        <w:tabs>
          <w:tab w:leader="none" w:pos="104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termination, material modification to or cancellation of any Assigned Contract or Permit.</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4.07</w:t>
      </w:r>
      <w:r>
        <w:rPr>
          <w:sz w:val="20"/>
          <w:szCs w:val="20"/>
          <w:color w:val="auto"/>
        </w:rPr>
        <w:tab/>
      </w:r>
      <w:r>
        <w:rPr>
          <w:rFonts w:ascii="Times New Roman" w:cs="Times New Roman" w:eastAsia="Times New Roman" w:hAnsi="Times New Roman"/>
          <w:sz w:val="17"/>
          <w:szCs w:val="17"/>
          <w:b w:val="1"/>
          <w:bCs w:val="1"/>
          <w:color w:val="auto"/>
        </w:rPr>
        <w:t>Material Contracts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4"/>
        <w:spacing w:after="0" w:line="255" w:lineRule="auto"/>
        <w:tabs>
          <w:tab w:leader="none" w:pos="106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subsections of </w:t>
      </w:r>
      <w:r>
        <w:rPr>
          <w:rFonts w:ascii="Times New Roman" w:cs="Times New Roman" w:eastAsia="Times New Roman" w:hAnsi="Times New Roman"/>
          <w:sz w:val="18"/>
          <w:szCs w:val="18"/>
          <w:u w:val="single" w:color="auto"/>
          <w:color w:val="auto"/>
        </w:rPr>
        <w:t>Section 4.07(a)</w:t>
      </w:r>
      <w:r>
        <w:rPr>
          <w:rFonts w:ascii="Times New Roman" w:cs="Times New Roman" w:eastAsia="Times New Roman" w:hAnsi="Times New Roman"/>
          <w:sz w:val="18"/>
          <w:szCs w:val="18"/>
          <w:color w:val="auto"/>
        </w:rPr>
        <w:t xml:space="preserve"> of the Disclosure Schedules (as may be updated by Seller prior to Closing solely to reflect any Contracts that are signed in the Ordinary Course of Business after the date of this Agreement) lists each of the following Contracts (it being understood that some Contracts may need to be listed in more than one subsection) (x) by which any of the Purchased Assets are bound or affected or (y) to which Seller is a party or by which it is bound in connection with the Business as currently conducted at or on the Acquired Facilities or the Purchased Assets (such Contracts, together with all Contracts concerning the occupancy, management or operation of any Leased Real Property (including without limitation, brokerage contracts) listed or otherwise disclosed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 xml:space="preserve"> of the Disclosure Schedules and all Intellectual Property Agreements set forth in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 xml:space="preserve"> of the Disclosure Schedules, being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620" w:hanging="490"/>
        <w:spacing w:after="0"/>
        <w:tabs>
          <w:tab w:leader="none" w:pos="162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included in the Purchased Assets;</w:t>
      </w:r>
    </w:p>
    <w:p>
      <w:pPr>
        <w:spacing w:after="0" w:line="225" w:lineRule="exact"/>
        <w:rPr>
          <w:rFonts w:ascii="Times New Roman" w:cs="Times New Roman" w:eastAsia="Times New Roman" w:hAnsi="Times New Roman"/>
          <w:sz w:val="18"/>
          <w:szCs w:val="18"/>
          <w:color w:val="auto"/>
        </w:rPr>
      </w:pPr>
    </w:p>
    <w:p>
      <w:pPr>
        <w:ind w:left="640" w:firstLine="490"/>
        <w:spacing w:after="0" w:line="282" w:lineRule="auto"/>
        <w:tabs>
          <w:tab w:leader="none" w:pos="1688"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require Seller to purchase or sell a stated portion of the requirements or outputs of the Business or that contain “take or pay” provisions;</w:t>
      </w:r>
    </w:p>
    <w:p>
      <w:pPr>
        <w:spacing w:after="0" w:line="161" w:lineRule="exact"/>
        <w:rPr>
          <w:rFonts w:ascii="Times New Roman" w:cs="Times New Roman" w:eastAsia="Times New Roman" w:hAnsi="Times New Roman"/>
          <w:sz w:val="18"/>
          <w:szCs w:val="18"/>
          <w:color w:val="auto"/>
        </w:rPr>
      </w:pPr>
    </w:p>
    <w:p>
      <w:pPr>
        <w:ind w:left="1760" w:hanging="630"/>
        <w:spacing w:after="0"/>
        <w:tabs>
          <w:tab w:leader="none" w:pos="176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provide for the indemnification of any Person other than as part of an ordinary course commercial</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w:t>
      </w:r>
    </w:p>
    <w:p>
      <w:pPr>
        <w:spacing w:after="0" w:line="206" w:lineRule="exact"/>
        <w:rPr>
          <w:rFonts w:ascii="Times New Roman" w:cs="Times New Roman" w:eastAsia="Times New Roman" w:hAnsi="Times New Roman"/>
          <w:sz w:val="18"/>
          <w:szCs w:val="18"/>
          <w:color w:val="auto"/>
        </w:rPr>
      </w:pPr>
    </w:p>
    <w:p>
      <w:pPr>
        <w:ind w:left="640" w:right="20" w:firstLine="490"/>
        <w:spacing w:after="0" w:line="282" w:lineRule="auto"/>
        <w:tabs>
          <w:tab w:leader="none" w:pos="1655"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relate to the acquisition or disposition of any business, a material amount of stock or assets of any other Person or any real property (whether by merger, sale of stock, sale of assets or otherwise);</w:t>
      </w:r>
    </w:p>
    <w:p>
      <w:pPr>
        <w:spacing w:after="0" w:line="161" w:lineRule="exact"/>
        <w:rPr>
          <w:rFonts w:ascii="Times New Roman" w:cs="Times New Roman" w:eastAsia="Times New Roman" w:hAnsi="Times New Roman"/>
          <w:sz w:val="18"/>
          <w:szCs w:val="18"/>
          <w:color w:val="auto"/>
        </w:rPr>
      </w:pPr>
    </w:p>
    <w:p>
      <w:pPr>
        <w:ind w:left="640" w:firstLine="490"/>
        <w:spacing w:after="0" w:line="282" w:lineRule="auto"/>
        <w:tabs>
          <w:tab w:leader="none" w:pos="1628"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broker, distributor, dealer, manufacturer’s representative, franchise, agency, sales promotion, market research, marketing consulting and advertising Contracts;</w:t>
      </w:r>
    </w:p>
    <w:p>
      <w:pPr>
        <w:spacing w:after="0" w:line="161" w:lineRule="exact"/>
        <w:rPr>
          <w:rFonts w:ascii="Times New Roman" w:cs="Times New Roman" w:eastAsia="Times New Roman" w:hAnsi="Times New Roman"/>
          <w:sz w:val="18"/>
          <w:szCs w:val="18"/>
          <w:color w:val="auto"/>
        </w:rPr>
      </w:pPr>
    </w:p>
    <w:p>
      <w:pPr>
        <w:ind w:left="640" w:right="20" w:firstLine="490"/>
        <w:spacing w:after="0" w:line="282" w:lineRule="auto"/>
        <w:tabs>
          <w:tab w:leader="none" w:pos="1632"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employment agreements and Contracts with independent contractors or consultants (or similar arrangements) and which are not cancellable without material penalty or without more than 30 days’ notice;</w:t>
      </w:r>
    </w:p>
    <w:p>
      <w:pPr>
        <w:spacing w:after="0" w:line="161" w:lineRule="exact"/>
        <w:rPr>
          <w:rFonts w:ascii="Times New Roman" w:cs="Times New Roman" w:eastAsia="Times New Roman" w:hAnsi="Times New Roman"/>
          <w:sz w:val="18"/>
          <w:szCs w:val="18"/>
          <w:color w:val="auto"/>
        </w:rPr>
      </w:pPr>
    </w:p>
    <w:p>
      <w:pPr>
        <w:ind w:left="1620" w:hanging="490"/>
        <w:spacing w:after="0"/>
        <w:tabs>
          <w:tab w:leader="none" w:pos="1620"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any Governmental Authority;</w:t>
      </w:r>
    </w:p>
    <w:p>
      <w:pPr>
        <w:spacing w:after="0" w:line="225" w:lineRule="exact"/>
        <w:rPr>
          <w:rFonts w:ascii="Times New Roman" w:cs="Times New Roman" w:eastAsia="Times New Roman" w:hAnsi="Times New Roman"/>
          <w:sz w:val="18"/>
          <w:szCs w:val="18"/>
          <w:color w:val="auto"/>
        </w:rPr>
      </w:pPr>
    </w:p>
    <w:p>
      <w:pPr>
        <w:ind w:left="640" w:firstLine="490"/>
        <w:spacing w:after="0" w:line="282" w:lineRule="auto"/>
        <w:tabs>
          <w:tab w:leader="none" w:pos="1654"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limit or purport to limit the ability of Seller to compete in any line of business or with any Person or in any geographic area or during any period of time;</w:t>
      </w:r>
    </w:p>
    <w:p>
      <w:pPr>
        <w:spacing w:after="0" w:line="161"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2"/>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64" w:name="page365"/>
    <w:bookmarkEnd w:id="364"/>
    <w:p>
      <w:pPr>
        <w:ind w:left="1300" w:firstLine="490"/>
        <w:spacing w:after="0" w:line="282" w:lineRule="auto"/>
        <w:tabs>
          <w:tab w:leader="none" w:pos="228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sale of any of the Purchased Assets or for the grant to any Person of any option, right of first refusal or preferential or similar right to purchase any of the Purchased Assets;</w:t>
      </w:r>
    </w:p>
    <w:p>
      <w:pPr>
        <w:spacing w:after="0" w:line="161" w:lineRule="exact"/>
        <w:rPr>
          <w:rFonts w:ascii="Times New Roman" w:cs="Times New Roman" w:eastAsia="Times New Roman" w:hAnsi="Times New Roman"/>
          <w:sz w:val="18"/>
          <w:szCs w:val="18"/>
          <w:color w:val="auto"/>
        </w:rPr>
      </w:pPr>
    </w:p>
    <w:p>
      <w:pPr>
        <w:ind w:left="2260" w:hanging="470"/>
        <w:spacing w:after="0"/>
        <w:tabs>
          <w:tab w:leader="none" w:pos="226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powers of attorney with respect to the Business or any Purchased Asset;</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collective bargaining agreements or Contracts with any Union; and</w:t>
      </w:r>
    </w:p>
    <w:p>
      <w:pPr>
        <w:spacing w:after="0" w:line="225" w:lineRule="exact"/>
        <w:rPr>
          <w:rFonts w:ascii="Times New Roman" w:cs="Times New Roman" w:eastAsia="Times New Roman" w:hAnsi="Times New Roman"/>
          <w:sz w:val="18"/>
          <w:szCs w:val="18"/>
          <w:color w:val="auto"/>
        </w:rPr>
      </w:pPr>
    </w:p>
    <w:p>
      <w:pPr>
        <w:ind w:left="1300" w:right="20" w:firstLine="490"/>
        <w:spacing w:after="0" w:line="282" w:lineRule="auto"/>
        <w:tabs>
          <w:tab w:leader="none" w:pos="2316"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Contracts that are material to the Purchased Assets or the operation of the Business and not previously disclosed pursuant to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719"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is valid and binding on Seller in accordance with its terms and is in full force and effect. None of Seller or, to the Knowledge of Seller, any other party thereto is in breach of or default under (or is alleged to be in breach of or default under), or has provided or received any notice of any intention to terminate, any Material Contract. To the Knowledge of Seller, no event or circumstance has occurred that, with notice or lapse of time or both, would constitute an event of default under any Material Contract or result in a termination thereof or would cause or permit the acceleration or other changes of any right or obligation or the loss of any benefit thereunder. There are no material disputes pending or, to the Knowledge of Seller, threatened under any Material Contract. Seller has delivered complete and correct copies of each Material Contract that are written Contracts (including all modifications, amendments and supplements thereto and waivers thereunder) to Buyer and has provided complete and accurate written descriptions of all Material Contracts that are oral Contracts.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4.08 Title to Purchased Assets</w:t>
      </w:r>
      <w:r>
        <w:rPr>
          <w:rFonts w:ascii="Times New Roman" w:cs="Times New Roman" w:eastAsia="Times New Roman" w:hAnsi="Times New Roman"/>
          <w:sz w:val="18"/>
          <w:szCs w:val="18"/>
          <w:color w:val="auto"/>
        </w:rPr>
        <w:t>. Seller has good, merchantable and valid title to, or a valid leasehold interest in, all of the 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Property. All such Tangible Personal Property (including leasehold interests) is free and clear of Encumbrances except for the following (collectively referred to as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680" w:hanging="376"/>
        <w:spacing w:after="0"/>
        <w:tabs>
          <w:tab w:leader="none" w:pos="16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(with respect to real estate or otherwise) not yet due and payable;</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75"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of way, zoning ordinances and other similar encumbrances affecting the Owned Real Property which are not, individually or in the aggregate, material to the Business or the Purchased Assets, which do not prohibit or interfere with the current operation of any Owned Real Property and/or were not otherwise objected to and subject to Seller’s agreement to cure during the Title Objection Period;</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matters expressed as exceptions to title as set forth in the Existing Title Policies; or</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757"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original purchase price conditional sales Contracts and equipment leases with third parties entered into in the Ordinary Course of Business consistent with past practice which are not, individually or in the aggregate, material to the Business or the Purchased Assets.</w:t>
      </w:r>
    </w:p>
    <w:p>
      <w:pPr>
        <w:spacing w:after="0" w:line="17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5" w:name="page366"/>
    <w:bookmarkEnd w:id="365"/>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4.09 Condition and Sufficiency of Assets</w:t>
      </w:r>
      <w:r>
        <w:rPr>
          <w:rFonts w:ascii="Times New Roman" w:cs="Times New Roman" w:eastAsia="Times New Roman" w:hAnsi="Times New Roman"/>
          <w:sz w:val="18"/>
          <w:szCs w:val="18"/>
          <w:color w:val="auto"/>
        </w:rPr>
        <w:t>. The buildings, plants, structures, furniture, fixtures, machinery, equipment, vehicles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items of tangible personal property included in the Purchased Assets are structurally sound, are in good operating condition and repair (reasonable wear and tear excepted), and are adequate for the uses to which they are being put, and none of such buildings, plants, structures, furniture, fixtures, machinery, equipment, vehicles and other items of tangible personal property is in need of maintenance or repairs except for ordinary, routine maintenance and repairs that are not material in nature or cost. Except as set forth on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of the Disclosure Schedules, the Purchased Assets are sufficient for the conduct of the Business as currently conducted at or on the Acquired Facilities immediately after the Closing in substantially the same manner as conducted prior to the Closing and constitute all of the rights, property and assets necessary to conduct the Business as currently conducted at or on the Acquired Facilities.</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4.10</w:t>
      </w:r>
      <w:r>
        <w:rPr>
          <w:sz w:val="20"/>
          <w:szCs w:val="20"/>
          <w:color w:val="auto"/>
        </w:rPr>
        <w:tab/>
      </w:r>
      <w:r>
        <w:rPr>
          <w:rFonts w:ascii="Times New Roman" w:cs="Times New Roman" w:eastAsia="Times New Roman" w:hAnsi="Times New Roman"/>
          <w:sz w:val="17"/>
          <w:szCs w:val="17"/>
          <w:b w:val="1"/>
          <w:bCs w:val="1"/>
          <w:color w:val="auto"/>
        </w:rPr>
        <w:t>Real Property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4"/>
        <w:spacing w:after="0" w:line="252" w:lineRule="auto"/>
        <w:tabs>
          <w:tab w:leader="none" w:pos="1687"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of the Disclosure Schedules sets forth a correct legal description, street address and tax parcel identification number of all real property used in or necessary for the conduct of the Business as currently conducted at the Acquired Facilities in which Seller has an ownership interest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Seller has delivered to Buyer accurate and complete copies of (i) the existing title policies with respect to the Owned Real Property (the “</w:t>
      </w:r>
      <w:r>
        <w:rPr>
          <w:rFonts w:ascii="Times New Roman" w:cs="Times New Roman" w:eastAsia="Times New Roman" w:hAnsi="Times New Roman"/>
          <w:sz w:val="18"/>
          <w:szCs w:val="18"/>
          <w:u w:val="single" w:color="auto"/>
          <w:color w:val="auto"/>
        </w:rPr>
        <w:t>Existing Title Policies</w:t>
      </w:r>
      <w:r>
        <w:rPr>
          <w:rFonts w:ascii="Times New Roman" w:cs="Times New Roman" w:eastAsia="Times New Roman" w:hAnsi="Times New Roman"/>
          <w:sz w:val="18"/>
          <w:szCs w:val="18"/>
          <w:color w:val="auto"/>
        </w:rPr>
        <w:t>”), as well as a summary of insurance loss history for 2018, 2019, 2020, 2021 and 2022; (ii) all deeds and other instruments (as recorded) by which Seller acquired its interest in the Owned Real Property; (iii) all documents evidencing Encumbrances upon the Owned Real Property (which, for the avoidance of doubt, Seller will cause to be delivered to Buyer by the Title Company in conjunction with the Title Commitments); (iv) all active service Contracts, vending Contracts, warranties, or other agreements affecting the operation of the Owned Real Property or encumbering the Owned Real Property in any manner, including, without limitation, all agreements, guaranties and Contracts affecting the Owned Real Property, excluding any and all mortgage loan documents; (v) a listing of all utilities servicing the Owned Real Property, together with any utility agreements and copies of bills for the most recent twelve (12) months from each utility; (vi) to the extent that the same exist and are in the possession of Seller, the certificates of occupancy, as well as any permits or licenses for the Owned Real Property; (vii) Owned Real Property incident reports for the most recent twelve (12) month periods; and (viii) all other title reports, surveys and title policies, reasonably available to Seller with respect to the Owned Real Property. There are no outstanding options, rights of first offer or rights of first refusal to purchase any Owned Real Property or any portion thereof or interest therein. Seller has the quality of title to the Owned Real Property expressed in the Existing Title Policies.</w:t>
      </w:r>
    </w:p>
    <w:p>
      <w:pPr>
        <w:spacing w:after="0" w:line="19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11"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 xml:space="preserve"> of the Disclosure Schedules sets forth each parcel of real property leased by Seller and used in or necessary for the conduct of the Business as currently conducted at the Acquired Facilities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a true and complete list of all leases, subleases, licenses, concessions and other agreements (whether written or oral), including all amendments, extensions renewals, guaranties and other agreements with respect thereto, pursuant to which Seller holds any Leased Real Property (collectively, the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Seller has delivered to Buyer a true and complete copy of each Lease, as well as each item set forth in </w:t>
      </w:r>
      <w:r>
        <w:rPr>
          <w:rFonts w:ascii="Times New Roman" w:cs="Times New Roman" w:eastAsia="Times New Roman" w:hAnsi="Times New Roman"/>
          <w:sz w:val="18"/>
          <w:szCs w:val="18"/>
          <w:u w:val="single" w:color="auto"/>
          <w:color w:val="auto"/>
        </w:rPr>
        <w:t>Section 4.10(a)(i)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hereinabove with regard to the Leased Real Property. Furthermore, with respect to each Lease, Seller represents and warrants to Buyer that:</w:t>
      </w:r>
    </w:p>
    <w:p>
      <w:pPr>
        <w:spacing w:after="0" w:line="18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6" w:name="page367"/>
    <w:bookmarkEnd w:id="366"/>
    <w:p>
      <w:pPr>
        <w:ind w:left="1200" w:hanging="530"/>
        <w:spacing w:after="0"/>
        <w:tabs>
          <w:tab w:leader="none" w:pos="120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Lease is valid, binding, enforceable and in full force and effect, subject to those matters set forth in the Existing Title</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w:t>
      </w:r>
    </w:p>
    <w:p>
      <w:pPr>
        <w:spacing w:after="0" w:line="206" w:lineRule="exact"/>
        <w:rPr>
          <w:rFonts w:ascii="Times New Roman" w:cs="Times New Roman" w:eastAsia="Times New Roman" w:hAnsi="Times New Roman"/>
          <w:sz w:val="18"/>
          <w:szCs w:val="18"/>
          <w:color w:val="auto"/>
        </w:rPr>
      </w:pPr>
    </w:p>
    <w:p>
      <w:pPr>
        <w:ind w:left="1160" w:hanging="490"/>
        <w:spacing w:after="0"/>
        <w:tabs>
          <w:tab w:leader="none" w:pos="116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enjoys peaceful and undisturbed possession of the Leased Real Property;</w:t>
      </w:r>
    </w:p>
    <w:p>
      <w:pPr>
        <w:spacing w:after="0" w:line="225" w:lineRule="exact"/>
        <w:rPr>
          <w:rFonts w:ascii="Times New Roman" w:cs="Times New Roman" w:eastAsia="Times New Roman" w:hAnsi="Times New Roman"/>
          <w:sz w:val="18"/>
          <w:szCs w:val="18"/>
          <w:color w:val="auto"/>
        </w:rPr>
      </w:pPr>
    </w:p>
    <w:p>
      <w:pPr>
        <w:jc w:val="both"/>
        <w:ind w:left="180" w:firstLine="490"/>
        <w:spacing w:after="0" w:line="266" w:lineRule="auto"/>
        <w:tabs>
          <w:tab w:leader="none" w:pos="1142"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in breach or default under such Lease, and, to the Knowledge of Seller, no event has occurred or circumstance exists which, with the delivery of notice, passage of time or both, would constitute such a breach or default, and Seller has paid all rent, if any, due and payable under such Lease;</w:t>
      </w:r>
    </w:p>
    <w:p>
      <w:pPr>
        <w:spacing w:after="0" w:line="175" w:lineRule="exact"/>
        <w:rPr>
          <w:rFonts w:ascii="Times New Roman" w:cs="Times New Roman" w:eastAsia="Times New Roman" w:hAnsi="Times New Roman"/>
          <w:sz w:val="18"/>
          <w:szCs w:val="18"/>
          <w:color w:val="auto"/>
        </w:rPr>
      </w:pPr>
    </w:p>
    <w:p>
      <w:pPr>
        <w:jc w:val="both"/>
        <w:ind w:left="180" w:firstLine="490"/>
        <w:spacing w:after="0" w:line="266" w:lineRule="auto"/>
        <w:tabs>
          <w:tab w:leader="none" w:pos="1214"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not received nor given any notice of any default or event that with notice or lapse of time, or both, would constitute a default by Seller under any of the Leases and to Seller’s Knowledge, no other party is in default thereof, and no party to any Lease has exercised any termination rights with respect thereto;</w:t>
      </w:r>
    </w:p>
    <w:p>
      <w:pPr>
        <w:spacing w:after="0" w:line="175" w:lineRule="exact"/>
        <w:rPr>
          <w:rFonts w:ascii="Times New Roman" w:cs="Times New Roman" w:eastAsia="Times New Roman" w:hAnsi="Times New Roman"/>
          <w:sz w:val="18"/>
          <w:szCs w:val="18"/>
          <w:color w:val="auto"/>
        </w:rPr>
      </w:pPr>
    </w:p>
    <w:p>
      <w:pPr>
        <w:ind w:left="180" w:firstLine="490"/>
        <w:spacing w:after="0" w:line="282" w:lineRule="auto"/>
        <w:tabs>
          <w:tab w:leader="none" w:pos="1177"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not subleased, assigned or otherwise granted to any Person the right to use or occupy such Leased Real Property or any portion thereof; and</w:t>
      </w:r>
    </w:p>
    <w:p>
      <w:pPr>
        <w:spacing w:after="0" w:line="161" w:lineRule="exact"/>
        <w:rPr>
          <w:rFonts w:ascii="Times New Roman" w:cs="Times New Roman" w:eastAsia="Times New Roman" w:hAnsi="Times New Roman"/>
          <w:sz w:val="18"/>
          <w:szCs w:val="18"/>
          <w:color w:val="auto"/>
        </w:rPr>
      </w:pPr>
    </w:p>
    <w:p>
      <w:pPr>
        <w:ind w:left="1280" w:hanging="610"/>
        <w:spacing w:after="0"/>
        <w:tabs>
          <w:tab w:leader="none" w:pos="128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not pledged, mortgaged or otherwise granted an Encumbrance on its leasehold interest in any Leased Real</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w:t>
      </w:r>
    </w:p>
    <w:p>
      <w:pPr>
        <w:spacing w:after="0" w:line="206"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638"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not received any written notice of (i) violations of building codes and/or zoning ordinances or other governmental or regulatory Laws affecting the Owned Real Property or the Leased Real Property, (ii) existing, pending or threatened eminent domain, condemnation proceedings or other governmental taking affecting the Owned Real Property or any part thereof or the Leased Real Property or any part thereof, (iii) existing, pending or threatened zoning, building code or other moratorium proceedings, or matters relating to any asserted or alleged violation of any law, rule, regulation, restriction, or order or similar matters which could reasonably be expected to adversely affect the ability to operate the Owned Real Property or the Leased Real Property as currently operated, or (iv) pending or threatened litigation or administrative proceeding affecting Seller or the Owned Real Property or the Leased Real Property. Neither the whole nor any material portion of any the Owned Real Property or the Leased Real Property has been damaged or destroyed by fire or other casualty except as has been fully repaired.</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584"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the zoning endorsements contained in the Existing Title Policies, use of the Owned Real Property and the Leased Real Property for the various purposes for which it is presently being used is permitted as of right under applicable urbanization, zoning and other land use Laws and is not subject to “permitted non conforming” use or structure classifications except as expressed in the zoning endorsements that are a part of the Existing Title Policies. All buildings, structures, fixtures and other improvements, including the roof, foundation and floors and the heating, ventilation, air conditioning, mechanical, electrical and other building systems, included in the Owned Real Property or Leased Real Property (collectively, the “</w:t>
      </w:r>
      <w:r>
        <w:rPr>
          <w:rFonts w:ascii="Times New Roman" w:cs="Times New Roman" w:eastAsia="Times New Roman" w:hAnsi="Times New Roman"/>
          <w:sz w:val="18"/>
          <w:szCs w:val="18"/>
          <w:u w:val="single" w:color="auto"/>
          <w:color w:val="auto"/>
        </w:rPr>
        <w:t>Improvements</w:t>
      </w:r>
      <w:r>
        <w:rPr>
          <w:rFonts w:ascii="Times New Roman" w:cs="Times New Roman" w:eastAsia="Times New Roman" w:hAnsi="Times New Roman"/>
          <w:sz w:val="18"/>
          <w:szCs w:val="18"/>
          <w:color w:val="auto"/>
        </w:rPr>
        <w:t>”) are in material compliance with all applicable Laws, including those pertaining to health and safety, zoning, building and construction requirements and the disabled.</w:t>
      </w:r>
    </w:p>
    <w:p>
      <w:pPr>
        <w:spacing w:after="0" w:line="188"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67" w:name="page368"/>
    <w:bookmarkEnd w:id="367"/>
    <w:p>
      <w:pPr>
        <w:jc w:val="both"/>
        <w:ind w:left="-460" w:firstLine="644"/>
        <w:spacing w:after="0" w:line="254" w:lineRule="auto"/>
        <w:tabs>
          <w:tab w:leader="none" w:pos="622"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shown on the surveys attached to </w:t>
      </w:r>
      <w:r>
        <w:rPr>
          <w:rFonts w:ascii="Times New Roman" w:cs="Times New Roman" w:eastAsia="Times New Roman" w:hAnsi="Times New Roman"/>
          <w:sz w:val="18"/>
          <w:szCs w:val="18"/>
          <w:u w:val="single" w:color="auto"/>
          <w:color w:val="auto"/>
        </w:rPr>
        <w:t>Section 4.10(e</w:t>
      </w:r>
      <w:r>
        <w:rPr>
          <w:rFonts w:ascii="Times New Roman" w:cs="Times New Roman" w:eastAsia="Times New Roman" w:hAnsi="Times New Roman"/>
          <w:sz w:val="18"/>
          <w:szCs w:val="18"/>
          <w:color w:val="auto"/>
        </w:rPr>
        <w:t>) of the Disclosure Schedules (the “</w:t>
      </w:r>
      <w:r>
        <w:rPr>
          <w:rFonts w:ascii="Times New Roman" w:cs="Times New Roman" w:eastAsia="Times New Roman" w:hAnsi="Times New Roman"/>
          <w:sz w:val="18"/>
          <w:szCs w:val="18"/>
          <w:u w:val="single" w:color="auto"/>
          <w:color w:val="auto"/>
        </w:rPr>
        <w:t>Existing Surveys</w:t>
      </w:r>
      <w:r>
        <w:rPr>
          <w:rFonts w:ascii="Times New Roman" w:cs="Times New Roman" w:eastAsia="Times New Roman" w:hAnsi="Times New Roman"/>
          <w:sz w:val="18"/>
          <w:szCs w:val="18"/>
          <w:color w:val="auto"/>
        </w:rPr>
        <w:t>”), no part of any Improvement encroaches on, or otherwise conflicts with the property rights of, any real property not included in the Owned Real Property or Leased Real Property, and there are no buildings, structures, fixtures or other improvements primarily situated on adjoining property which encroach on any part of the Owned Real Property or Leased Real Property, or otherwise conflict with the property rights and construction requirements of Seller. Each parcel of Owned Real Property and Leased Real Property (i) abuts on and has direct vehicular access to an improved public road or has access to an improved public road via a permanent, irrevocable, appurtenant easement improved with a road benefiting such parcel of Owned Real Property or Leased Real Property and comprising a part of the Owned Real Property or Leased Real Property, (ii) is supplied with public or quasi-public utilities and other services appropriate for the operation of the Improvement located on such parcel and the operation of Seller’s business thereon and (iii) is not located within any flood plain or area subject to wetlands regulation or any similar restriction.</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9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Improvements are structurally sound, are in good operating condition and repair, ordinary wear and tear excepted, have been during the period of Seller’s ownership suitable for the purposes for which they are being used and currently planned to be used by Seller and have been maintained in accordance with normal industry practice. The Owned Real Property and the Leased Real Property constitutes all such property used in or necessary to conduct the Business as currently conducted at or on the Acquired Facilities.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78"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4.10(g)</w:t>
      </w:r>
      <w:r>
        <w:rPr>
          <w:rFonts w:ascii="Times New Roman" w:cs="Times New Roman" w:eastAsia="Times New Roman" w:hAnsi="Times New Roman"/>
          <w:sz w:val="18"/>
          <w:szCs w:val="18"/>
          <w:color w:val="auto"/>
        </w:rPr>
        <w:t xml:space="preserve"> of the Disclosure Schedules sets forth a complete and accurate list of all certificates of occupancy, permits, licenses, franchises, approvals and authorizations (collectively, the “</w:t>
      </w:r>
      <w:r>
        <w:rPr>
          <w:rFonts w:ascii="Times New Roman" w:cs="Times New Roman" w:eastAsia="Times New Roman" w:hAnsi="Times New Roman"/>
          <w:sz w:val="18"/>
          <w:szCs w:val="18"/>
          <w:u w:val="single" w:color="auto"/>
          <w:color w:val="auto"/>
        </w:rPr>
        <w:t>Real Property Permits</w:t>
      </w:r>
      <w:r>
        <w:rPr>
          <w:rFonts w:ascii="Times New Roman" w:cs="Times New Roman" w:eastAsia="Times New Roman" w:hAnsi="Times New Roman"/>
          <w:sz w:val="18"/>
          <w:szCs w:val="18"/>
          <w:color w:val="auto"/>
        </w:rPr>
        <w:t>”) of all Governmental Authorities, boards of fire underwriters, associations or any other Person having jurisdiction over the Owned Real Property or Leased Real Property that, to Seller’s Knowledge, are required or appropriate to use or occupy the Owned Real Property or Leased Real Property or operate the Business as currently conducted thereon. All Real Property Permits have been issued and are in full force and effect. Seller has delivered to Buyer accurate and complete copies of all Real Property Permits. Seller has received no notice from any Governmental Authority or other Person having jurisdiction over the Owned Real Property or Leased Real Property (i) that the Real Property Permits are insufficient for the aforesaid purposes, or (ii) threatening a suspension, revocation, modification or cancellation of any Real Property Permit. To Seller’s Knowledge, no event has occurred or circumstance exists that could reasonably be expected to give rise to the issuance of any such notice or the taking of any such action.</w:t>
      </w:r>
    </w:p>
    <w:p>
      <w:pPr>
        <w:spacing w:after="0" w:line="188"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68" w:name="page369"/>
    <w:bookmarkEnd w:id="368"/>
    <w:p>
      <w:pPr>
        <w:jc w:val="both"/>
        <w:ind w:left="4" w:firstLine="644"/>
        <w:spacing w:after="0" w:line="266" w:lineRule="auto"/>
        <w:tabs>
          <w:tab w:leader="none" w:pos="106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4.10(h)</w:t>
      </w:r>
      <w:r>
        <w:rPr>
          <w:rFonts w:ascii="Times New Roman" w:cs="Times New Roman" w:eastAsia="Times New Roman" w:hAnsi="Times New Roman"/>
          <w:sz w:val="18"/>
          <w:szCs w:val="18"/>
          <w:color w:val="auto"/>
        </w:rPr>
        <w:t xml:space="preserve"> of the Disclosure Schedules, the Real Property Permits are transferable to Buyer without the consent of the issuing Governmental Authority or Person; no disclosure, filing or other action by Seller is required in connection with such transfer; and Buyer will not be required to assume any additional Liabilities under the Real Property Permits as a result of such transfer.</w:t>
      </w:r>
    </w:p>
    <w:p>
      <w:pPr>
        <w:spacing w:after="0" w:line="175"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1078"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the tax parcel endorsements contained in the Existing Title Policies, the parcels constituting the Owned Real Property and Leased Real Property are assessed separately from all other adjacent property not constituting the Owned Real Property or Leased Real Property for purposes of real estate Taxes assessed to, or paid by, Seller. There are no Taxes, assessments, fees, charges or similar costs or expenses imposed by any Governmental Authority, association or other Person having jurisdiction over the Owned Real Property or Leased Real Property with respect to any Owned Real Property or Leased Real Property or portion thereof that are delinquent and there is no pending or threatened increase or special assessment or reassessment of any such Taxes, costs or expenses.</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999"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Owned Real Property and the Leased Real Property, taken together, are sufficient for the continued conduct of the Business after the Closing in substantially the same manner as conducted prior to the Closing and constitutes all of the real property necessary to conduct the Business as currently conducted.</w:t>
      </w:r>
    </w:p>
    <w:p>
      <w:pPr>
        <w:spacing w:after="0" w:line="172"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Section 4.11</w:t>
        <w:tab/>
        <w:t>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644"/>
        <w:spacing w:after="0" w:line="255" w:lineRule="auto"/>
        <w:tabs>
          <w:tab w:leader="none" w:pos="1031"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xml:space="preserve"> of the Disclosure Schedules contains a correct, current and complete list of: (i) all Intellectual Property Registrations owned or purported to be owned by Seller exclusively or primarily used or held for use in the Business, specifying as to each, as applicable: the title, mark, or design; the jurisdiction by or in which it has been issued, registered or filed; the patent, registration or application serial number; the issue, registration or filing date; and the current status; (ii) all material unregistered Trademarks included in the Intellectual Property Assets; and</w:t>
      </w:r>
    </w:p>
    <w:p>
      <w:pPr>
        <w:spacing w:after="0" w:line="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proprietary Software included in the Intellectual Property Assets.</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069"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4.11(b)(i)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as applicable of the Disclosure Schedules contains a correct, current and complete list of all Intellectual Property Agreements, specifying for each the date, title, and parties thereto: (i) under which Seller is a licensor or otherwise grants to any Person any right or interest relating to any Intellectual Property Asset, except for any non-exclusive licenses or sublicenses granted to independent third parties in the Ordinary Course of Business; (ii) under which Seller is a licensee or otherwise granted any right or interest relating to the Intellectual Property of any Person except for any Open Source Licenses, “shrink wrap” or “click wrap” licenses and licenses for commercially available off-the-shelf software with a replacement value of $25,000 or less. Seller has provided Buyer with true and complete copies (or in the case of any oral agreements, a complete and correct written description) of all such Intellectual Property Agreements, including all modifications, amendments and supplements thereto and waivers thereunder. Each Intellectual Property Agreement listed in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 xml:space="preserve"> of the of the Disclosure Schedules is valid and binding on Seller in accordance with its terms and is in full force and effect. Neither Seller nor to Seller’s Knowledge any other party thereto is, or is alleged to be, in breach of or default under, or has provided or received any notice of breach of, default under, or intention to terminate (including by non-renewal), any Intellectual Property Agreement.</w:t>
      </w:r>
    </w:p>
    <w:p>
      <w:pPr>
        <w:spacing w:after="0" w:line="191"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369" w:name="page370"/>
    <w:bookmarkEnd w:id="369"/>
    <w:p>
      <w:pPr>
        <w:jc w:val="both"/>
        <w:ind w:left="-460" w:firstLine="644"/>
        <w:spacing w:after="0" w:line="254" w:lineRule="auto"/>
        <w:tabs>
          <w:tab w:leader="none" w:pos="59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is the sole and exclusive legal and beneficial, and with respect to the Intellectual Property Registrations, record, owner of all right, title and interest in and to the Intellectual Property Assets, and has the valid and enforceable right to use all other Intellectual Property used or held for use in or necessary for the conduct of the Business as currently conducted at or by the Acquired Facilities, free and clear of Encumbrances other than Permitted Encumbrances. Except as set forth on </w:t>
      </w:r>
      <w:r>
        <w:rPr>
          <w:rFonts w:ascii="Times New Roman" w:cs="Times New Roman" w:eastAsia="Times New Roman" w:hAnsi="Times New Roman"/>
          <w:sz w:val="18"/>
          <w:szCs w:val="18"/>
          <w:u w:val="single" w:color="auto"/>
          <w:color w:val="auto"/>
        </w:rPr>
        <w:t>Section 4.11(c)</w:t>
      </w:r>
      <w:r>
        <w:rPr>
          <w:rFonts w:ascii="Times New Roman" w:cs="Times New Roman" w:eastAsia="Times New Roman" w:hAnsi="Times New Roman"/>
          <w:sz w:val="18"/>
          <w:szCs w:val="18"/>
          <w:color w:val="auto"/>
        </w:rPr>
        <w:t xml:space="preserve"> of the Disclosure Schedules, the Intellectual Property Assets and Licensed Intellectual Property constitute all of the material Intellectual Property necessary to operate the Business as presently conducted at the Acquired Facilities. Seller has entered into binding, valid and enforceable written Contracts with current and former employees and independent contractors who are or were involved in or has contributed to the invention, creation, or development of any Intellectual Property during the course of employment or engagement with Seller whereby Seller has obtained either, by operation of Law or by valid assignment or transfer, ownership of all such Intellectual Property. Seller has provided Buyer with true and complete copies of all such Contracts.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728"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4.11(d)</w:t>
      </w:r>
      <w:r>
        <w:rPr>
          <w:rFonts w:ascii="Times New Roman" w:cs="Times New Roman" w:eastAsia="Times New Roman" w:hAnsi="Times New Roman"/>
          <w:sz w:val="18"/>
          <w:szCs w:val="18"/>
          <w:color w:val="auto"/>
        </w:rPr>
        <w:t xml:space="preserve"> of the Disclosure Schedules, neither the execution, delivery, or performance of this Agreement, nor the consummation of the transactions contemplated hereunder, will result in the loss or impairment of or payment of any additional amounts with respect to, or require the consent of any other Person in respect of, Buyer’s right to own or use any Intellectual Property Assets or Licensed Intellectual Property in the conduct of the Business as currently conducted and as proposed to be conducted at or on the Acquired Facilities. Except as set forth on </w:t>
      </w:r>
      <w:r>
        <w:rPr>
          <w:rFonts w:ascii="Times New Roman" w:cs="Times New Roman" w:eastAsia="Times New Roman" w:hAnsi="Times New Roman"/>
          <w:sz w:val="18"/>
          <w:szCs w:val="18"/>
          <w:u w:val="single" w:color="auto"/>
          <w:color w:val="auto"/>
        </w:rPr>
        <w:t>Section 4.11(d)</w:t>
      </w:r>
      <w:r>
        <w:rPr>
          <w:rFonts w:ascii="Times New Roman" w:cs="Times New Roman" w:eastAsia="Times New Roman" w:hAnsi="Times New Roman"/>
          <w:sz w:val="18"/>
          <w:szCs w:val="18"/>
          <w:color w:val="auto"/>
        </w:rPr>
        <w:t xml:space="preserve"> of the Disclosure Schedules, immediately following the Closing, all Intellectual Property Assets will be owned or available for use by Buyer on substantially identical terms and conditions as they were owned or available for use by Seller immediately prior to the Closing.</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8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Intellectual Property Assets are, to Seller’s Knowledge, valid and enforceable, and all Intellectual Property Registrations are subsisting and in full force and effect. Seller has taken all commercially reasonable and necessary steps to maintain the Intellectual Property Assets and to preserve the confidentiality of all Trade Secrets included in the Intellectual Property Assets. All required filings and fees related to the Intellectual Property Registrations have been timely submitted with and paid to the relevant Governmental Authorities and authorized registrars.</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664"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the Business as currently and formerly conducted and as proposed to be conducted, including the use of the Intellectual Property Assets and Licensed Intellectual Property in connection therewith, and the products, processes, and services of the Business at the Acquired Facilities in the past three years have not infringed, misappropriated, or otherwise violated and will not infringe, misappropriate, or otherwise violate the Intellectual Property of any Person. To Seller’s Knowledge, no Person has infringed, misappropriated, or otherwise violated any Intellectual Property Assets.</w:t>
      </w:r>
    </w:p>
    <w:p>
      <w:pPr>
        <w:spacing w:after="0" w:line="183"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70" w:name="page371"/>
    <w:bookmarkEnd w:id="370"/>
    <w:p>
      <w:pPr>
        <w:jc w:val="both"/>
        <w:ind w:left="660" w:firstLine="644"/>
        <w:spacing w:after="0" w:line="254" w:lineRule="auto"/>
        <w:tabs>
          <w:tab w:leader="none" w:pos="1724"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(including any opposition, cancellation, revocation, review, or other proceeding), whether settled, pending or threatened (including in the form of offers to obtain a license): (i) alleging any infringement, misappropriation, or other violation of the Intellectual Property of any Person by Seller in the conduct of the Business at the Acquired Facilities; (ii) challenging the validity, enforceability, registrability, patentability, or ownership of any Intellectual Property Assets; or (iii) by Seller or, to Seller’s Knowledge, any other Person alleging any infringement, misappropriation, or other violation by any Person of any Intellectual Property Assets. Seller is not aware of any facts or circumstances that could reasonably be expected to give rise to any such Action. Seller is not subject to any outstanding or prospective Governmental Order (including any motion or petition therefor) that does or could reasonably be expected to restrict or impair the use of any Intellectual Property Assets or Licensed Intellectual Property by Buyer in the conduct of the Business at the Acquired Facilities.</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722"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Business IT Systems are in good working condition and are sufficient for the operation of the Business as currently conducted and as proposed to be conducted at the Closing at the Acquired Facilities. In the past two years, there has been no malfunction, failure, continued substandard performance, denial-of-service, or other cyber incident, including any cyberattack, or other impairment of the Business IT Systems that has resulted or is reasonably likely to result in material disruption or damage to the Business and that has not been remedied. Seller has taken all commercially reasonable steps to safeguard the confidentiality, availability, security, and integrity of the Business IT Systems, including implementing and maintaining appropriate backup, disaster recovery, and Software and hardware support arrangements.</w:t>
      </w:r>
    </w:p>
    <w:p>
      <w:pPr>
        <w:spacing w:after="0" w:line="187"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773"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complied in all material respects with all applicable Laws and all internal or publicly posted policies, notices, and statements concerning the collection, use, processing, storage, transfer, and security of personal information in the conduct of the Business. In the past two years, Seller has not (i) to Seller’s Knowledge, experienced any actual, alleged, or suspected data breach or other security incident involving personal information in its possession or control or (ii) been subject to or received any written notice of any audit, investigation, complaint, or other Action by any Governmental Authority or other Person concerning its collection, use, processing, storage, transfer, or protection of personal information or actual, alleged, or suspected violation of any applicable Law concerning privacy, data security, or data breach notification, in each case in connection with the conduct of the Business, and to Seller’s Knowledge, there are no facts or circumstances that could reasonably be expected to give rise to any such Action.</w:t>
      </w:r>
    </w:p>
    <w:p>
      <w:pPr>
        <w:spacing w:after="0" w:line="18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4.12 Inventory</w:t>
      </w:r>
      <w:r>
        <w:rPr>
          <w:rFonts w:ascii="Times New Roman" w:cs="Times New Roman" w:eastAsia="Times New Roman" w:hAnsi="Times New Roman"/>
          <w:sz w:val="18"/>
          <w:szCs w:val="18"/>
          <w:color w:val="auto"/>
        </w:rPr>
        <w:t>. The Inventory is in good and marketable condition and is usable and saleable in the Ordinary Course of Business.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inventory stated on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of the Disclosure Schedules is consistent with the Inventory Valuation Principles set forth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4.13</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1" w:name="page372"/>
    <w:bookmarkEnd w:id="371"/>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4.14</w:t>
      </w:r>
      <w:r>
        <w:rPr>
          <w:sz w:val="20"/>
          <w:szCs w:val="20"/>
          <w:color w:val="auto"/>
        </w:rPr>
        <w:tab/>
      </w:r>
      <w:r>
        <w:rPr>
          <w:rFonts w:ascii="Times New Roman" w:cs="Times New Roman" w:eastAsia="Times New Roman" w:hAnsi="Times New Roman"/>
          <w:sz w:val="17"/>
          <w:szCs w:val="17"/>
          <w:b w:val="1"/>
          <w:bCs w:val="1"/>
          <w:color w:val="auto"/>
        </w:rPr>
        <w:t>Customers and Suppliers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4"/>
        <w:spacing w:after="0" w:line="258" w:lineRule="auto"/>
        <w:tabs>
          <w:tab w:leader="none" w:pos="109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4.14(a)</w:t>
      </w:r>
      <w:r>
        <w:rPr>
          <w:rFonts w:ascii="Times New Roman" w:cs="Times New Roman" w:eastAsia="Times New Roman" w:hAnsi="Times New Roman"/>
          <w:sz w:val="18"/>
          <w:szCs w:val="18"/>
          <w:color w:val="auto"/>
        </w:rPr>
        <w:t xml:space="preserve"> of the Disclosure Schedules sets forth for the most recent fiscal year and for the prior fiscal year (i) the top 25 customers in terms of revenue of the Business at the Acquired Facilities for goods or services rendered in such fiscal year (collectively, the “</w:t>
      </w:r>
      <w:r>
        <w:rPr>
          <w:rFonts w:ascii="Times New Roman" w:cs="Times New Roman" w:eastAsia="Times New Roman" w:hAnsi="Times New Roman"/>
          <w:sz w:val="18"/>
          <w:szCs w:val="18"/>
          <w:u w:val="single" w:color="auto"/>
          <w:color w:val="auto"/>
        </w:rPr>
        <w:t>Material Customers</w:t>
      </w:r>
      <w:r>
        <w:rPr>
          <w:rFonts w:ascii="Times New Roman" w:cs="Times New Roman" w:eastAsia="Times New Roman" w:hAnsi="Times New Roman"/>
          <w:sz w:val="18"/>
          <w:szCs w:val="18"/>
          <w:color w:val="auto"/>
        </w:rPr>
        <w:t>”); and (ii) the amount of consideration paid by each Material Customer during such period. Seller has not received any written notice, and has no Knowledge, that any of the Material Customers has ceased, or intends to cease after the Closing, to use the goods or services of the Business or to otherwise materially reduce its relationship with the Business.</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1105"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4.14(b)</w:t>
      </w:r>
      <w:r>
        <w:rPr>
          <w:rFonts w:ascii="Times New Roman" w:cs="Times New Roman" w:eastAsia="Times New Roman" w:hAnsi="Times New Roman"/>
          <w:sz w:val="18"/>
          <w:szCs w:val="18"/>
          <w:color w:val="auto"/>
        </w:rPr>
        <w:t xml:space="preserve"> of the Disclosure Schedules sets forth for the most recent fiscal year and for the prior fiscal year (i) the top 25 suppliers in terms of amounts paid by the Business at the Acquired Facilities to whom Seller has paid consideration for goods or services rendered in such fiscal year (collectively, the “</w:t>
      </w:r>
      <w:r>
        <w:rPr>
          <w:rFonts w:ascii="Times New Roman" w:cs="Times New Roman" w:eastAsia="Times New Roman" w:hAnsi="Times New Roman"/>
          <w:sz w:val="18"/>
          <w:szCs w:val="18"/>
          <w:u w:val="single" w:color="auto"/>
          <w:color w:val="auto"/>
        </w:rPr>
        <w:t>Material Suppliers</w:t>
      </w:r>
      <w:r>
        <w:rPr>
          <w:rFonts w:ascii="Times New Roman" w:cs="Times New Roman" w:eastAsia="Times New Roman" w:hAnsi="Times New Roman"/>
          <w:sz w:val="18"/>
          <w:szCs w:val="18"/>
          <w:color w:val="auto"/>
        </w:rPr>
        <w:t>”); and (ii) the amount of purchases from each Material Supplier during such period. Seller has not received any written notice, and has no Knowledge, that any of the Material Suppliers has ceased, or intends to cease, to supply goods or services to the Business or to otherwise materially reduce its relationship with the Business.</w:t>
      </w:r>
    </w:p>
    <w:p>
      <w:pPr>
        <w:spacing w:after="0" w:line="17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4.15</w:t>
      </w:r>
      <w:r>
        <w:rPr>
          <w:sz w:val="20"/>
          <w:szCs w:val="20"/>
          <w:color w:val="auto"/>
        </w:rPr>
        <w:tab/>
      </w:r>
      <w:r>
        <w:rPr>
          <w:rFonts w:ascii="Times New Roman" w:cs="Times New Roman" w:eastAsia="Times New Roman" w:hAnsi="Times New Roman"/>
          <w:sz w:val="17"/>
          <w:szCs w:val="17"/>
          <w:b w:val="1"/>
          <w:bCs w:val="1"/>
          <w:color w:val="auto"/>
        </w:rPr>
        <w:t>Legal Proceedings; Governmental Orders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4"/>
        <w:spacing w:after="0" w:line="261" w:lineRule="auto"/>
        <w:tabs>
          <w:tab w:leader="none" w:pos="105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pending or, to the Knowledge of Seller, threatened against or by Seller (i) relating to or, to the Knowledge of Seller, affecting the Business at the Acquired Facilities, the Purchased Assets or the Assumed Liabilities; or (ii) that challenge or seek to prevent, enjoin or otherwise delay the transactions contemplated by this Agreement. To the Knowledge of Seller, no event has occurred or circumstances exist that may give rise to, or serve as a basis for, any such Action.</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104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 xml:space="preserve"> of the Disclosure Schedules, there are no outstanding Governmental Orders and no unsatisfied judgments, penalties or awards against, relating to or, to the Knowledge of Seller, affecting the Business. Seller is in compliance with the terms of each Governmental Order set forth in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 xml:space="preserve"> of the Disclosure Schedules. To the Knowledge of Seller, no event has occurred or circumstances exist that may constitute or result in (with or without notice or lapse of time) a violation of any such Governmental Order.</w:t>
      </w:r>
    </w:p>
    <w:p>
      <w:pPr>
        <w:spacing w:after="0" w:line="17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4.16</w:t>
      </w:r>
      <w:r>
        <w:rPr>
          <w:sz w:val="20"/>
          <w:szCs w:val="20"/>
          <w:color w:val="auto"/>
        </w:rPr>
        <w:tab/>
      </w:r>
      <w:r>
        <w:rPr>
          <w:rFonts w:ascii="Times New Roman" w:cs="Times New Roman" w:eastAsia="Times New Roman" w:hAnsi="Times New Roman"/>
          <w:sz w:val="17"/>
          <w:szCs w:val="17"/>
          <w:b w:val="1"/>
          <w:bCs w:val="1"/>
          <w:color w:val="auto"/>
        </w:rPr>
        <w:t>Compliance With Laws; Permits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644"/>
        <w:spacing w:after="0" w:line="282" w:lineRule="auto"/>
        <w:tabs>
          <w:tab w:leader="none" w:pos="106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now complying, in all material respects with all Laws applicable to the conduct of the Business as currently conducted or the ownership and use of the Purchased Assets.</w:t>
      </w:r>
    </w:p>
    <w:p>
      <w:pPr>
        <w:spacing w:after="0" w:line="161" w:lineRule="exact"/>
        <w:rPr>
          <w:rFonts w:ascii="Times New Roman" w:cs="Times New Roman" w:eastAsia="Times New Roman" w:hAnsi="Times New Roman"/>
          <w:sz w:val="18"/>
          <w:szCs w:val="18"/>
          <w:color w:val="auto"/>
        </w:rPr>
      </w:pPr>
    </w:p>
    <w:p>
      <w:pPr>
        <w:jc w:val="both"/>
        <w:ind w:firstLine="644"/>
        <w:spacing w:after="0" w:line="255" w:lineRule="auto"/>
        <w:tabs>
          <w:tab w:leader="none" w:pos="1073"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Permits required for Seller to conduct the Business at the Acquired Facilities as currently conducted or for the ownership and use of the Purchased Assets have been obtained by Seller and are valid and in full force and effect. All fees and charges with respect to such Permits as of the date hereof have been paid in full. </w:t>
      </w: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 xml:space="preserve"> of the Disclosure Schedules lists all current Permits issued to Seller which are related to the conduct of the Business as currently conducted at the Acquired Facilities or the ownership and use of the Purchased Assets, including the names of the Permits. To the Knowledge of Seller, no event has occurred that, with or without notice or lapse of time or both, would reasonably be expected to result in the revocation, suspension, lapse or limitation of any Permit set forth in </w:t>
      </w: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 xml:space="preserve"> of the Disclosure Schedules.</w:t>
      </w:r>
    </w:p>
    <w:p>
      <w:pPr>
        <w:spacing w:after="0" w:line="188"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76" w:right="339" w:bottom="1440" w:gutter="0" w:footer="0" w:header="0"/>
        </w:sectPr>
      </w:pPr>
    </w:p>
    <w:bookmarkStart w:id="372" w:name="page373"/>
    <w:bookmarkEnd w:id="372"/>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4.17</w:t>
      </w:r>
      <w:r>
        <w:rPr>
          <w:sz w:val="20"/>
          <w:szCs w:val="20"/>
          <w:color w:val="auto"/>
        </w:rPr>
        <w:tab/>
      </w:r>
      <w:r>
        <w:rPr>
          <w:rFonts w:ascii="Times New Roman" w:cs="Times New Roman" w:eastAsia="Times New Roman" w:hAnsi="Times New Roman"/>
          <w:sz w:val="17"/>
          <w:szCs w:val="17"/>
          <w:b w:val="1"/>
          <w:bCs w:val="1"/>
          <w:color w:val="auto"/>
        </w:rPr>
        <w:t>Environmental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Except for those matters that are disclosed in the applicable subsection of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xml:space="preserve"> of the Disclosure Schedules:</w:t>
      </w:r>
    </w:p>
    <w:p>
      <w:pPr>
        <w:spacing w:after="0" w:line="225" w:lineRule="exact"/>
        <w:rPr>
          <w:sz w:val="20"/>
          <w:szCs w:val="20"/>
          <w:color w:val="auto"/>
        </w:rPr>
      </w:pPr>
    </w:p>
    <w:p>
      <w:pPr>
        <w:jc w:val="both"/>
        <w:ind w:firstLine="644"/>
        <w:spacing w:after="0" w:line="256" w:lineRule="auto"/>
        <w:tabs>
          <w:tab w:leader="none" w:pos="106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Seller with respect to the Business at the Acquired Facilities and the Purchased Assets are currently and for the past four (4) years have been in compliance in all material respects with all Environmental Laws. Seller has not received (i) from any Person, with respect to the Business at the Acquired Facilities or the Purchased Assets, any material Environmental Notice or any material Environmental Claim; or (ii) from any Governmental Authority, with respect to the Business at the Acquired Facilities or the Purchased Assets, any material written request for information pursuant to Environmental Law, which, in each case, either remains pending or unresolved, or is the source of ongoing obligations or requirements as of the Closing Date.</w:t>
      </w:r>
    </w:p>
    <w:p>
      <w:pPr>
        <w:spacing w:after="0" w:line="187" w:lineRule="exact"/>
        <w:rPr>
          <w:rFonts w:ascii="Times New Roman" w:cs="Times New Roman" w:eastAsia="Times New Roman" w:hAnsi="Times New Roman"/>
          <w:sz w:val="18"/>
          <w:szCs w:val="18"/>
          <w:color w:val="auto"/>
        </w:rPr>
      </w:pPr>
    </w:p>
    <w:p>
      <w:pPr>
        <w:jc w:val="both"/>
        <w:ind w:firstLine="644"/>
        <w:spacing w:after="0" w:line="256" w:lineRule="auto"/>
        <w:tabs>
          <w:tab w:leader="none" w:pos="1121"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has obtained and is in compliance in all material respects with all Environmental Permits (each of which is disclosed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of the Disclosure Schedules) necessary for the conduct of the Business at the Acquired Facilities or with respect to the Purchased Assets as currently conducted or the ownership, lease, operation or use of the Purchased Assets and all such Environmental Permits are in full force and effect and shall be maintained in full force and effect by Seller through the Closing Date in accordance with Environmental Law. Seller has not received any Environmental Notice regarding any pending or threatened material adverse change in the status or terms and conditions of the same.</w:t>
      </w:r>
    </w:p>
    <w:p>
      <w:pPr>
        <w:spacing w:after="0" w:line="187" w:lineRule="exact"/>
        <w:rPr>
          <w:rFonts w:ascii="Times New Roman" w:cs="Times New Roman" w:eastAsia="Times New Roman" w:hAnsi="Times New Roman"/>
          <w:sz w:val="18"/>
          <w:szCs w:val="18"/>
          <w:color w:val="auto"/>
        </w:rPr>
      </w:pPr>
    </w:p>
    <w:p>
      <w:pPr>
        <w:jc w:val="both"/>
        <w:ind w:firstLine="644"/>
        <w:spacing w:after="0" w:line="266" w:lineRule="auto"/>
        <w:tabs>
          <w:tab w:leader="none" w:pos="1067"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of its Affiliates or their Representatives (while working on behalf of Seller or its Affiliates) has directly or indirectly Released Hazardous Materials at, on, to, or from the Owned Real Property or the Leased Real Property, and to Seller’s Knowledge no other Person has done so, which would reasonably be expected to result in material Liability of Seller under Environmental Law.</w:t>
      </w:r>
    </w:p>
    <w:p>
      <w:pPr>
        <w:spacing w:after="0" w:line="175" w:lineRule="exact"/>
        <w:rPr>
          <w:rFonts w:ascii="Times New Roman" w:cs="Times New Roman" w:eastAsia="Times New Roman" w:hAnsi="Times New Roman"/>
          <w:sz w:val="18"/>
          <w:szCs w:val="18"/>
          <w:color w:val="auto"/>
        </w:rPr>
      </w:pPr>
    </w:p>
    <w:p>
      <w:pPr>
        <w:ind w:right="20" w:firstLine="644"/>
        <w:spacing w:after="0" w:line="282" w:lineRule="auto"/>
        <w:tabs>
          <w:tab w:leader="none" w:pos="1051"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4.17(d)</w:t>
      </w:r>
      <w:r>
        <w:rPr>
          <w:rFonts w:ascii="Times New Roman" w:cs="Times New Roman" w:eastAsia="Times New Roman" w:hAnsi="Times New Roman"/>
          <w:sz w:val="18"/>
          <w:szCs w:val="18"/>
          <w:color w:val="auto"/>
        </w:rPr>
        <w:t xml:space="preserve"> of the Disclosure Schedules contains a complete and accurate list of all active aboveground or active or abandoned underground storage tanks owned or operated by Seller in connection with the Purchased Assets.</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1133"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provided or otherwise made available to Buyer any and all material environmental reports, studies, audits, records, sampling data, site assessments, risk assessments, and other similar documents with respect to the conduct of the Business at the Acquired Facilities or Purchased Assets which are in the possession or reasonable control of Seller related to compliance with Environmental Laws, Environmental Claims or an Environmental Notice or the Release of Hazardous Materials.</w:t>
      </w:r>
    </w:p>
    <w:p>
      <w:pPr>
        <w:spacing w:after="0" w:line="179"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76" w:right="339" w:bottom="1440" w:gutter="0" w:footer="0" w:header="0"/>
        </w:sectPr>
      </w:pPr>
    </w:p>
    <w:bookmarkStart w:id="373" w:name="page374"/>
    <w:bookmarkEnd w:id="373"/>
    <w:p>
      <w:pPr>
        <w:jc w:val="both"/>
        <w:ind w:firstLine="644"/>
        <w:spacing w:after="0" w:line="261" w:lineRule="auto"/>
        <w:tabs>
          <w:tab w:leader="none" w:pos="109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aware of any existing condition, event or circumstance concerning the Release of Hazardous Materials that would reasonably be expected, after the Closing Date, to materially prevent, materially impede or materially increase the costs associated with the ownership, lease, operation, performance or use of the Business at the Acquired Facilities or the Purchased Assets as currently carried out at the Acquired Facilities in compliance with Environmental Laws.</w:t>
      </w:r>
    </w:p>
    <w:p>
      <w:pPr>
        <w:spacing w:after="0" w:line="179" w:lineRule="exact"/>
        <w:rPr>
          <w:rFonts w:ascii="Times New Roman" w:cs="Times New Roman" w:eastAsia="Times New Roman" w:hAnsi="Times New Roman"/>
          <w:sz w:val="18"/>
          <w:szCs w:val="18"/>
          <w:color w:val="auto"/>
        </w:rPr>
      </w:pPr>
    </w:p>
    <w:p>
      <w:pPr>
        <w:jc w:val="both"/>
        <w:ind w:right="20" w:firstLine="644"/>
        <w:spacing w:after="0" w:line="266" w:lineRule="auto"/>
        <w:tabs>
          <w:tab w:leader="none" w:pos="1082"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owns and controls all Environmental Attributes (a complete and accurate list of which is set forth in </w:t>
      </w:r>
      <w:r>
        <w:rPr>
          <w:rFonts w:ascii="Times New Roman" w:cs="Times New Roman" w:eastAsia="Times New Roman" w:hAnsi="Times New Roman"/>
          <w:sz w:val="18"/>
          <w:szCs w:val="18"/>
          <w:u w:val="single" w:color="auto"/>
          <w:color w:val="auto"/>
        </w:rPr>
        <w:t>Section 4.17(g)</w:t>
      </w:r>
      <w:r>
        <w:rPr>
          <w:rFonts w:ascii="Times New Roman" w:cs="Times New Roman" w:eastAsia="Times New Roman" w:hAnsi="Times New Roman"/>
          <w:sz w:val="18"/>
          <w:szCs w:val="18"/>
          <w:color w:val="auto"/>
        </w:rPr>
        <w:t xml:space="preserve"> of the Disclosure Schedules) and has not entered into any contract or pledge to transfer, lease, license, guarantee, sell, mortgage, pledge or otherwise dispose of or encumber any Environmental Attributes as of the date hereof.</w:t>
      </w:r>
    </w:p>
    <w:p>
      <w:pPr>
        <w:spacing w:after="0" w:line="17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4.18</w:t>
      </w:r>
      <w:r>
        <w:rPr>
          <w:sz w:val="20"/>
          <w:szCs w:val="20"/>
          <w:color w:val="auto"/>
        </w:rPr>
        <w:tab/>
      </w:r>
      <w:r>
        <w:rPr>
          <w:rFonts w:ascii="Times New Roman" w:cs="Times New Roman" w:eastAsia="Times New Roman" w:hAnsi="Times New Roman"/>
          <w:sz w:val="17"/>
          <w:szCs w:val="17"/>
          <w:b w:val="1"/>
          <w:bCs w:val="1"/>
          <w:color w:val="auto"/>
        </w:rPr>
        <w:t>Employee Benefit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4"/>
        <w:spacing w:after="0" w:line="255" w:lineRule="auto"/>
        <w:tabs>
          <w:tab w:leader="none" w:pos="1041"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of the Disclosure Schedules contains a true and complete list of each material “employee benefit plan” as that term is defined in Section 3(3) of ERISA (whether or not such plan is subject to ERISA) and each other benefit agreement, program, plan or arrangement including, without limitation, each bonus plan, incentive compensation plan, retention plan, vacation policy or plan, severance pay plan, or paid time off policy, that is sponsored, maintained, administered or contributed to or required to be contributed to by Seller for the benefit of any employee of the Business who becomes employed by Buyer in connection with the transactions contemplated hereby or with respect to which Buyer or any of its Affiliates would reasonably be expected to have any Liability as a result of the transactions contemplated hereby, contingent or otherwise (each, a “</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644"/>
        <w:spacing w:after="0" w:line="258" w:lineRule="auto"/>
        <w:tabs>
          <w:tab w:leader="none" w:pos="108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Benefit Plan that provides benefits to an employee of the Business who will become employed by Buyer in connection with the transactions contemplated hereby, Seller has made available to Buyer accurate, current and complete copies of each of the following, as applicable: (i) summary plan descriptions, summaries of material modifications, summaries of health plan benefits and coverage, and employee handbooks; and (ii) in the case of Coilplus, Inc. Retirement Plan and Trust, the savings plan of Seller from which rollovers described in </w:t>
      </w:r>
      <w:r>
        <w:rPr>
          <w:rFonts w:ascii="Times New Roman" w:cs="Times New Roman" w:eastAsia="Times New Roman" w:hAnsi="Times New Roman"/>
          <w:sz w:val="18"/>
          <w:szCs w:val="18"/>
          <w:u w:val="single" w:color="auto"/>
          <w:color w:val="auto"/>
        </w:rPr>
        <w:t>Section 6.03(g)</w:t>
      </w:r>
      <w:r>
        <w:rPr>
          <w:rFonts w:ascii="Times New Roman" w:cs="Times New Roman" w:eastAsia="Times New Roman" w:hAnsi="Times New Roman"/>
          <w:sz w:val="18"/>
          <w:szCs w:val="18"/>
          <w:color w:val="auto"/>
        </w:rPr>
        <w:t xml:space="preserve"> may be made (“</w:t>
      </w:r>
      <w:r>
        <w:rPr>
          <w:rFonts w:ascii="Times New Roman" w:cs="Times New Roman" w:eastAsia="Times New Roman" w:hAnsi="Times New Roman"/>
          <w:sz w:val="18"/>
          <w:szCs w:val="18"/>
          <w:u w:val="single" w:color="auto"/>
          <w:color w:val="auto"/>
        </w:rPr>
        <w:t>Seller’s Savings Plan</w:t>
      </w:r>
      <w:r>
        <w:rPr>
          <w:rFonts w:ascii="Times New Roman" w:cs="Times New Roman" w:eastAsia="Times New Roman" w:hAnsi="Times New Roman"/>
          <w:sz w:val="18"/>
          <w:szCs w:val="18"/>
          <w:color w:val="auto"/>
        </w:rPr>
        <w:t>”), a copy of the most recent determination, opinion or advisory letter from the IRS.</w:t>
      </w:r>
    </w:p>
    <w:p>
      <w:pPr>
        <w:spacing w:after="0" w:line="183" w:lineRule="exact"/>
        <w:rPr>
          <w:rFonts w:ascii="Times New Roman" w:cs="Times New Roman" w:eastAsia="Times New Roman" w:hAnsi="Times New Roman"/>
          <w:sz w:val="18"/>
          <w:szCs w:val="18"/>
          <w:color w:val="auto"/>
        </w:rPr>
      </w:pPr>
    </w:p>
    <w:p>
      <w:pPr>
        <w:jc w:val="both"/>
        <w:ind w:firstLine="644"/>
        <w:spacing w:after="0" w:line="266" w:lineRule="auto"/>
        <w:tabs>
          <w:tab w:leader="none" w:pos="1046"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ERISA Affiliate has unsatisfied liability under Title IV or Section 302 of ERISA or Section 412 of the Code or with respect to any multiemployer plan (as defined in Section 3(37) or Section 4001(a)(3) of ERISA) and to no condition exists that presents a material risk to Buyer of incurring any such liability with respect to any benefit plan of Seller or any ERISA Affiliate.</w:t>
      </w:r>
    </w:p>
    <w:p>
      <w:pPr>
        <w:spacing w:after="0" w:line="175" w:lineRule="exact"/>
        <w:rPr>
          <w:rFonts w:ascii="Times New Roman" w:cs="Times New Roman" w:eastAsia="Times New Roman" w:hAnsi="Times New Roman"/>
          <w:sz w:val="18"/>
          <w:szCs w:val="18"/>
          <w:color w:val="auto"/>
        </w:rPr>
      </w:pPr>
    </w:p>
    <w:p>
      <w:pPr>
        <w:ind w:right="20" w:firstLine="644"/>
        <w:spacing w:after="0" w:line="282" w:lineRule="auto"/>
        <w:tabs>
          <w:tab w:leader="none" w:pos="1105"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Seller nor any ERISA Affiliate has engaged in any transaction which would give rise to liability under Section 4069 or Section 4212(c) of ERISA.</w:t>
      </w:r>
    </w:p>
    <w:p>
      <w:pPr>
        <w:spacing w:after="0" w:line="161"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74" w:name="page375"/>
    <w:bookmarkEnd w:id="374"/>
    <w:p>
      <w:pPr>
        <w:jc w:val="both"/>
        <w:ind w:left="4" w:firstLine="644"/>
        <w:spacing w:after="0" w:line="258" w:lineRule="auto"/>
        <w:tabs>
          <w:tab w:leader="none" w:pos="1084"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Savings Plan is intended to qualify under Section 401(a) of the Code and is so qualified, and its related trust is tax-exempt under the Code. Seller has received a favorable determination letter or, if such plan is a prototype or volume submitter plan, is entitled to rely on a favorable opinion or advisory letter from the IRS, to the effect that such plan is so qualified and its related trust is tax-exempt under the Code. Any such determination, opinion or advisory letter from the IRS remains in effect and has not been revoked. Nothing has occurred since the date of any such determination that would reasonably be expected to affect adversely such qualification or exemption.</w:t>
      </w:r>
    </w:p>
    <w:p>
      <w:pPr>
        <w:spacing w:after="0" w:line="179" w:lineRule="exact"/>
        <w:rPr>
          <w:sz w:val="20"/>
          <w:szCs w:val="20"/>
          <w:color w:val="auto"/>
        </w:rPr>
      </w:pPr>
    </w:p>
    <w:p>
      <w:pPr>
        <w:ind w:left="4"/>
        <w:spacing w:after="0"/>
        <w:tabs>
          <w:tab w:leader="none" w:pos="1084" w:val="left"/>
        </w:tabs>
        <w:rPr>
          <w:sz w:val="20"/>
          <w:szCs w:val="20"/>
          <w:color w:val="auto"/>
        </w:rPr>
      </w:pPr>
      <w:r>
        <w:rPr>
          <w:rFonts w:ascii="Times New Roman" w:cs="Times New Roman" w:eastAsia="Times New Roman" w:hAnsi="Times New Roman"/>
          <w:sz w:val="18"/>
          <w:szCs w:val="18"/>
          <w:b w:val="1"/>
          <w:bCs w:val="1"/>
          <w:color w:val="auto"/>
        </w:rPr>
        <w:t>Section 4.19</w:t>
      </w:r>
      <w:r>
        <w:rPr>
          <w:sz w:val="20"/>
          <w:szCs w:val="20"/>
          <w:color w:val="auto"/>
        </w:rPr>
        <w:tab/>
      </w:r>
      <w:r>
        <w:rPr>
          <w:rFonts w:ascii="Times New Roman" w:cs="Times New Roman" w:eastAsia="Times New Roman" w:hAnsi="Times New Roman"/>
          <w:sz w:val="17"/>
          <w:szCs w:val="17"/>
          <w:b w:val="1"/>
          <w:bCs w:val="1"/>
          <w:color w:val="auto"/>
        </w:rPr>
        <w:t>Employment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4" w:firstLine="644"/>
        <w:spacing w:after="0" w:line="254" w:lineRule="auto"/>
        <w:tabs>
          <w:tab w:leader="none" w:pos="1045"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Disclosure Schedules contains a list of all persons who are employees, individual independent contractors or individual consultants of the Business operated at or from the Acquired Facilities as of the date hereof, including any employee who is on a leave of absence of any nature, paid or unpaid, authorized or unauthorized and such other employees of the Business mutually agreed by Buyer and Seller to be included in the transaction (collectively, the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and sets forth for each such individual the following: (i) name; (ii) title or position (including whether full-time or part-time); (iii) hire or retention date; (iv) current annual base compensation rate or contract fee; and</w:t>
      </w:r>
    </w:p>
    <w:p>
      <w:pPr>
        <w:spacing w:after="0" w:line="3"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74"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bonus or other incentive-based compensation provided to each such individual as of the date hereof. As of the date hereof, all compensation, including wages, commissions, bonuses, fees and other compensation, payable to all employees, independent contractors or consultants of the Business for services performed on or prior to the date hereof have been paid in full and there are no outstanding agreements, understandings or commitments of Seller with respect to any compensation, commissions, bonuses or fees.</w:t>
      </w:r>
    </w:p>
    <w:p>
      <w:pPr>
        <w:spacing w:after="0" w:line="188" w:lineRule="exact"/>
        <w:rPr>
          <w:rFonts w:ascii="Times New Roman" w:cs="Times New Roman" w:eastAsia="Times New Roman" w:hAnsi="Times New Roman"/>
          <w:sz w:val="18"/>
          <w:szCs w:val="18"/>
          <w:color w:val="auto"/>
        </w:rPr>
      </w:pPr>
    </w:p>
    <w:p>
      <w:pPr>
        <w:jc w:val="both"/>
        <w:ind w:left="4" w:firstLine="644"/>
        <w:spacing w:after="0" w:line="254" w:lineRule="auto"/>
        <w:tabs>
          <w:tab w:leader="none" w:pos="109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 xml:space="preserve"> of the Disclosure Schedules, Seller is not, and has not been for the past five fiscal years, a party to, bound by, or negotiating any collective bargaining agreement or other Contract with a union, works council or labor organization (collectively, “</w:t>
      </w:r>
      <w:r>
        <w:rPr>
          <w:rFonts w:ascii="Times New Roman" w:cs="Times New Roman" w:eastAsia="Times New Roman" w:hAnsi="Times New Roman"/>
          <w:sz w:val="18"/>
          <w:szCs w:val="18"/>
          <w:u w:val="single" w:color="auto"/>
          <w:color w:val="auto"/>
        </w:rPr>
        <w:t>Union</w:t>
      </w:r>
      <w:r>
        <w:rPr>
          <w:rFonts w:ascii="Times New Roman" w:cs="Times New Roman" w:eastAsia="Times New Roman" w:hAnsi="Times New Roman"/>
          <w:sz w:val="18"/>
          <w:szCs w:val="18"/>
          <w:color w:val="auto"/>
        </w:rPr>
        <w:t xml:space="preserve">”), and there is not, and has not been for the past five (5) fiscal years, any Union representing any employee of Seller at any Acquired Facility, and no Union or group of employees is seeking or has sought to organize employees for the purpose of collective bargaining at the Acquired Facilities. Except as set forth in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 xml:space="preserve"> of the Disclosure Schedules, there has never been, nor to Seller’s Knowledge, has there been any threat of, any strike, slowdown, work stoppage, lockout, concerted refusal to work overtime or other similar labor disruption or dispute affecting Seller or any employees of the Business at the Acquired Facilities. Seller has no duty to bargain with any Union at the Acquired Facilities.</w:t>
      </w:r>
    </w:p>
    <w:p>
      <w:pPr>
        <w:spacing w:after="0" w:line="191"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375" w:name="page376"/>
    <w:bookmarkEnd w:id="375"/>
    <w:p>
      <w:pPr>
        <w:jc w:val="both"/>
        <w:ind w:firstLine="644"/>
        <w:spacing w:after="0" w:line="252" w:lineRule="auto"/>
        <w:tabs>
          <w:tab w:leader="none" w:pos="1178"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is and has been in compliance with the terms of the collective bargaining agreements and other Contracts listed on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 xml:space="preserve"> of the Disclosure Schedules and all applicable Laws pertaining to employment and employment practices to the extent they relate to employees, interns, consultants and independent contractors of the Business at the Acquired Facilities, including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paid sick leave and unemployment insurance. All individuals characterized and treated by Seller as consultants or independent contractors of the Business are properly treated as independent contractors under all applicable Laws. All employees of the Business classified as exempt under the Fair Labor Standards Act and state and local wage and hour laws are properly classified. Seller is in compliance with and has complied with all immigration laws, including Form I-9 requirements and any applicable mandatory E-Verify obligations. Except as set forth in </w:t>
      </w:r>
      <w:r>
        <w:rPr>
          <w:rFonts w:ascii="Times New Roman" w:cs="Times New Roman" w:eastAsia="Times New Roman" w:hAnsi="Times New Roman"/>
          <w:sz w:val="18"/>
          <w:szCs w:val="18"/>
          <w:u w:val="single" w:color="auto"/>
          <w:color w:val="auto"/>
        </w:rPr>
        <w:t>Section 4.19(c)</w:t>
      </w:r>
      <w:r>
        <w:rPr>
          <w:rFonts w:ascii="Times New Roman" w:cs="Times New Roman" w:eastAsia="Times New Roman" w:hAnsi="Times New Roman"/>
          <w:sz w:val="18"/>
          <w:szCs w:val="18"/>
          <w:color w:val="auto"/>
        </w:rPr>
        <w:t xml:space="preserve"> of the Disclosure Schedules, there are no Actions against Seller pending, or to Seller’s Knowledge, threatened to be brought or filed, by or with any Governmental Authority or arbitrator in connection with the employment of any current or former applicant, employee, or intern of the Business at the Acquired Facilities, including, without limitation, any charge, investigation or claim relating to unfair labor practices, equal employment opportunities, fair employment practices, employment discrimination, harassment, retaliation, reasonable accommodation, disability rights or benefits, immigration, wages, hours, overtime compensation, employee classification, child labor, hiring, promotion and termination of employees, working conditions, meal and break periods, privacy, health and safety, workers’ compensation, leaves of absence, paid sick leave, unemployment insurance or any other employment related matter arising under applicable Laws.</w:t>
      </w:r>
    </w:p>
    <w:p>
      <w:pPr>
        <w:spacing w:after="0" w:line="193" w:lineRule="exact"/>
        <w:rPr>
          <w:rFonts w:ascii="Times New Roman" w:cs="Times New Roman" w:eastAsia="Times New Roman" w:hAnsi="Times New Roman"/>
          <w:sz w:val="18"/>
          <w:szCs w:val="18"/>
          <w:color w:val="auto"/>
        </w:rPr>
      </w:pPr>
    </w:p>
    <w:p>
      <w:pPr>
        <w:ind w:left="1040" w:hanging="396"/>
        <w:spacing w:after="0"/>
        <w:tabs>
          <w:tab w:leader="none" w:pos="104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complied with the WARN Act, and it has no plans to undertake any action prior to Closing that would trigger the WARN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4.20</w:t>
      </w:r>
      <w:r>
        <w:rPr>
          <w:sz w:val="20"/>
          <w:szCs w:val="20"/>
          <w:color w:val="auto"/>
        </w:rPr>
        <w:tab/>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Except as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4.20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Disclosure Schedules:</w:t>
      </w:r>
    </w:p>
    <w:p>
      <w:pPr>
        <w:spacing w:after="0" w:line="229" w:lineRule="exact"/>
        <w:rPr>
          <w:sz w:val="20"/>
          <w:szCs w:val="20"/>
          <w:color w:val="auto"/>
        </w:rPr>
      </w:pPr>
    </w:p>
    <w:p>
      <w:pPr>
        <w:jc w:val="both"/>
        <w:ind w:firstLine="644"/>
        <w:spacing w:after="0" w:line="266" w:lineRule="auto"/>
        <w:tabs>
          <w:tab w:leader="none" w:pos="1061"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sales and use and other material Tax Returns required to be filed by Seller for any Pre-Closing Tax Period have been timely filed. Such Tax Returns are true, complete and correct in all material respects, and were prepared and filed in compliance with all applicable Laws. All Taxes due and owing by Seller (whether or not shown on any Tax Return) have been timely paid.</w:t>
      </w:r>
    </w:p>
    <w:p>
      <w:pPr>
        <w:spacing w:after="0" w:line="175" w:lineRule="exact"/>
        <w:rPr>
          <w:rFonts w:ascii="Times New Roman" w:cs="Times New Roman" w:eastAsia="Times New Roman" w:hAnsi="Times New Roman"/>
          <w:sz w:val="18"/>
          <w:szCs w:val="18"/>
          <w:color w:val="auto"/>
        </w:rPr>
      </w:pPr>
    </w:p>
    <w:p>
      <w:pPr>
        <w:ind w:firstLine="644"/>
        <w:spacing w:after="0" w:line="282" w:lineRule="auto"/>
        <w:tabs>
          <w:tab w:leader="none" w:pos="1107"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collected or withheld and paid or remitted each material Tax required to have been collected or withheld and paid or remitted by Seller, and Seller has complied with all related information reporting and backup withholding provisions of applicable Law.</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05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extensions or waivers of statutes of limitations have been given or requested with respect to any Taxes or Tax Returns of Seller with respect to the Purchased Assets or the Business.</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218"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deficiencies asserted, or assessments made, against Seller as a result of any Tax related audit, examination, inquiry, investigation, litigation or other similar proceeding by any Governmental Authority with respect to the Purchased Assets or the Business have been fully paid or finally settled.</w:t>
      </w:r>
    </w:p>
    <w:p>
      <w:pPr>
        <w:spacing w:after="0" w:line="175"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76" w:name="page377"/>
    <w:bookmarkEnd w:id="376"/>
    <w:p>
      <w:pPr>
        <w:ind w:left="660" w:firstLine="644"/>
        <w:spacing w:after="0" w:line="282" w:lineRule="auto"/>
        <w:tabs>
          <w:tab w:leader="none" w:pos="1709"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Seller’s Knowledge, threatened audits, examinations, inquires, investigations, litigation or other similar proceedings by any Governmental Authority relating to the Taxes or Tax Returns of Seller with respect to the Purchased Assets or the Business.</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Taxes upon any of the Purchased Assets (other than for current Taxes not yet due and payable).</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70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is not, and has not been, a party to, or a promoter of, a “reportable transaction” within the meaning of Section 6707A(c)(1) of the Code and Treasury Regulations Section 1.6011-4(b).</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776"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Purchased Assets is (i) subject to any lease, Contract or other arrangement the result of which is that Seller is not treated as the owner of such Purchased Assets for US federal income Tax purposes, (ii) subject to Section 168(g)(1)(A) of the Code, (iii) subject to a disqualified leaseback or long-term agreement as defined in Section 467 of the Code, (iv) tax-exempt use property within the meaning of Section 168(h) of the Code, (v) an interest in a Contract, entity or arrangement that is or should be treated as a partnership for income Tax purposes, or (vi) a Tax sharing, Tax allocation, or Tax indemnity Contract or a similar arrangement.</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4.21 Brokers</w:t>
      </w:r>
      <w:r>
        <w:rPr>
          <w:rFonts w:ascii="Times New Roman" w:cs="Times New Roman" w:eastAsia="Times New Roman" w:hAnsi="Times New Roman"/>
          <w:sz w:val="18"/>
          <w:szCs w:val="18"/>
          <w:color w:val="auto"/>
        </w:rPr>
        <w:t>. No broker, finder or investment banker is entitled to any brokerage, finder’s or other fee or commission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transactions contemplated by this Agreement or any Ancillary Document based upon arrangements made by or on behalf of Seller.</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4.22 Investment Intention</w:t>
      </w:r>
      <w:r>
        <w:rPr>
          <w:rFonts w:ascii="Times New Roman" w:cs="Times New Roman" w:eastAsia="Times New Roman" w:hAnsi="Times New Roman"/>
          <w:sz w:val="18"/>
          <w:szCs w:val="18"/>
          <w:color w:val="auto"/>
        </w:rPr>
        <w:t>. Seller is acquiring the Issued Buyer Stock for its own account, for investment purposes only, and not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view to the distribution of such Issued Buyer Stock within the meaning of the U.S. securities Laws. Seller understands that the sale of the Issued Buyer Stock has not been registered under the Securities Act and is subject to further restrictions in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the Issued Buyer Stock cannot be offered or re-sold until such offer and sale is subsequently registered under the Securities Act or an exemption from such registration (such as Rule 144 promulgated under the Securities Act) is available to Seller. Seller is an “accredited investor” as that term is defined in Rule 501(a) promulgated under the Securities Act.</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4.23 No Additional Representations or Warranties. </w:t>
      </w:r>
      <w:r>
        <w:rPr>
          <w:rFonts w:ascii="Times New Roman" w:cs="Times New Roman" w:eastAsia="Times New Roman" w:hAnsi="Times New Roman"/>
          <w:sz w:val="18"/>
          <w:szCs w:val="18"/>
          <w:color w:val="auto"/>
        </w:rPr>
        <w:t>Except as set forth in this Agreement, none of Seller, any of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other Seller Party, or any of their respective Representatives has made, or is making, any representation or warranty, express or implied, regarding the Business, the Purchased Assets, the Assumed Liabilities, or the results of operations, Liabilities, or prospects of the Business, and Seller hereby disclaims any such other representations and warranties, including any representations or warranties with respect to (a) the probable success or profitability of the Business after the Closing, (b) any projections, forecasts, or forward-looking statements provided or made to Buyer, its Affiliates, or their respective Representatives, or (c) any memoranda, charts, summaries, schedules, or other information about the Business, the Purchased Assets, or the Assumed Liabilities provided to Buyer, its Affiliates, or their respective Representatives.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7" w:name="page378"/>
    <w:bookmarkEnd w:id="377"/>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BUYER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Buyer represents and warrants to Seller that the statements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are true and correct as of the date hereof.</w:t>
      </w:r>
    </w:p>
    <w:p>
      <w:pPr>
        <w:spacing w:after="0" w:line="221"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5.01</w:t>
      </w:r>
      <w:r>
        <w:rPr>
          <w:sz w:val="20"/>
          <w:szCs w:val="20"/>
          <w:color w:val="auto"/>
        </w:rPr>
        <w:tab/>
      </w:r>
      <w:r>
        <w:rPr>
          <w:rFonts w:ascii="Times New Roman" w:cs="Times New Roman" w:eastAsia="Times New Roman" w:hAnsi="Times New Roman"/>
          <w:sz w:val="17"/>
          <w:szCs w:val="17"/>
          <w:b w:val="1"/>
          <w:bCs w:val="1"/>
          <w:color w:val="auto"/>
        </w:rPr>
        <w:t>Organization of Buyer</w:t>
      </w:r>
      <w:r>
        <w:rPr>
          <w:rFonts w:ascii="Times New Roman" w:cs="Times New Roman" w:eastAsia="Times New Roman" w:hAnsi="Times New Roman"/>
          <w:sz w:val="17"/>
          <w:szCs w:val="17"/>
          <w:color w:val="auto"/>
        </w:rPr>
        <w:t>. Buyer is a corporation duly organized, validly existing and in good standing under the Laws of the state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5.02 Authority of Buyer</w:t>
      </w:r>
      <w:r>
        <w:rPr>
          <w:rFonts w:ascii="Times New Roman" w:cs="Times New Roman" w:eastAsia="Times New Roman" w:hAnsi="Times New Roman"/>
          <w:sz w:val="18"/>
          <w:szCs w:val="18"/>
          <w:color w:val="auto"/>
        </w:rPr>
        <w:t>. Buyer has full corporate power and authority to enter into this Agreement and the Ancillary Documents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Buyer is a party, to carry out its obligations hereunder and thereunder and to consummate the transactions contemplated hereby and thereby. The execution and delivery by Buyer of this Agreement and any Ancillary Document to which Buyer is a party, the performance by Buyer of its obligations hereunder and thereunder and the consummation by Buyer of the transactions contemplated hereby and thereby have been duly authorized by all requisite corporate action on the part of Buyer. This Agreement has been duly executed and delivered by Buyer, and (assuming due authorization, execution and delivery by each other Party hereto) this Agreement constitutes a legal, valid and binding obligation of Buyer enforceable against Buyer in accordance with its terms. When each Ancillary Document to which Buyer is or will be a party has been duly executed and delivered by Buyer (assuming due authorization, execution and delivery by each other party thereto), such Ancillary Document will constitute a legal and binding obligation of Buyer enforceable against it in accordance with its terms.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5.03 No Conflicts; Consents</w:t>
      </w:r>
      <w:r>
        <w:rPr>
          <w:rFonts w:ascii="Times New Roman" w:cs="Times New Roman" w:eastAsia="Times New Roman" w:hAnsi="Times New Roman"/>
          <w:sz w:val="18"/>
          <w:szCs w:val="18"/>
          <w:color w:val="auto"/>
        </w:rPr>
        <w:t>. The execution, delivery and performance by Buyer of this Agreement and the Ancillary Documents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it is a party, and the consummation of the transactions contemplated hereby and thereby, do not and will not: (a) conflict with or result in a violation or breach of, or default under, any provision of the certificate of incorporation, by-laws or other organizational documents of Buyer; (b) conflict with or result in a violation or breach of any provision of any Law or Governmental Order applicable to Buyer; or (c) require the consent, notice or other action by any Person under any Contract to which Buyer is a party. No consent, approval, Permit, Governmental Order, declaration or filing with, or notice to, any Governmental Authority is required by or with respect to Buyer in connection with the execution and delivery of this Agreement and the Ancillary Documents and the consummation of the transactions contemplated hereby and thereby, except for such filings as may be required under the HSR Act and such consents, approvals, Permits, Governmental Orders, declarations, filings or notices which, in the aggregate, would not have a Material Adverse Effect.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5.04 Brokers</w:t>
      </w:r>
      <w:r>
        <w:rPr>
          <w:rFonts w:ascii="Times New Roman" w:cs="Times New Roman" w:eastAsia="Times New Roman" w:hAnsi="Times New Roman"/>
          <w:sz w:val="18"/>
          <w:szCs w:val="18"/>
          <w:color w:val="auto"/>
        </w:rPr>
        <w:t>. No broker, finder or investment banker is entitled to any brokerage, finder’s or other fee or commission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transactions contemplated by this Agreement or any Ancillary Document based upon arrangements made by or on behalf of Buyer.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5.05 Legal Proceedings</w:t>
      </w:r>
      <w:r>
        <w:rPr>
          <w:rFonts w:ascii="Times New Roman" w:cs="Times New Roman" w:eastAsia="Times New Roman" w:hAnsi="Times New Roman"/>
          <w:sz w:val="18"/>
          <w:szCs w:val="18"/>
          <w:color w:val="auto"/>
        </w:rPr>
        <w:t>. There are no Actions pending or, to Buyer’s Knowledge, threatened against or by Buyer or any Affiliate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Buyer that challenge or seek to prevent, enjoin or otherwise delay the transactions contemplated by this Agreement. To Buyer’s Knowledge, no event has occurred or circumstances exist that may give rise or serve as a basis for any such Action.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8" w:name="page379"/>
    <w:bookmarkEnd w:id="378"/>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5.06 Capitalization; Buyer Stock</w:t>
      </w:r>
      <w:r>
        <w:rPr>
          <w:rFonts w:ascii="Times New Roman" w:cs="Times New Roman" w:eastAsia="Times New Roman" w:hAnsi="Times New Roman"/>
          <w:sz w:val="18"/>
          <w:szCs w:val="18"/>
          <w:color w:val="auto"/>
        </w:rPr>
        <w:t>. The authorized capital stock of Buyer consists of 10,000,000 shares of Buyer Stock and 1,000,000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Cumulative Convertible Preferred Stock, $1.00 par value per share. At the close of business on April 25, 2022, 6,856,009 shares of Buyer Stock were issued and outstanding and no shares of Cumulative Convertible Preferred Stock were issued and outstanding. From April 25, 2022 to the date of this Agreement, there have been no issuances by Buyer of shares of Buyer Stock or other equity interests in Buyer. All of the issued and outstanding equity interests in Buyer have been duly authorized and validly issued in accordance with Buyer’s governing documents and are fully paid (to the extent required under Buyer’s governing documents) and nonassessable and have not been issued in violation of any preemptive rights, rights of first refusal or other similar rights of any Person. Buyer owns, directly or indirectly, all of the outstanding equity interests in Buyer’s Subsidiaries. The Buyer Stock issued pursuant to this Agreement will be, when issued, duly authorized and validly issued in accordance with the governing documents of Buyer and will be fully paid and nonassessable and will not be issued in violation of any preemptive rights, rights of first refusal or other similar rights of any Person.</w:t>
      </w:r>
    </w:p>
    <w:p>
      <w:pPr>
        <w:spacing w:after="0" w:line="188"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5.07</w:t>
      </w:r>
      <w:r>
        <w:rPr>
          <w:sz w:val="20"/>
          <w:szCs w:val="20"/>
          <w:color w:val="auto"/>
        </w:rPr>
        <w:tab/>
      </w:r>
      <w:r>
        <w:rPr>
          <w:rFonts w:ascii="Times New Roman" w:cs="Times New Roman" w:eastAsia="Times New Roman" w:hAnsi="Times New Roman"/>
          <w:sz w:val="17"/>
          <w:szCs w:val="17"/>
          <w:b w:val="1"/>
          <w:bCs w:val="1"/>
          <w:color w:val="auto"/>
        </w:rPr>
        <w:t>SEC Documents; Buyer Financial Statements; Compliance.</w:t>
      </w:r>
    </w:p>
    <w:p>
      <w:pPr>
        <w:spacing w:after="0" w:line="229" w:lineRule="exact"/>
        <w:rPr>
          <w:sz w:val="20"/>
          <w:szCs w:val="20"/>
          <w:color w:val="auto"/>
        </w:rPr>
      </w:pPr>
    </w:p>
    <w:p>
      <w:pPr>
        <w:jc w:val="both"/>
        <w:ind w:firstLine="1304"/>
        <w:spacing w:after="0" w:line="254" w:lineRule="auto"/>
        <w:tabs>
          <w:tab w:leader="none" w:pos="1724"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filed or furnished all required registration statements, prospectuses, reports, schedules, forms, statements, certifications and other documents (including exhibits and all other information incorporated therein) with the SEC since January 1, 2020 (the “</w:t>
      </w:r>
      <w:r>
        <w:rPr>
          <w:rFonts w:ascii="Times New Roman" w:cs="Times New Roman" w:eastAsia="Times New Roman" w:hAnsi="Times New Roman"/>
          <w:sz w:val="18"/>
          <w:szCs w:val="18"/>
          <w:u w:val="single" w:color="auto"/>
          <w:color w:val="auto"/>
        </w:rPr>
        <w:t>Buyer SEC Documents</w:t>
      </w:r>
      <w:r>
        <w:rPr>
          <w:rFonts w:ascii="Times New Roman" w:cs="Times New Roman" w:eastAsia="Times New Roman" w:hAnsi="Times New Roman"/>
          <w:sz w:val="18"/>
          <w:szCs w:val="18"/>
          <w:color w:val="auto"/>
        </w:rPr>
        <w:t>”). As of their respective dates (or, if amended, as of the date of such amendment), the Buyer SEC Documents complied in all material respects with the requirements of applicable Law and the rules and regulations of the SEC promulgated thereunder applicable to the Buyer SEC Documents, and none of the Buyer SEC Documents when filed (or, if amended, as of the date of such amendment) and at their respective effective times, if applicable,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Buyer SEC Documents, and, to the Knowledge of Buyer, none of the Buyer SEC Documents is the subject of any outstanding SEC comment or outstanding SEC investigation.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2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(including all related notes and schedules) of Buyer included in the Buyer SEC Documents (the “</w:t>
      </w:r>
      <w:r>
        <w:rPr>
          <w:rFonts w:ascii="Times New Roman" w:cs="Times New Roman" w:eastAsia="Times New Roman" w:hAnsi="Times New Roman"/>
          <w:sz w:val="18"/>
          <w:szCs w:val="18"/>
          <w:u w:val="single" w:color="auto"/>
          <w:color w:val="auto"/>
        </w:rPr>
        <w:t>Buyer Financial Statements</w:t>
      </w:r>
      <w:r>
        <w:rPr>
          <w:rFonts w:ascii="Times New Roman" w:cs="Times New Roman" w:eastAsia="Times New Roman" w:hAnsi="Times New Roman"/>
          <w:sz w:val="18"/>
          <w:szCs w:val="18"/>
          <w:color w:val="auto"/>
        </w:rPr>
        <w:t>”) were prepared in accordance with GAAP (except, in the case of unaudited statements, as permitted by the applicable Law) applied on a consistent basis during the periods involved (except as may be indicated in the notes thereto) and fairly present in all material respects the consolidated financial position of Buyer as of the dates thereof and the consolidated results of their operations and cash flows for the periods then ended (subject, in the case of unaudited statements, to normal year-end audit adjustments which are not material and to any other adjustments described therein, including the notes thereto).</w:t>
      </w:r>
    </w:p>
    <w:p>
      <w:pPr>
        <w:spacing w:after="0" w:line="18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9" w:name="page380"/>
    <w:bookmarkEnd w:id="379"/>
    <w:p>
      <w:pPr>
        <w:jc w:val="both"/>
        <w:ind w:firstLine="1304"/>
        <w:spacing w:after="0" w:line="261" w:lineRule="auto"/>
        <w:tabs>
          <w:tab w:leader="none" w:pos="169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disclosed, based on its most recent evaluation prior to the date hereof, to Buyer’s auditors and the audit committee of the board of directors of Buyer (i) all significant deficiencies and material weaknesses in the design or operation of internal controls over financial reporting that are reasonably likely to adversely affect Buyer’s ability to record, process, summarize and report financial information and (ii) any fraud, whether or not material, that involves management or other employees who have a significant role in the internal controls of Buyer.</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751"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has complied in all material respects since January 1, 2020, and is now complying in all material respects, with all Laws applicable to Buyer and the conduct of its business as currently conducted.</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1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Buyer Stock are registered under the Exchange Act and are listed on the New York Stock Exchange, and Buyer has not received any notice of delisting. Other than Buyer Stock, Buyer does not have any securities of any kind registered under the Exchange Act. Buyer has not taken any action designed to, or which to the Knowledge of Buyer is likely to have the effect of, terminating the registration of the Buyer Stock under the Exchange Act. Buyer is in compliance, in all material respects, with the applicable criteria for continued listing, maintenance and any other applicable rules and regulations of the New York Stock Exchange applicable to the Buyer Stock, including all applicable corporate governance rules and regulations thereunder.</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5.08 Funds Sufficient</w:t>
      </w:r>
      <w:r>
        <w:rPr>
          <w:rFonts w:ascii="Times New Roman" w:cs="Times New Roman" w:eastAsia="Times New Roman" w:hAnsi="Times New Roman"/>
          <w:sz w:val="18"/>
          <w:szCs w:val="18"/>
          <w:color w:val="auto"/>
        </w:rPr>
        <w:t>. At Closing, Subject to closing of the Financing, Buyer will have sufficient and readily available funds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 the Closing hereunder.</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5.09 No Additional Representations or Warranties</w:t>
      </w:r>
      <w:r>
        <w:rPr>
          <w:rFonts w:ascii="Times New Roman" w:cs="Times New Roman" w:eastAsia="Times New Roman" w:hAnsi="Times New Roman"/>
          <w:sz w:val="18"/>
          <w:szCs w:val="18"/>
          <w:color w:val="auto"/>
        </w:rPr>
        <w:t>. Except as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none of Buyer, any of its Affiliates, or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Representatives has made, or is making, any representation or warranty, express or implied, regarding the Business, the Purchased Assets, the Assumed Liabilities, or the results of operations, Liabilities, or prospects of the Business, and Buyer hereby disclaims any such other representations and warranties, including any representations or warranties with respect to (a) merchantability or fitness for any particular use or purpose, (b) the probable success or profitability of the Business after the Closing, (c) any projections, forecasts, or forward-looking statements provided or made to Buyer, its Affiliates, or their respective Representatives, or (d) any memoranda, charts, summaries, schedules, or other information about the Business, the Purchased Assets, or the Assumed Liabilities provided to Buyer, its Affiliates, or their respective Representatives.</w:t>
      </w:r>
    </w:p>
    <w:p>
      <w:pPr>
        <w:spacing w:after="0" w:line="18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6.01</w:t>
        <w:tab/>
        <w:t>Access and Investigation.</w:t>
      </w:r>
    </w:p>
    <w:p>
      <w:pPr>
        <w:spacing w:after="0" w:line="229" w:lineRule="exact"/>
        <w:rPr>
          <w:sz w:val="20"/>
          <w:szCs w:val="20"/>
          <w:color w:val="auto"/>
        </w:rPr>
      </w:pPr>
    </w:p>
    <w:p>
      <w:pPr>
        <w:jc w:val="both"/>
        <w:ind w:left="660" w:firstLine="644"/>
        <w:spacing w:after="0" w:line="255" w:lineRule="auto"/>
        <w:tabs>
          <w:tab w:leader="none" w:pos="1699"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until the Closing, subject to applicable Law and upon reasonable advance notice from Buyer, Seller will allow Buyer and its Representatives reasonable access during normal business hours (unless otherwise agreed by Seller) to, and furnish them with all documents, records, work papers and financial and other information with respect to, all of the properties, assets, personnel, books, Contracts, Governmental Orders, reports and records relating to any Purchased Assets and Assumed Liabilities as Buyer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herein will obligate Seller to take any actions that would unreasonably interrupt the normal course of business of Seller or to violate any Law or the terms of any Contract. From the date hereof until the Closing, Seller furnish Buyer and its Representatives with such monthly financial and operating data within a reasonable period of time as Buyer or any of its Representatives may reasonably request.</w:t>
      </w:r>
    </w:p>
    <w:p>
      <w:pPr>
        <w:spacing w:after="0" w:line="18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0" w:name="page381"/>
    <w:bookmarkEnd w:id="380"/>
    <w:p>
      <w:pPr>
        <w:jc w:val="both"/>
        <w:ind w:left="-460" w:firstLine="644"/>
        <w:spacing w:after="0" w:line="252" w:lineRule="auto"/>
        <w:tabs>
          <w:tab w:leader="none" w:pos="613"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agrees that from the date hereof until the Closing, or earlier termination of this Agreement, upon reasonable advance notice from Buyer, Buyer personally or through its Representatives, shall be entitled to enter upon the Owned Real Property and the Leased Real Property and the improvements thereon, to conduct such physical and environmental inspections, independent appraisals, and other tests, examinations and studies of the Owned Real Property and the Leased Real Property, and Owned Real Property and Leased Real Property records, as Buyer desires, including, without limitation, inspections of the Owned Real Property records and the Leased Real Property accompanied, in the case of site visits, by Seller or Seller’s agent in each instance (but only upon at least twenty-four (24) hours prior notice for each inspection), during normal business hours,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activities do not unreasonably interfere with the operations of the Owned Real Property or the Leased Real Property; (ii) Buyer shall repair any damage to the Owned Real Property or the Leased Real Property caused by such actions should Buyer not proceed to Closing; (iii) Buyer shall indemnify, defend and save Seller harmless of and from any and all damages caused by Buyer during any site visit;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this indemnity shall not include, and shall specifically exclude, any loss, liability, damage, injury, and claims to the extent arising from (A) the negligence, gross negligence or willful misconduct of Seller or Seller’s agents, representatives, contractors, or employees, or (B) the mere discovery by Buyer, or its agents, representatives, contractors or employees, acting within the scope of the investigations permitted hereunder, of the presence of any toxic, hazardous substance or Hazardous Materials (as defined herein) in, on, or under the Owned Real Property and/or the Leased Real Property (exclusive of oil, gas and other minerals situated thereunder); and (iv) Buyer shall not conduct any environmental investigations or testing other than a standard “Phase I” environmental site assessment conducted pursuant to ASTM E1527-13.</w:t>
      </w:r>
    </w:p>
    <w:p>
      <w:pPr>
        <w:spacing w:after="0" w:line="194"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654"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three years following the Closing Date, subject to applicable Law, Seller shall, and shall cause is Affiliates to, furnish Buyer promptly with copies of documents, records, work papers and information with respect to, all of the properties, assets, personnel, books, Contracts, Governmental Orders, reports and records to the extent relating to any Purchased Assets and Assumed Liabilities that are in Seller’s or its Affiliates’ possession as of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will obligate Seller to take any actions that would unreasonably interrupt the normal course of business of Seller or to violate any Law or the terms of any Contract. Buyer shall bear all out-of-pocket costs and expenses reasonably incurred by it in connection with its exercise of the rights under this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81" w:name="page382"/>
    <w:bookmarkEnd w:id="381"/>
    <w:p>
      <w:pPr>
        <w:jc w:val="both"/>
        <w:ind w:firstLine="644"/>
        <w:spacing w:after="0" w:line="253" w:lineRule="auto"/>
        <w:tabs>
          <w:tab w:leader="none" w:pos="1137"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nothing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require any Party to provide access to (A) personnel records of any employee of such Person relating to individual performance or evaluation records, medical histories or other information which, in such Person’s good-faith opinion, could subject such Person to risk of liability, or (B) information the disclosure of which, in such Person’s good-faith opinion, (x) would conflict with confidentiality obligations to which such Person is bound, (y) would reasonably be expected to result in the forfeiture or waiver of any attorney-client privilege or similar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the foregoing clauses (x) and (y), such Person shall use commercially reasonable efforts to provide, to the extent possible, access to the relevant information in a manner that would not reasonably be expected to result in a violation of such confidentiality obligations or the forfeiture or waiver of any such attorney-client or similar privilege) or (z) cause significant competitive harm to Seller and the Business, if the transactions contemplated by this Agreement are not consummated. Prior to the Closing, Buyer and Seller shall work together in good faith to coordinate communication efforts with any suppliers to, or customers of, the Business.</w:t>
      </w:r>
    </w:p>
    <w:p>
      <w:pPr>
        <w:spacing w:after="0" w:line="194" w:lineRule="exact"/>
        <w:rPr>
          <w:rFonts w:ascii="Times New Roman" w:cs="Times New Roman" w:eastAsia="Times New Roman" w:hAnsi="Times New Roman"/>
          <w:sz w:val="18"/>
          <w:szCs w:val="18"/>
          <w:color w:val="auto"/>
        </w:rPr>
      </w:pPr>
    </w:p>
    <w:p>
      <w:pPr>
        <w:ind w:right="20" w:firstLine="644"/>
        <w:spacing w:after="0" w:line="282" w:lineRule="auto"/>
        <w:tabs>
          <w:tab w:leader="none" w:pos="102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provide Buyer with all keys, key cards or other entry devices for all locks on the Owned Real Property at or immediately following the Closing.</w:t>
      </w:r>
    </w:p>
    <w:p>
      <w:pPr>
        <w:spacing w:after="0" w:line="15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6.02</w:t>
      </w:r>
      <w:r>
        <w:rPr>
          <w:sz w:val="20"/>
          <w:szCs w:val="20"/>
          <w:color w:val="auto"/>
        </w:rPr>
        <w:tab/>
      </w:r>
      <w:r>
        <w:rPr>
          <w:rFonts w:ascii="Times New Roman" w:cs="Times New Roman" w:eastAsia="Times New Roman" w:hAnsi="Times New Roman"/>
          <w:sz w:val="17"/>
          <w:szCs w:val="17"/>
          <w:b w:val="1"/>
          <w:bCs w:val="1"/>
          <w:color w:val="auto"/>
        </w:rPr>
        <w:t>Operation of the Businesses of the Acquired Companies.</w:t>
      </w:r>
    </w:p>
    <w:p>
      <w:pPr>
        <w:spacing w:after="0" w:line="229" w:lineRule="exact"/>
        <w:rPr>
          <w:sz w:val="20"/>
          <w:szCs w:val="20"/>
          <w:color w:val="auto"/>
        </w:rPr>
      </w:pPr>
    </w:p>
    <w:p>
      <w:pPr>
        <w:jc w:val="both"/>
        <w:ind w:firstLine="644"/>
        <w:spacing w:after="0" w:line="266" w:lineRule="auto"/>
        <w:tabs>
          <w:tab w:leader="none" w:pos="1041"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From the date hereof until the Closing, except (i) as required by applicable Law or any existing contractual obligations or (ii) as expressly consented to by Buyer in writing, which consent shall not be unreasonably conditioned, withheld or delayed, Seller will, with respect to the Business conducted by or at the Acquired Facilities:</w:t>
      </w:r>
    </w:p>
    <w:p>
      <w:pPr>
        <w:spacing w:after="0" w:line="175" w:lineRule="exact"/>
        <w:rPr>
          <w:rFonts w:ascii="Times New Roman" w:cs="Times New Roman" w:eastAsia="Times New Roman" w:hAnsi="Times New Roman"/>
          <w:sz w:val="18"/>
          <w:szCs w:val="18"/>
          <w:color w:val="auto"/>
        </w:rPr>
      </w:pPr>
    </w:p>
    <w:p>
      <w:pPr>
        <w:jc w:val="both"/>
        <w:ind w:left="640" w:firstLine="490"/>
        <w:spacing w:after="0" w:line="266" w:lineRule="auto"/>
        <w:tabs>
          <w:tab w:leader="none" w:pos="1623"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the Business only in the Ordinary Course of Business and use its commercially reasonable efforts to preserve and protect its business organization, employment relationship and relationships with customers, strategic partners, landlords, suppliers and distributors;</w:t>
      </w:r>
    </w:p>
    <w:p>
      <w:pPr>
        <w:spacing w:after="0" w:line="175" w:lineRule="exact"/>
        <w:rPr>
          <w:rFonts w:ascii="Times New Roman" w:cs="Times New Roman" w:eastAsia="Times New Roman" w:hAnsi="Times New Roman"/>
          <w:sz w:val="18"/>
          <w:szCs w:val="18"/>
          <w:color w:val="auto"/>
        </w:rPr>
      </w:pPr>
    </w:p>
    <w:p>
      <w:pPr>
        <w:ind w:left="1720" w:hanging="590"/>
        <w:spacing w:after="0"/>
        <w:tabs>
          <w:tab w:leader="none" w:pos="1720"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its accounts payable, Taxes and other obligations when they become due and payable in the Ordinary Course of</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jc w:val="both"/>
        <w:ind w:left="640" w:firstLine="490"/>
        <w:spacing w:after="0" w:line="266" w:lineRule="auto"/>
        <w:tabs>
          <w:tab w:leader="none" w:pos="1531"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Purchased Assets (including the Owned Real Property and the Leased Real Property) in good working order and condition, ordinary wear and tear excepted, in the Ordinary Course of Business, including continuing to conduct maintenance and repairs in the Ordinary Course of Business;</w:t>
      </w:r>
    </w:p>
    <w:p>
      <w:pPr>
        <w:spacing w:after="0" w:line="175" w:lineRule="exact"/>
        <w:rPr>
          <w:rFonts w:ascii="Times New Roman" w:cs="Times New Roman" w:eastAsia="Times New Roman" w:hAnsi="Times New Roman"/>
          <w:sz w:val="18"/>
          <w:szCs w:val="18"/>
          <w:color w:val="auto"/>
        </w:rPr>
      </w:pPr>
    </w:p>
    <w:p>
      <w:pPr>
        <w:ind w:left="640" w:right="20" w:firstLine="490"/>
        <w:spacing w:after="0" w:line="282" w:lineRule="auto"/>
        <w:tabs>
          <w:tab w:leader="none" w:pos="1598"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observe and perform its obligations as tenant under leases associated with the Leased Real Property, not terminate or cause the termination of any lease associated with the Leased Real Property, without the prior written consent of Buyer;</w:t>
      </w:r>
    </w:p>
    <w:p>
      <w:pPr>
        <w:spacing w:after="0" w:line="161" w:lineRule="exact"/>
        <w:rPr>
          <w:rFonts w:ascii="Times New Roman" w:cs="Times New Roman" w:eastAsia="Times New Roman" w:hAnsi="Times New Roman"/>
          <w:sz w:val="18"/>
          <w:szCs w:val="18"/>
          <w:color w:val="auto"/>
        </w:rPr>
      </w:pPr>
    </w:p>
    <w:p>
      <w:pPr>
        <w:ind w:left="640" w:firstLine="490"/>
        <w:spacing w:after="0" w:line="282" w:lineRule="auto"/>
        <w:tabs>
          <w:tab w:leader="none" w:pos="1589"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all of its obligations under all Contracts to which it is a party, by which it or any of the Purchased Assets is bound, and comply with all Laws, judgments and Governmental Orders applicable to it or the Business or the Purchased Assets;</w:t>
      </w:r>
    </w:p>
    <w:p>
      <w:pPr>
        <w:spacing w:after="0" w:line="161"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2"/>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82" w:name="page383"/>
    <w:bookmarkEnd w:id="382"/>
    <w:p>
      <w:pPr>
        <w:ind w:left="180" w:firstLine="490"/>
        <w:spacing w:after="0" w:line="282" w:lineRule="auto"/>
        <w:tabs>
          <w:tab w:leader="none" w:pos="1155"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in full force and effect the certificates of insurance, binders and policies that provide coverage for the Purchased Assets and are in effect as of the date of this Agreement;</w:t>
      </w:r>
    </w:p>
    <w:p>
      <w:pPr>
        <w:spacing w:after="0" w:line="161" w:lineRule="exact"/>
        <w:rPr>
          <w:rFonts w:ascii="Times New Roman" w:cs="Times New Roman" w:eastAsia="Times New Roman" w:hAnsi="Times New Roman"/>
          <w:sz w:val="18"/>
          <w:szCs w:val="18"/>
          <w:color w:val="auto"/>
        </w:rPr>
      </w:pPr>
    </w:p>
    <w:p>
      <w:pPr>
        <w:jc w:val="both"/>
        <w:ind w:left="180" w:firstLine="490"/>
        <w:spacing w:after="0" w:line="261" w:lineRule="auto"/>
        <w:tabs>
          <w:tab w:leader="none" w:pos="1066"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(A) making or accepting any changes in the amount of remuneration payable to any employee, agent, consultant, independent contractor or independent contractor of Seller, (B) making any staff hiring or reduction, (C) entering into or terminating any employment, agency, consultancy or contractor agreements, or (D) entering into, amending or terminating any collective bargaining agreement or other agreement with a labor union, works council or similar organization;</w:t>
      </w:r>
    </w:p>
    <w:p>
      <w:pPr>
        <w:spacing w:after="0" w:line="179" w:lineRule="exact"/>
        <w:rPr>
          <w:rFonts w:ascii="Times New Roman" w:cs="Times New Roman" w:eastAsia="Times New Roman" w:hAnsi="Times New Roman"/>
          <w:sz w:val="18"/>
          <w:szCs w:val="18"/>
          <w:color w:val="auto"/>
        </w:rPr>
      </w:pPr>
    </w:p>
    <w:p>
      <w:pPr>
        <w:ind w:left="1080" w:hanging="410"/>
        <w:spacing w:after="0"/>
        <w:tabs>
          <w:tab w:leader="none" w:pos="108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terminating or amending or entering into any Material Contract;</w:t>
      </w:r>
    </w:p>
    <w:p>
      <w:pPr>
        <w:spacing w:after="0" w:line="225" w:lineRule="exact"/>
        <w:rPr>
          <w:rFonts w:ascii="Times New Roman" w:cs="Times New Roman" w:eastAsia="Times New Roman" w:hAnsi="Times New Roman"/>
          <w:sz w:val="18"/>
          <w:szCs w:val="18"/>
          <w:color w:val="auto"/>
        </w:rPr>
      </w:pPr>
    </w:p>
    <w:p>
      <w:pPr>
        <w:ind w:left="1100" w:hanging="430"/>
        <w:spacing w:after="0"/>
        <w:tabs>
          <w:tab w:leader="none" w:pos="110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 books and records consistent with its past custom and practice;</w:t>
      </w:r>
    </w:p>
    <w:p>
      <w:pPr>
        <w:spacing w:after="0" w:line="225" w:lineRule="exact"/>
        <w:rPr>
          <w:rFonts w:ascii="Times New Roman" w:cs="Times New Roman" w:eastAsia="Times New Roman" w:hAnsi="Times New Roman"/>
          <w:sz w:val="18"/>
          <w:szCs w:val="18"/>
          <w:color w:val="auto"/>
        </w:rPr>
      </w:pPr>
    </w:p>
    <w:p>
      <w:pPr>
        <w:ind w:left="1100" w:hanging="430"/>
        <w:spacing w:after="0"/>
        <w:tabs>
          <w:tab w:leader="none" w:pos="110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maintain all of its Permits;</w:t>
      </w:r>
    </w:p>
    <w:p>
      <w:pPr>
        <w:spacing w:after="0" w:line="225" w:lineRule="exact"/>
        <w:rPr>
          <w:rFonts w:ascii="Times New Roman" w:cs="Times New Roman" w:eastAsia="Times New Roman" w:hAnsi="Times New Roman"/>
          <w:sz w:val="18"/>
          <w:szCs w:val="18"/>
          <w:color w:val="auto"/>
        </w:rPr>
      </w:pPr>
    </w:p>
    <w:p>
      <w:pPr>
        <w:ind w:left="180" w:right="20" w:firstLine="490"/>
        <w:spacing w:after="0" w:line="282" w:lineRule="auto"/>
        <w:tabs>
          <w:tab w:leader="none" w:pos="1148"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any Contract outside of the Ordinary Course of Business, including not committing to any contract terms or pricing not consistent with past practice; and</w:t>
      </w:r>
    </w:p>
    <w:p>
      <w:pPr>
        <w:spacing w:after="0" w:line="161" w:lineRule="exact"/>
        <w:rPr>
          <w:rFonts w:ascii="Times New Roman" w:cs="Times New Roman" w:eastAsia="Times New Roman" w:hAnsi="Times New Roman"/>
          <w:sz w:val="18"/>
          <w:szCs w:val="18"/>
          <w:color w:val="auto"/>
        </w:rPr>
      </w:pPr>
    </w:p>
    <w:p>
      <w:pPr>
        <w:ind w:left="1120" w:hanging="450"/>
        <w:spacing w:after="0"/>
        <w:tabs>
          <w:tab w:leader="none" w:pos="1120"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confer with Buyer concerning operational matters of a material nature.</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672"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Pre-Closing Covenants</w:t>
      </w:r>
      <w:r>
        <w:rPr>
          <w:rFonts w:ascii="Times New Roman" w:cs="Times New Roman" w:eastAsia="Times New Roman" w:hAnsi="Times New Roman"/>
          <w:sz w:val="18"/>
          <w:szCs w:val="18"/>
          <w:color w:val="auto"/>
        </w:rPr>
        <w:t xml:space="preserve">. In addition, prior to Closing, Seller shall (i) take all actions reasonably necessary to make Seller’s Stratix ERP System and general ledger access available for Buyer’s utilization of the same as a Service (as defined in the Transition Services Agreement) as provided in the Transition Services Agreement; (ii) take all actions reasonably necessary to make Seller’s EDI capabilities associated with both vendors and customers at the Acquired Facilities available for Buyer’s utilization of the same as a Service (as defined in the Transition Services Agreement) as provided in the Transition Services Agreement; (iii) provide Buyer with all inventory and customer information related to the Inventory Facilities so that the Buyer can set up this information in its legacy ERP system prior to Closing; and (iv) assist Buyer with establishing all employees of Seller listed in </w:t>
      </w:r>
      <w:r>
        <w:rPr>
          <w:rFonts w:ascii="Times New Roman" w:cs="Times New Roman" w:eastAsia="Times New Roman" w:hAnsi="Times New Roman"/>
          <w:sz w:val="18"/>
          <w:szCs w:val="18"/>
          <w:u w:val="single" w:color="auto"/>
          <w:color w:val="auto"/>
        </w:rPr>
        <w:t>Section 6.03(a)(i)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6.03(a)(ii)</w:t>
      </w:r>
      <w:r>
        <w:rPr>
          <w:rFonts w:ascii="Times New Roman" w:cs="Times New Roman" w:eastAsia="Times New Roman" w:hAnsi="Times New Roman"/>
          <w:sz w:val="18"/>
          <w:szCs w:val="18"/>
          <w:color w:val="auto"/>
        </w:rPr>
        <w:t xml:space="preserve"> of the Disclosure Schedules in Buyer’s payroll system and benefit programs. If this Agreement is terminated in accordance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hereof, Buyer shall promptly deliver to Seller or destroy all data, materials and other information provided to Buyer pursuant to this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whether in the possession or control of Buyer, any of Buyer’s Affiliates or Representatives or any other Person (with such destruction certified in writing to Seller by an authorized officer of Buyer supervising such destruction), and Buyer and Buyer’s Representatives shall not retain any copies, extracts or other reproductions (in whatever medium) in whole or in part of such data, materials and other information.</w:t>
      </w:r>
    </w:p>
    <w:p>
      <w:pPr>
        <w:spacing w:after="0" w:line="18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83" w:name="page384"/>
    <w:bookmarkEnd w:id="383"/>
    <w:p>
      <w:pPr>
        <w:jc w:val="both"/>
        <w:ind w:firstLine="644"/>
        <w:spacing w:after="0" w:line="261" w:lineRule="auto"/>
        <w:tabs>
          <w:tab w:leader="none" w:pos="1041"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xml:space="preserve">. From the date hereof until the Closing, except (i) as expressly permitted by this Agreement, (ii) as required by applicable Law or (iii) as otherwise expressly consented to by Buyer in writing, which consent shall not be unreasonably conditioned, withheld or delayed, Seller will not take any action, or fail to take any action, as a result of which any of the changes, events or conditions described in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would occur or could reasonably be expected to occur.</w:t>
      </w:r>
    </w:p>
    <w:p>
      <w:pPr>
        <w:spacing w:after="0" w:line="17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6.03</w:t>
      </w:r>
      <w:r>
        <w:rPr>
          <w:sz w:val="20"/>
          <w:szCs w:val="20"/>
          <w:color w:val="auto"/>
        </w:rPr>
        <w:tab/>
      </w:r>
      <w:r>
        <w:rPr>
          <w:rFonts w:ascii="Times New Roman" w:cs="Times New Roman" w:eastAsia="Times New Roman" w:hAnsi="Times New Roman"/>
          <w:sz w:val="17"/>
          <w:szCs w:val="17"/>
          <w:b w:val="1"/>
          <w:bCs w:val="1"/>
          <w:color w:val="auto"/>
        </w:rPr>
        <w:t>Employees and Employee Benefits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4"/>
        <w:spacing w:after="0" w:line="252" w:lineRule="auto"/>
        <w:tabs>
          <w:tab w:leader="none" w:pos="1063"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On the Closing Date, Seller shall terminate all employees set forth on </w:t>
      </w:r>
      <w:r>
        <w:rPr>
          <w:rFonts w:ascii="Times New Roman" w:cs="Times New Roman" w:eastAsia="Times New Roman" w:hAnsi="Times New Roman"/>
          <w:sz w:val="18"/>
          <w:szCs w:val="18"/>
          <w:u w:val="single" w:color="auto"/>
          <w:color w:val="auto"/>
        </w:rPr>
        <w:t>Section 6.03(a)(i)</w:t>
      </w:r>
      <w:r>
        <w:rPr>
          <w:rFonts w:ascii="Times New Roman" w:cs="Times New Roman" w:eastAsia="Times New Roman" w:hAnsi="Times New Roman"/>
          <w:sz w:val="18"/>
          <w:szCs w:val="18"/>
          <w:color w:val="auto"/>
        </w:rPr>
        <w:t xml:space="preserve"> of the Disclosure Schedules. (ii) Upon the end of the Service Period (as defined in the Transition Services Agreement) or such date as may be agreed by Buyer and Seller, Seller shall terminate all employees set forth on </w:t>
      </w:r>
      <w:r>
        <w:rPr>
          <w:rFonts w:ascii="Times New Roman" w:cs="Times New Roman" w:eastAsia="Times New Roman" w:hAnsi="Times New Roman"/>
          <w:sz w:val="18"/>
          <w:szCs w:val="18"/>
          <w:u w:val="single" w:color="auto"/>
          <w:color w:val="auto"/>
        </w:rPr>
        <w:t>Section 6.03(a)(ii)</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u w:val="single" w:color="auto"/>
          <w:color w:val="auto"/>
        </w:rPr>
        <w:t>TSA Employees</w:t>
      </w:r>
      <w:r>
        <w:rPr>
          <w:rFonts w:ascii="Times New Roman" w:cs="Times New Roman" w:eastAsia="Times New Roman" w:hAnsi="Times New Roman"/>
          <w:sz w:val="18"/>
          <w:szCs w:val="18"/>
          <w:color w:val="auto"/>
        </w:rPr>
        <w:t xml:space="preserve">”). At Buyer’s sole discretion, Buyer may offer employment, on an “at will” basis, to any or all of such employees. Buyer’s offer of employment in each case shall be effective as of the Closing with respect to employees set forth on </w:t>
      </w:r>
      <w:r>
        <w:rPr>
          <w:rFonts w:ascii="Times New Roman" w:cs="Times New Roman" w:eastAsia="Times New Roman" w:hAnsi="Times New Roman"/>
          <w:sz w:val="18"/>
          <w:szCs w:val="18"/>
          <w:u w:val="single" w:color="auto"/>
          <w:color w:val="auto"/>
        </w:rPr>
        <w:t>Section 6.03(a)(i)</w:t>
      </w:r>
      <w:r>
        <w:rPr>
          <w:rFonts w:ascii="Times New Roman" w:cs="Times New Roman" w:eastAsia="Times New Roman" w:hAnsi="Times New Roman"/>
          <w:sz w:val="18"/>
          <w:szCs w:val="18"/>
          <w:color w:val="auto"/>
        </w:rPr>
        <w:t xml:space="preserve"> of the Disclosure Schedules and as of the next Business Day after termination with respect to employees set forth on </w:t>
      </w:r>
      <w:r>
        <w:rPr>
          <w:rFonts w:ascii="Times New Roman" w:cs="Times New Roman" w:eastAsia="Times New Roman" w:hAnsi="Times New Roman"/>
          <w:sz w:val="18"/>
          <w:szCs w:val="18"/>
          <w:u w:val="single" w:color="auto"/>
          <w:color w:val="auto"/>
        </w:rPr>
        <w:t>Section 6.03(a)(ii)</w:t>
      </w:r>
      <w:r>
        <w:rPr>
          <w:rFonts w:ascii="Times New Roman" w:cs="Times New Roman" w:eastAsia="Times New Roman" w:hAnsi="Times New Roman"/>
          <w:sz w:val="18"/>
          <w:szCs w:val="18"/>
          <w:color w:val="auto"/>
        </w:rPr>
        <w:t xml:space="preserve"> of the Disclosure Schedules and shall be made in writing as soon as reasonably practicable after the date of this Agreement, and shall provide for (A) an annual base salary (or base hourly wage rate, as applicable) during Buyer’s fiscal year ending March 31, 2023, that shall be not less than that provided by Seller to the employee immediately prior to the Closing Date as indicated on </w:t>
      </w: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Disclosure Schedules; (B) an annual incentive compensation opportunity during Buyer’s fiscal year ending March 31, 2023, that shall be not less than that provided by Seller to the employee immediately prior to the Closing Date as indicated on </w:t>
      </w: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Disclosure Schedules; and (C) employee benefits under Buyer’s benefit plans that are provided to similarly-situated employees of Buyer. Each such employee who accepts Buyer’s offer of employment shall become an employee of Buyer (or its designated Affiliate) as of the Closing and shall be referred to herein as a “</w:t>
      </w:r>
      <w:r>
        <w:rPr>
          <w:rFonts w:ascii="Times New Roman" w:cs="Times New Roman" w:eastAsia="Times New Roman" w:hAnsi="Times New Roman"/>
          <w:sz w:val="18"/>
          <w:szCs w:val="18"/>
          <w:u w:val="single" w:color="auto"/>
          <w:color w:val="auto"/>
        </w:rPr>
        <w:t>Transferred Employee</w:t>
      </w:r>
      <w:r>
        <w:rPr>
          <w:rFonts w:ascii="Times New Roman" w:cs="Times New Roman" w:eastAsia="Times New Roman" w:hAnsi="Times New Roman"/>
          <w:sz w:val="18"/>
          <w:szCs w:val="18"/>
          <w:color w:val="auto"/>
        </w:rPr>
        <w:t>.” Seller shall bear any and all obligations and liability under the WARN Act. TSA Employees may only be terminated by Seller in accordance with the Transition Services Agreement.</w:t>
      </w:r>
    </w:p>
    <w:p>
      <w:pPr>
        <w:spacing w:after="0" w:line="197" w:lineRule="exact"/>
        <w:rPr>
          <w:rFonts w:ascii="Times New Roman" w:cs="Times New Roman" w:eastAsia="Times New Roman" w:hAnsi="Times New Roman"/>
          <w:sz w:val="18"/>
          <w:szCs w:val="18"/>
          <w:color w:val="auto"/>
        </w:rPr>
      </w:pPr>
    </w:p>
    <w:p>
      <w:pPr>
        <w:jc w:val="both"/>
        <w:ind w:firstLine="644"/>
        <w:spacing w:after="0" w:line="256" w:lineRule="auto"/>
        <w:tabs>
          <w:tab w:leader="none" w:pos="1052"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be solely responsible, and Buyer shall have no obligations whatsoever for, any compensation, benefits or other amounts payable or to be provided to any current or former employee, officer, director, independent contractor or consultant of the Business, including the Employees, including, without limitation, hourly pay, commission, bonus, salary, accrued vacation, fringe, pension or profit sharing benefits or severance pay for any period relating to the service with Seller at any time on or prior to the Closing Date (or on or prior to the date of termination with respect to any TSA Employee) and Seller shall pay all such amounts to all entitled persons on or prior to the Closing Date (or on or prior to the date of termination with respect to any TSA Employee).</w:t>
      </w:r>
    </w:p>
    <w:p>
      <w:pPr>
        <w:spacing w:after="0" w:line="187" w:lineRule="exact"/>
        <w:rPr>
          <w:rFonts w:ascii="Times New Roman" w:cs="Times New Roman" w:eastAsia="Times New Roman" w:hAnsi="Times New Roman"/>
          <w:sz w:val="18"/>
          <w:szCs w:val="18"/>
          <w:color w:val="auto"/>
        </w:rPr>
      </w:pPr>
    </w:p>
    <w:p>
      <w:pPr>
        <w:jc w:val="both"/>
        <w:ind w:firstLine="644"/>
        <w:spacing w:after="0" w:line="255" w:lineRule="auto"/>
        <w:tabs>
          <w:tab w:leader="none" w:pos="1041"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remain solely responsible for the satisfaction of all claims for benefits provided under any benefit plans of Seller and its Affiliates including all medical, dental, life insurance, health, accident, disability benefits brought by or in respect of current or former employees, officers, directors, independent contractors or consultants of the Business, including the Employees, or the spouses, dependents or beneficiaries thereof. Seller also shall remain solely responsible for all worker’s compensation claims of any current or former employees, officers, directors, independent contractors or consultants of the Business which relate to events occurring on or prior to the Closing Date (or on or prior to the date of termination with respect to any TSA Employee). Seller shall pay, or cause to be paid, all such amounts to the appropriate Persons as and when due.</w:t>
      </w:r>
    </w:p>
    <w:p>
      <w:pPr>
        <w:spacing w:after="0" w:line="188"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84" w:name="page385"/>
    <w:bookmarkEnd w:id="384"/>
    <w:p>
      <w:pPr>
        <w:jc w:val="both"/>
        <w:ind w:left="-460" w:firstLine="644"/>
        <w:spacing w:after="0" w:line="266" w:lineRule="auto"/>
        <w:tabs>
          <w:tab w:leader="none" w:pos="623"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administratively feasible after the Closing, but in no event later than five (5) Business Days after the Closing (or no later than five (5) Business Days after the date of termination with respect to any TSA Employee), Seller shall have paid out the Liability as of the Closing Date for all unused Paid Time Off with respect to the Transferred Employees to such Transferred Employees.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6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eligibility and vesting under Buyer’s post-Closing benefit plans, and for purposes of accrual of vacation and other paid time off and severance benefits under such Buyer benefit plans, each Transferred Employee shall be credited with his or her years of service with Seller before the Closing to the same extent as such Transferred Employee was entitled, before the Closing, to credit for such service under any similar Seller Benefit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Seller has provided to Buyer prior to the Closing all the information reasonably necessary for Buyer to provide any such credit.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57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and without limiting the generality of the foregoing, following the Closing (or following their start date with respect to TSA Employees) (i) each Transferred Employee shall be eligible immediately to participate in the post-Closing benefit plans of Buyer and (ii) Buyer shall cause all waiting periods and preexisting condition limitations under such post-Closing benefit plans to be waived for each such employee and his or her covered dependents.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63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Closing Date, Buyer shall, for the Transferred Employees, designate one or more Buyer benefit plans that are tax-qualified defined contribution plans for the benefit of the Transferred Employees (the “</w:t>
      </w:r>
      <w:r>
        <w:rPr>
          <w:rFonts w:ascii="Times New Roman" w:cs="Times New Roman" w:eastAsia="Times New Roman" w:hAnsi="Times New Roman"/>
          <w:sz w:val="18"/>
          <w:szCs w:val="18"/>
          <w:u w:val="single" w:color="auto"/>
          <w:color w:val="auto"/>
        </w:rPr>
        <w:t>Buyer Savings Plan</w:t>
      </w:r>
      <w:r>
        <w:rPr>
          <w:rFonts w:ascii="Times New Roman" w:cs="Times New Roman" w:eastAsia="Times New Roman" w:hAnsi="Times New Roman"/>
          <w:sz w:val="18"/>
          <w:szCs w:val="18"/>
          <w:color w:val="auto"/>
        </w:rPr>
        <w:t>”). Buyer shall take all actions necessary to allow the Transferred Employees to make eligible rollover contributions to the Buyer Savings Plan of their account balances, including loans, under the Seller’s Savings Plan as soon as practicable following the Closing (or following their start date with respect to TSA Employees) provided such “rollover” is in accordance with the provisions of such plan and applicable Law.</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64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continue to provide all health, dental, vision and other applicable insurance coverages to the Transferred Employees through the end of the month in which Closing occurs (or the month of their start date with Buyer with respect to the TSA Employees).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585"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deemed to grant any Transferred Employee any right to continued employment or any other rights under this Agreement or, following the Closing, to limit the ability of Buyer or any of its Affiliates to terminate the employment of any employee (including any Transferred Employee) at any time and for any or no reason. In addition, nothing contained in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express or implied (i) shall be construed to establish, amend, or modify any benefit or compensation plan, program, agreement, contract, policy or arrangement, or limit the ability of Buyer or any of its Affiliates to amend, modify or terminate any benefit or compensation plan, program, agreement, contract, policy or arrangement at any time assumed, established, sponsored or maintained by any of them or (ii) is intended to confer upon any Person (including Transferred Employees, employees, retirees, or dependents or beneficiaries of employees or retirees) any rights as a third-party beneficiary of this Agreement.</w:t>
      </w:r>
    </w:p>
    <w:p>
      <w:pPr>
        <w:spacing w:after="0" w:line="19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85" w:name="page386"/>
    <w:bookmarkEnd w:id="385"/>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6.04 Confidentiality</w:t>
      </w:r>
      <w:r>
        <w:rPr>
          <w:rFonts w:ascii="Times New Roman" w:cs="Times New Roman" w:eastAsia="Times New Roman" w:hAnsi="Times New Roman"/>
          <w:sz w:val="18"/>
          <w:szCs w:val="18"/>
          <w:color w:val="auto"/>
        </w:rPr>
        <w:t>. From and after the Closing, the Seller Parties shall, and shall cause their Affiliates to, hold, and shall cause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Representatives to hold, in confidence any and all information, whether written or oral, concerning the Business at the Acquired Facilities, except to the extent that the Seller Parties can show that such information (a) is generally available to and known by the public through no fault of the Seller Parties, any of their Affiliates or their respective Representatives; or (b) is lawfully acquired by the Seller Parties, any of their Affiliates or their respective Representatives from and after the Closing from sources which are not prohibited from disclosing such information by a legal, contractual or fiduciary obligation. If the Seller Parties or any of their Affiliates or their respective Representatives are compelled to disclose any information by judicial or administrative process or by other requirements of Law, the Seller Parties shall promptly notify Buyer in writing and shall disclose only that portion of such information which the Seller Parties are advised by their counsel in writing is legally required to be disclosed,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Seller Parties shall use commercially reasonable efforts to obtain an appropriate protective order or other reasonable assurance that confidential treatment will be accorded such information. Buyer acknowledges that any data or information related to the Excluded Assets shall remain the confidential information of Seller. The Parties acknowledge that, except as modified by the terms of this Agreement, (i) all information and documents provided in connection with the transactions contemplated by this Agreement, and (ii) the terms of this Agreement and the Ancillary Documents, are subject to the terms of the Confidentiality Agreement.</w:t>
      </w:r>
    </w:p>
    <w:p>
      <w:pPr>
        <w:spacing w:after="0" w:line="187"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6.05</w:t>
      </w:r>
      <w:r>
        <w:rPr>
          <w:sz w:val="20"/>
          <w:szCs w:val="20"/>
          <w:color w:val="auto"/>
        </w:rPr>
        <w:tab/>
      </w:r>
      <w:r>
        <w:rPr>
          <w:rFonts w:ascii="Times New Roman" w:cs="Times New Roman" w:eastAsia="Times New Roman" w:hAnsi="Times New Roman"/>
          <w:sz w:val="17"/>
          <w:szCs w:val="17"/>
          <w:b w:val="1"/>
          <w:bCs w:val="1"/>
          <w:color w:val="auto"/>
        </w:rPr>
        <w:t>Non-Competition; Non-Solicitation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4"/>
        <w:spacing w:after="0" w:line="253" w:lineRule="auto"/>
        <w:tabs>
          <w:tab w:leader="none" w:pos="1688"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6.03(h)</w:t>
      </w:r>
      <w:r>
        <w:rPr>
          <w:rFonts w:ascii="Times New Roman" w:cs="Times New Roman" w:eastAsia="Times New Roman" w:hAnsi="Times New Roman"/>
          <w:sz w:val="18"/>
          <w:szCs w:val="18"/>
          <w:color w:val="auto"/>
        </w:rPr>
        <w:t>, for a period of five (5) years following the Closing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Seller Parties shall not, and shall not permit any of their Subsidiaries (collectively, the “</w:t>
      </w:r>
      <w:r>
        <w:rPr>
          <w:rFonts w:ascii="Times New Roman" w:cs="Times New Roman" w:eastAsia="Times New Roman" w:hAnsi="Times New Roman"/>
          <w:sz w:val="18"/>
          <w:szCs w:val="18"/>
          <w:u w:val="single" w:color="auto"/>
          <w:color w:val="auto"/>
        </w:rPr>
        <w:t>Restricted Entities</w:t>
      </w:r>
      <w:r>
        <w:rPr>
          <w:rFonts w:ascii="Times New Roman" w:cs="Times New Roman" w:eastAsia="Times New Roman" w:hAnsi="Times New Roman"/>
          <w:sz w:val="18"/>
          <w:szCs w:val="18"/>
          <w:color w:val="auto"/>
        </w:rPr>
        <w:t>”) to, directly or indirectly, own, control or operate any equipment or assets anywhere within the United States that convert Hot Rolled Black or Hot Rolled Pickled &amp; Oiled steel coils into temper passed or stretcher-leveled sheet or plate product that falls within a thickness range of 0.0625” through 1.000” and a width range of 48” through 96” (the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xml:space="preserve">”), nor shall any Restricted Entity employ outside toll processing services to convert material owned by any Restricted Entity into Restricted Products;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Restricted Entities shall be permitted to provide Restricted Products to their existing customers in quantities substantially similar to those provided prior to the Closing (including through toll processing services). In the event that a Restricted Entity wishes to provide Restricted Products in truckload quantities to new customers or to existing customers outside of current supply arrangements, the Restricted Entity shall first provide to Buyer the opportunity to provide such Restricted Products to the Restricted Entity at prevailing market rates. In the event that Buyer declines to provide such Restricted Products, the Restricted Entity shall be free to source such Restricted Products from alternate suppliers.</w:t>
      </w:r>
    </w:p>
    <w:p>
      <w:pPr>
        <w:spacing w:after="0" w:line="19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6" w:name="page387"/>
    <w:bookmarkEnd w:id="386"/>
    <w:p>
      <w:pPr>
        <w:jc w:val="both"/>
        <w:ind w:left="-460" w:firstLine="644"/>
        <w:spacing w:after="0" w:line="261" w:lineRule="auto"/>
        <w:tabs>
          <w:tab w:leader="none" w:pos="623"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during the Restricted Period, if a Restricted Entity wishes to obtain the capability to produce Restricted Products at a facility which lies outside a 250-mile radius of (i) any of the Acquired Facilities and (ii) any of Buyer’s facilities (such Buyer facilities being located in Hickman, Arkansas; Decatur, Alabama; and Sinton, Texas), the Restricted Entity shall have the right to ask permission from Buyer for a waiver from the provisions of this paragraph. Buyer shall be under no obligation to grant any such waiver.</w:t>
      </w:r>
    </w:p>
    <w:p>
      <w:pPr>
        <w:spacing w:after="0" w:line="179" w:lineRule="exact"/>
        <w:rPr>
          <w:rFonts w:ascii="Times New Roman" w:cs="Times New Roman" w:eastAsia="Times New Roman" w:hAnsi="Times New Roman"/>
          <w:sz w:val="18"/>
          <w:szCs w:val="18"/>
          <w:color w:val="auto"/>
        </w:rPr>
      </w:pPr>
    </w:p>
    <w:p>
      <w:pPr>
        <w:jc w:val="both"/>
        <w:ind w:left="-460" w:right="20" w:firstLine="644"/>
        <w:spacing w:after="0" w:line="266" w:lineRule="auto"/>
        <w:tabs>
          <w:tab w:leader="none" w:pos="604"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the Restricted Entities shall not cause, induce or encourage any material client, customer, supplier or licensor of the Business at the Acquired Facilities as of the Closing Date, or any other Person who has a material business relationship with the Business at the Acquired Facilities as of the Closing Date, to terminate or modify any such relationship.</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656"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 Seller Party may own, directly or indirectly, solely as an investment, securities of any Person traded on any national securities exchange if such Seller Party is not a controlling Person of, or a member of a group which controls, such Person and does not, directly or indirectly, own 1% or more of any class of securities of such Person. Notwithstanding anything to the contrary herein,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not apply to any Buyer Stock that Seller or its Affiliates may acquire pursuant to this Agreement. During the Restricted Period, neither Seller nor its Affiliates shall acquire any additional Buyer Stock.</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593"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Restricted Period, Seller Parties shall not, and shall not permit any of their Affiliates (unless otherwise mutually agreed by Buyer and Seller Parties) to, directly or indirectly, solicit any person who is offered employment by Buyer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to the extent any such person accepts such offer of employment, encourage any such person to leave such employment, except pursuant to a general solicitation which is not directed specifically to any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6.05(e)</w:t>
      </w:r>
      <w:r>
        <w:rPr>
          <w:rFonts w:ascii="Times New Roman" w:cs="Times New Roman" w:eastAsia="Times New Roman" w:hAnsi="Times New Roman"/>
          <w:sz w:val="18"/>
          <w:szCs w:val="18"/>
          <w:color w:val="auto"/>
        </w:rPr>
        <w:t xml:space="preserve"> shall prevent the Seller Parties or any of their Affiliates from hiring (i) any employee whose employment has been terminated by Buyer or (ii) after 180 days from the date of termination of employment, any employee whose employment has been terminated by the employee.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558"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Parties acknowledge that a breach or threatened breach of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would give rise to irreparable harm to Buyer, for which monetary damages would not be an adequate remedy, and hereby agree that in the event of a breach or a threatened breach by the Seller Parties of any such obligations, Buyer shall, in addition to any and all other rights and remedies that may be available to it in respect of such breach, be entitled to equitable relief, including a temporary restraining order, an injunction, specific performance and any other relief that may be available from a court of competent jurisdiction (without any requirement to post bond).</w:t>
      </w:r>
    </w:p>
    <w:p>
      <w:pPr>
        <w:spacing w:after="0" w:line="183"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87" w:name="page388"/>
    <w:bookmarkEnd w:id="387"/>
    <w:p>
      <w:pPr>
        <w:jc w:val="both"/>
        <w:ind w:firstLine="644"/>
        <w:spacing w:after="0" w:line="254" w:lineRule="auto"/>
        <w:tabs>
          <w:tab w:leader="none" w:pos="1131"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Parties acknowledge that the restrictions contained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are reasonable and necessary to protect the legitimate interests of Buyer and constitute a material inducement to Buyer to enter into this Agreement and consummate the transactions contemplated by this Agreement. In the event that any covenant contained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should ever be adjudicated to exceed the time, geographic, product or service or other limitations permitted by applicable Law in any jurisdiction, then any court is expressly empowered to reform such covenant, and such covenant shall be deemed reformed, in such jurisdiction to the maximum time, geographic, product or service or other limitations permitted by applicable Law. The covenants contained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188" w:lineRule="exact"/>
        <w:rPr>
          <w:rFonts w:ascii="Times New Roman" w:cs="Times New Roman" w:eastAsia="Times New Roman" w:hAnsi="Times New Roman"/>
          <w:sz w:val="18"/>
          <w:szCs w:val="18"/>
          <w:color w:val="auto"/>
        </w:rPr>
      </w:pPr>
    </w:p>
    <w:p>
      <w:pPr>
        <w:jc w:val="both"/>
        <w:ind w:firstLine="644"/>
        <w:spacing w:after="0" w:line="266" w:lineRule="auto"/>
        <w:tabs>
          <w:tab w:leader="none" w:pos="1277"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the Seller Parties shall not operate or conduct any business at the Inventory Facilities except (i) for the benefit of Buyer or (ii) with the prior written consent of Buyer, which consent shall not be unreasonably withheld or delayed, solely if the Seller provides prior written request that it has unexpected support issues for its Affiliates which need to be fulfilled at the Inventory Facilities on a limited basis.</w:t>
      </w:r>
    </w:p>
    <w:p>
      <w:pPr>
        <w:spacing w:after="0" w:line="17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6.06</w:t>
      </w:r>
      <w:r>
        <w:rPr>
          <w:sz w:val="20"/>
          <w:szCs w:val="20"/>
          <w:color w:val="auto"/>
        </w:rPr>
        <w:tab/>
      </w:r>
      <w:r>
        <w:rPr>
          <w:rFonts w:ascii="Times New Roman" w:cs="Times New Roman" w:eastAsia="Times New Roman" w:hAnsi="Times New Roman"/>
          <w:sz w:val="17"/>
          <w:szCs w:val="17"/>
          <w:b w:val="1"/>
          <w:bCs w:val="1"/>
          <w:color w:val="auto"/>
        </w:rPr>
        <w:t>Governmental Approvals and Consents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4"/>
        <w:spacing w:after="0" w:line="255" w:lineRule="auto"/>
        <w:tabs>
          <w:tab w:leader="none" w:pos="1062"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shall, as promptly as possible, (i) make, or cause or be made, all filings and submissions (including those under the HSR Act) required under any Law applicable to such Party or any of its Affiliates; and (ii) use commercially reasonable efforts to obtain, or cause to be obtained, all consents, authorizations, orders and approvals from all Governmental Authorities that may be or become necessary for its execution and delivery of this Agreement and the performance of its obligations pursuant to this Agreement and the Ancillary Documents. Each Party shall cooperate fully with the other Parties and their Affiliates in promptly seeking to obtain all such consents, authorizations, orders and approvals. The Parties hereto shall not willfully take any action that will have the effect of delaying, impairing or impeding the receipt of any required consents, authorizations, orders and approvals.</w:t>
      </w:r>
    </w:p>
    <w:p>
      <w:pPr>
        <w:spacing w:after="0" w:line="188" w:lineRule="exact"/>
        <w:rPr>
          <w:rFonts w:ascii="Times New Roman" w:cs="Times New Roman" w:eastAsia="Times New Roman" w:hAnsi="Times New Roman"/>
          <w:sz w:val="18"/>
          <w:szCs w:val="18"/>
          <w:color w:val="auto"/>
        </w:rPr>
      </w:pPr>
    </w:p>
    <w:p>
      <w:pPr>
        <w:ind w:firstLine="644"/>
        <w:spacing w:after="0" w:line="282" w:lineRule="auto"/>
        <w:tabs>
          <w:tab w:leader="none" w:pos="106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and Buyer shall give all notices to, and use commercially reasonable efforts to obtain all consents from, all third parties that are described in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 xml:space="preserve"> of the Disclosure Schedules, if any.</w:t>
      </w:r>
    </w:p>
    <w:p>
      <w:pPr>
        <w:spacing w:after="0" w:line="161"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88" w:name="page389"/>
    <w:bookmarkEnd w:id="388"/>
    <w:p>
      <w:pPr>
        <w:ind w:left="66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Section 6.07</w:t>
      </w:r>
      <w:r>
        <w:rPr>
          <w:sz w:val="20"/>
          <w:szCs w:val="20"/>
          <w:color w:val="auto"/>
        </w:rPr>
        <w:tab/>
      </w:r>
      <w:r>
        <w:rPr>
          <w:rFonts w:ascii="Times New Roman" w:cs="Times New Roman" w:eastAsia="Times New Roman" w:hAnsi="Times New Roman"/>
          <w:sz w:val="17"/>
          <w:szCs w:val="17"/>
          <w:b w:val="1"/>
          <w:bCs w:val="1"/>
          <w:color w:val="auto"/>
        </w:rPr>
        <w:t>Books and Records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firstLine="644"/>
        <w:spacing w:after="0" w:line="282" w:lineRule="auto"/>
        <w:tabs>
          <w:tab w:leader="none" w:pos="1700"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facilitate the resolution of any claims made against or incurred by Seller prior to the Closing, or for any other reasonable purpose, for a period of three years after the Closing, Buyer shall:</w:t>
      </w:r>
    </w:p>
    <w:p>
      <w:pPr>
        <w:spacing w:after="0" w:line="161" w:lineRule="exact"/>
        <w:rPr>
          <w:rFonts w:ascii="Times New Roman" w:cs="Times New Roman" w:eastAsia="Times New Roman" w:hAnsi="Times New Roman"/>
          <w:sz w:val="18"/>
          <w:szCs w:val="18"/>
          <w:color w:val="auto"/>
        </w:rPr>
      </w:pPr>
    </w:p>
    <w:p>
      <w:pPr>
        <w:ind w:left="1300" w:firstLine="490"/>
        <w:spacing w:after="0" w:line="282" w:lineRule="auto"/>
        <w:tabs>
          <w:tab w:leader="none" w:pos="233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the Books and Records (including personnel files) relating to periods prior to the Closing in a manner reasonably consistent with the prior practices of Seller; and</w:t>
      </w:r>
    </w:p>
    <w:p>
      <w:pPr>
        <w:spacing w:after="0" w:line="161" w:lineRule="exact"/>
        <w:rPr>
          <w:rFonts w:ascii="Times New Roman" w:cs="Times New Roman" w:eastAsia="Times New Roman" w:hAnsi="Times New Roman"/>
          <w:sz w:val="18"/>
          <w:szCs w:val="18"/>
          <w:color w:val="auto"/>
        </w:rPr>
      </w:pPr>
    </w:p>
    <w:p>
      <w:pPr>
        <w:ind w:left="1300" w:firstLine="490"/>
        <w:spacing w:after="0" w:line="282" w:lineRule="auto"/>
        <w:tabs>
          <w:tab w:leader="none" w:pos="2278"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afford Seller’s Representatives reasonable access (including the right to make, at Seller’s expense, photocopies), during normal business hours, to such Books and Records.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794"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facilitate the resolution of any claims made by or against or incurred by Buyer after the Closing, or for any other reasonable purpose, for a period of three years following the Closing, Seller shall:</w:t>
      </w:r>
    </w:p>
    <w:p>
      <w:pPr>
        <w:spacing w:after="0" w:line="161" w:lineRule="exact"/>
        <w:rPr>
          <w:rFonts w:ascii="Times New Roman" w:cs="Times New Roman" w:eastAsia="Times New Roman" w:hAnsi="Times New Roman"/>
          <w:sz w:val="18"/>
          <w:szCs w:val="18"/>
          <w:color w:val="auto"/>
        </w:rPr>
      </w:pPr>
    </w:p>
    <w:p>
      <w:pPr>
        <w:ind w:left="1300" w:firstLine="490"/>
        <w:spacing w:after="0" w:line="282" w:lineRule="auto"/>
        <w:tabs>
          <w:tab w:leader="none" w:pos="2265"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the books and records (including personnel files) of Seller which relate to the Business and its operations for periods prior to the Closing; and</w:t>
      </w:r>
    </w:p>
    <w:p>
      <w:pPr>
        <w:spacing w:after="0" w:line="161" w:lineRule="exact"/>
        <w:rPr>
          <w:rFonts w:ascii="Times New Roman" w:cs="Times New Roman" w:eastAsia="Times New Roman" w:hAnsi="Times New Roman"/>
          <w:sz w:val="18"/>
          <w:szCs w:val="18"/>
          <w:color w:val="auto"/>
        </w:rPr>
      </w:pPr>
    </w:p>
    <w:p>
      <w:pPr>
        <w:ind w:left="1300" w:firstLine="490"/>
        <w:spacing w:after="0" w:line="282" w:lineRule="auto"/>
        <w:tabs>
          <w:tab w:leader="none" w:pos="2268"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afford Buyer’s Representatives reasonable access (including the right to make, at Buyer’s expense, photocopies), during normal business hours, to such books and records.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92"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Buyer nor Seller shall be obligated to provide the other Party with access to any books or records (including personnel files) pursuant to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where such access would (i) violate any Law or Contract, or (ii) in such Person’s good-faith opinion, (A) would conflict with confidentiality obligations to which such Person is bound, or (B) would reasonably be expected to result in the forfeiture or waiver of any attorney-client privilege or similar privilege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the foregoing clauses (A) and (B), such Person shall use commercially reasonable efforts to provide, to the extent possible, access to the relevant information in a manner that would not reasonably be expected to result in a violation of such confidentiality obligations or the forfeiture or waiver of any such attorney-client or similar privilege).</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6.08 Public Announcements</w:t>
      </w:r>
      <w:r>
        <w:rPr>
          <w:rFonts w:ascii="Times New Roman" w:cs="Times New Roman" w:eastAsia="Times New Roman" w:hAnsi="Times New Roman"/>
          <w:sz w:val="18"/>
          <w:szCs w:val="18"/>
          <w:color w:val="auto"/>
        </w:rPr>
        <w:t>. Promptly after the execution of this Agreement, the Parties shall issue a mutually agreed press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required by applicable Law or stock exchange requirements (based upon the reasonable advice of counsel), no Party or Affiliate thereof shall make any other public announcements in respect of this Agreement or the transactions contemplated hereby or otherwise communicate with any news media without the prior written consent of the other Party (which consent shall not be unreasonably withheld or delayed), and the Parties shall cooperate as to the timing and contents of any such announcement.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6.09 Bulk Sales Laws</w:t>
      </w:r>
      <w:r>
        <w:rPr>
          <w:rFonts w:ascii="Times New Roman" w:cs="Times New Roman" w:eastAsia="Times New Roman" w:hAnsi="Times New Roman"/>
          <w:sz w:val="18"/>
          <w:szCs w:val="18"/>
          <w:color w:val="auto"/>
        </w:rPr>
        <w:t>. The Parties hereby waive compliance with the provisions of any bulk sales, bulk transfer or similar Laws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that may otherwise be applicable with respect to the sale of any or all of the Purchased Assets to Buyer; it being understood that any Liabilities arising out of the failure of any Party to comply with the requirements and provisions of any bulk sales, bulk transfer or similar Laws of any jurisdiction shall be treated as Excluded Liabilities.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9" w:name="page390"/>
    <w:bookmarkEnd w:id="389"/>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6.10 Receivables</w:t>
      </w:r>
      <w:r>
        <w:rPr>
          <w:rFonts w:ascii="Times New Roman" w:cs="Times New Roman" w:eastAsia="Times New Roman" w:hAnsi="Times New Roman"/>
          <w:sz w:val="18"/>
          <w:szCs w:val="18"/>
          <w:color w:val="auto"/>
        </w:rPr>
        <w:t>. From and after the Closing, if Seller or any of its Affiliates receives or collects any funds relating to any Purchased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Seller or its Affiliate shall remit such funds to Buyer within five Business Days after its receipt thereof. From and after the Closing, if Buyer or its Affiliate receives or collects any funds relating to any Excluded Asset, Buyer or its Affiliate shall remit any such funds to Seller within five Business Days after its receipt thereof.</w:t>
      </w:r>
    </w:p>
    <w:p>
      <w:pPr>
        <w:spacing w:after="0" w:line="17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Section 6.11</w:t>
      </w:r>
      <w:r>
        <w:rPr>
          <w:sz w:val="20"/>
          <w:szCs w:val="20"/>
          <w:color w:val="auto"/>
        </w:rPr>
        <w:tab/>
      </w:r>
      <w:r>
        <w:rPr>
          <w:rFonts w:ascii="Times New Roman" w:cs="Times New Roman" w:eastAsia="Times New Roman" w:hAnsi="Times New Roman"/>
          <w:sz w:val="17"/>
          <w:szCs w:val="17"/>
          <w:b w:val="1"/>
          <w:bCs w:val="1"/>
          <w:color w:val="auto"/>
        </w:rPr>
        <w:t>Tax Matters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left="660" w:firstLine="644"/>
        <w:spacing w:after="0" w:line="253" w:lineRule="auto"/>
        <w:tabs>
          <w:tab w:leader="none" w:pos="1770"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stamp, registration, value added and other similar Taxes, charges and fees (including any penalties and interest) incurred in connection with this Agreement and the Ancillary Documents (including any real property transfer Tax and any other similar Tax)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shall be borne and paid 50/50 by Seller and Buyer when due. Seller shall, at its own expense, timely file any Tax Return or other document with respect to such Transfer Taxes or fees (and Buyer shall cooperate with respect thereto as necessary);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Seller shall provide such Tax Return to Buyer at least 5 Business Days prior to filing such Tax Return for Buyer’s review and comment. Buyer and Seller shall cooperate in good faith and provide such documents and forms as they are legally entitled to provide to reduce or eliminate any Transfer Taxes. Buyer and Seller agree to treat the purchase and sale of the Tangible Personal Property as an occasional, isolated, casual or similar sale, which is not subject to sales or use Taxes in the applicable jurisdictions, to the extent allowed under applicable Law. Buyer and Seller further agree to treat the purchase and sale of the Inventory as sales for resale, which are exempt from sales or use in the applicable jurisdictions, to the extent allowed under applicable Law.</w:t>
      </w:r>
    </w:p>
    <w:p>
      <w:pPr>
        <w:spacing w:after="0" w:line="194"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171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ad valorem, real or personal property and similar Taxes, installments or special assessments (including payments in lieu of any such Taxes, installments or special assessments) (collectively, “</w:t>
      </w:r>
      <w:r>
        <w:rPr>
          <w:rFonts w:ascii="Times New Roman" w:cs="Times New Roman" w:eastAsia="Times New Roman" w:hAnsi="Times New Roman"/>
          <w:sz w:val="18"/>
          <w:szCs w:val="18"/>
          <w:u w:val="single" w:color="auto"/>
          <w:color w:val="auto"/>
        </w:rPr>
        <w:t>Property Taxes</w:t>
      </w:r>
      <w:r>
        <w:rPr>
          <w:rFonts w:ascii="Times New Roman" w:cs="Times New Roman" w:eastAsia="Times New Roman" w:hAnsi="Times New Roman"/>
          <w:sz w:val="18"/>
          <w:szCs w:val="18"/>
          <w:color w:val="auto"/>
        </w:rPr>
        <w:t>”) with respect to the Purchased Assets that are payable with respect to a taxable period that begins on or before the Closing Date and ends after the Closing Date (a “</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xml:space="preserve">”) whether imposed or assessed before or after the Closing, shall be prorated between Seller and Buyer as of the end of the Closing Date. The amount of Property Taxes that relate to the portion of such Straddle Period ending on the Closing Date shall be the responsibility of Seller and shall be deemed to be the amount of such Property Taxes for the entire period multiplied by a fraction the numerator of which is the number of calendar days from the beginning of the Straddle Period ending through (and including) the Closing Date and the denominator of which is the number of calendar days in the entire Straddle Period. If any Property Taxes subject to proration pursuant to this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are paid by Buyer, on the one hand, or Seller, on the other hand, the proportionate amount of such Taxes paid shall be paid promptly by (or to) the other upon receipt of written notice of the payment of such Taxes.</w:t>
      </w:r>
    </w:p>
    <w:p>
      <w:pPr>
        <w:spacing w:after="0" w:line="1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0" w:name="page391"/>
    <w:bookmarkEnd w:id="390"/>
    <w:p>
      <w:pPr>
        <w:jc w:val="both"/>
        <w:ind w:left="4" w:firstLine="644"/>
        <w:spacing w:after="0" w:line="253" w:lineRule="auto"/>
        <w:tabs>
          <w:tab w:leader="none" w:pos="108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transactions contemplated by this Agreement, Buyer and Seller shall provide each other with such reasonable cooperation and information as any of them may reasonably require of the others in connection with the filing of any Tax Return, the determination of a liability for Taxes, or the preparation for and defense of any examination, litigation or investigation of any claim for Taxes in each case relating to the Purchased Assets for a Pre-Closing Tax Period or Straddle Period. Cooperation shall include the provision of all relevant Tax Returns, and other documents and records, or portions thereof relating to or necessary in connection with the preparation of Tax Returns or in the defense of a Tax contest related to the Purchased Assets for a Pre-Closing Tax Period or Straddle Period, and making employees reasonably available to explain such information. Notwithstanding anything to the contrary in this Agreement, (i) Buyer shall not have any obligation to provide or furnish to Seller any consolidated, combined, unitary, group or other Tax Return or portion thereof (including any work papers or related documentation) of Buyer or its Affiliates, and (ii) Seller shall not have any obligation to provide or furnish to Buyer any consolidated, combined, unitary, group or other Tax Return or portion thereof (including any work papers or related documentation) of Seller or its Affiliates (excluding Tax Returns related solely to the Purchased Assets or the Business for Pre-Closing Tax Periods).</w:t>
      </w:r>
    </w:p>
    <w:p>
      <w:pPr>
        <w:spacing w:after="0" w:line="191"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078"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agrees to give written notice to Seller of the receipt of any written notice by Buyer or any of its Affiliates that involves the assertion of any claim for Taxes or the commencement of any proceeding or audit with respect to Taxes for which Seller could have an indemnification obligation pursuant to this Agreement. Seller shall be entitled to participate fully in the defense of any such claim and to employ counsel of its choice and at its own cost for such purpose and Buyer or any of its Affiliates shall obtain the prior written consent of Seller (not to be unreasonably withheld, conditioned or delayed) before entering into any settlement, compromise or other resolution of any such claim.</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09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refunds (or credits for overpayment) of Excluded Tax Liabilities or any refunds of Taxes withheld from payments to Seller made pursuant to this Agreement, including any interest received from a Governmental Authority thereon, with respect to the Business or Purchased Assets that are received by Buyer after Closing that are not otherwise taken into account in the final determination of Closing Working Capital shall be for the account of Seller. Within twenty (20) Business Days of any receipt by Buyer or any of its Affiliates of any such refund (or credit for overpayment), Buyer shall pay over any such refund (or the amount of any such credit), including any interest thereon actually paid by a Governmental Authority, net of all out-of-pocket expenses (including Taxes) incurred by Buyer, to Seller. Seller shall, upon the request of Buyer, repay to Buyer the amount paid over to Seller pursuant to this </w:t>
      </w:r>
      <w:r>
        <w:rPr>
          <w:rFonts w:ascii="Times New Roman" w:cs="Times New Roman" w:eastAsia="Times New Roman" w:hAnsi="Times New Roman"/>
          <w:sz w:val="18"/>
          <w:szCs w:val="18"/>
          <w:u w:val="single" w:color="auto"/>
          <w:color w:val="auto"/>
        </w:rPr>
        <w:t>Section 6.11(e)</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Buyer is required to repay such refund (or credit) to the Governmental Authority. This </w:t>
      </w:r>
      <w:r>
        <w:rPr>
          <w:rFonts w:ascii="Times New Roman" w:cs="Times New Roman" w:eastAsia="Times New Roman" w:hAnsi="Times New Roman"/>
          <w:sz w:val="18"/>
          <w:szCs w:val="18"/>
          <w:u w:val="single" w:color="auto"/>
          <w:color w:val="auto"/>
        </w:rPr>
        <w:t>Section 6.11(e)</w:t>
      </w:r>
      <w:r>
        <w:rPr>
          <w:rFonts w:ascii="Times New Roman" w:cs="Times New Roman" w:eastAsia="Times New Roman" w:hAnsi="Times New Roman"/>
          <w:sz w:val="18"/>
          <w:szCs w:val="18"/>
          <w:color w:val="auto"/>
        </w:rPr>
        <w:t xml:space="preserve"> shall not be construed to require Buyer to make available its Tax Returns (or any other information relating to its Taxes that it deems confidential) to Seller or any other Person.</w:t>
      </w:r>
    </w:p>
    <w:p>
      <w:pPr>
        <w:spacing w:after="0" w:line="194" w:lineRule="exact"/>
        <w:rPr>
          <w:sz w:val="20"/>
          <w:szCs w:val="20"/>
          <w:color w:val="auto"/>
        </w:rPr>
      </w:pPr>
    </w:p>
    <w:p>
      <w:pPr>
        <w:ind w:left="84" w:hanging="84"/>
        <w:spacing w:after="0"/>
        <w:tabs>
          <w:tab w:leader="none" w:pos="84"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Closing, Seller shall:</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1059"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maintain the Owned Real Property and Leased Real Property and occupancy thereof, in the same condition as exists on the effective date hereof. Seller shall operate the Owned Real Property and the Leased Real Property in the Ordinary Course of Business and continue to perform all customary and ordinary repairs and maintenance;</w:t>
      </w:r>
    </w:p>
    <w:p>
      <w:pPr>
        <w:spacing w:after="0" w:line="175"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391" w:name="page392"/>
    <w:bookmarkEnd w:id="391"/>
    <w:p>
      <w:pPr>
        <w:ind w:right="20" w:firstLine="644"/>
        <w:spacing w:after="0" w:line="282" w:lineRule="auto"/>
        <w:tabs>
          <w:tab w:leader="none" w:pos="1121"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 effect all insurance policies now maintained on the Owned Real Property and the Leased Real Property, up to and including the Closing Date;</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126"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Buyer, in writing, upon obtaining knowledge of any material adverse change with respect to the Owned Real Property and the Leased Real Property;</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1085"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enter into any written or oral service contract or other agreement with regard to the Owned Real Property or the Leased Real Property that will not be fully performed by Seller on or before the Closing Date, or that will not be terminable by Buyer without liability, penalty or premium upon no greater than thirty (30) days’ notice, without the prior written consent of Buyer, which consent shall not be unreasonably withheld, conditioned or delayed;</w:t>
      </w:r>
    </w:p>
    <w:p>
      <w:pPr>
        <w:spacing w:after="0" w:line="179" w:lineRule="exact"/>
        <w:rPr>
          <w:rFonts w:ascii="Times New Roman" w:cs="Times New Roman" w:eastAsia="Times New Roman" w:hAnsi="Times New Roman"/>
          <w:sz w:val="18"/>
          <w:szCs w:val="18"/>
          <w:color w:val="auto"/>
        </w:rPr>
      </w:pPr>
    </w:p>
    <w:p>
      <w:pPr>
        <w:jc w:val="both"/>
        <w:ind w:firstLine="644"/>
        <w:spacing w:after="0" w:line="266" w:lineRule="auto"/>
        <w:tabs>
          <w:tab w:leader="none" w:pos="1039"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advise Buyer, in writing, of any written notices concerning the Owned Real Property and Leased Real Property that Seller receives from any appraisal districts, taxing authorities or any governmental agency having jurisdiction over the Owned Real Property and/or Leased Real Property;</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1108"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Law with respect to the Owned Real Property and/or the Leased Real Property, including, without limitation, any such requirements, rules, regulations, notices, or orders issued or imposed after the effective date hereof, and shall provide Buyer with any notices received by Seller with respect thereto; and</w:t>
      </w:r>
    </w:p>
    <w:p>
      <w:pPr>
        <w:spacing w:after="0" w:line="175" w:lineRule="exact"/>
        <w:rPr>
          <w:rFonts w:ascii="Times New Roman" w:cs="Times New Roman" w:eastAsia="Times New Roman" w:hAnsi="Times New Roman"/>
          <w:sz w:val="18"/>
          <w:szCs w:val="18"/>
          <w:color w:val="auto"/>
        </w:rPr>
      </w:pPr>
    </w:p>
    <w:p>
      <w:pPr>
        <w:jc w:val="both"/>
        <w:ind w:firstLine="644"/>
        <w:spacing w:after="0" w:line="254" w:lineRule="auto"/>
        <w:tabs>
          <w:tab w:leader="none" w:pos="1097"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without first obtaining the prior written consent of Buyer, which consent shall not be unreasonably withheld, conditioned or delayed (i) make any material structural alterations or additions to the Owned Real Property and/or Leased Real Property, except as in the Ordinary Course of Business and/or Leased Real Property, or as required for maintenance and repair, (ii) cancel, amend or modify, in a manner materially adverse to the Owned Real Property and/or Leased Real Property, any license or permit held by Seller with respect to the Owned Real Property and/or Leased Real Property or any part thereof which would be binding upon Buyer after the Closing, or (iii) willfully take any action or permit any action to be taken which would invalidate, impair or limit the scope of any warranty. Seller shall maintain in existence all licenses, permits and approvals that are now in existence with respect to, and are required for, the ownership, operation or improvement of the Owned Real Property and/or the Leased Real Property, and are of a continuing nature.</w:t>
      </w:r>
    </w:p>
    <w:p>
      <w:pPr>
        <w:spacing w:after="0" w:line="188"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6.13</w:t>
      </w:r>
      <w:r>
        <w:rPr>
          <w:sz w:val="20"/>
          <w:szCs w:val="20"/>
          <w:color w:val="auto"/>
        </w:rPr>
        <w:tab/>
      </w:r>
      <w:r>
        <w:rPr>
          <w:rFonts w:ascii="Times New Roman" w:cs="Times New Roman" w:eastAsia="Times New Roman" w:hAnsi="Times New Roman"/>
          <w:sz w:val="17"/>
          <w:szCs w:val="17"/>
          <w:b w:val="1"/>
          <w:bCs w:val="1"/>
          <w:color w:val="auto"/>
        </w:rPr>
        <w:t>Damage or Destruction Prior to Closing; Condemnation.</w:t>
      </w:r>
    </w:p>
    <w:p>
      <w:pPr>
        <w:spacing w:after="0" w:line="229" w:lineRule="exact"/>
        <w:rPr>
          <w:sz w:val="20"/>
          <w:szCs w:val="20"/>
          <w:color w:val="auto"/>
        </w:rPr>
      </w:pPr>
    </w:p>
    <w:p>
      <w:pPr>
        <w:jc w:val="both"/>
        <w:ind w:firstLine="644"/>
        <w:spacing w:after="0" w:line="261" w:lineRule="auto"/>
        <w:tabs>
          <w:tab w:leader="none" w:pos="1123"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risk of loss or damage to the Owned Real Property and/or Leased Real Property by fire, earthquake, hurricane or other casualty shall be borne by Seller. If damage, loss or destruction of the Owned Real Property and/or Leased Real Property or any part thereof, by fire, earthquake, hurricane or other casualty occurs prior to the Closing, Seller shall promptly notify Buyer of such damage, loss or destruction.</w:t>
      </w:r>
    </w:p>
    <w:p>
      <w:pPr>
        <w:spacing w:after="0" w:line="179"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92" w:name="page393"/>
    <w:bookmarkEnd w:id="392"/>
    <w:p>
      <w:pPr>
        <w:ind w:left="-460" w:firstLine="644"/>
        <w:spacing w:after="0" w:line="282" w:lineRule="auto"/>
        <w:tabs>
          <w:tab w:leader="none" w:pos="593"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agrees to maintain in full force and effect, the fire and extended coverage insurance policies now in effect in connection with the Owned Real Property and the Leased Real Property (or substitute policies in equal or greater amounts).</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588"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improvements upon the Owned Real Property and/or Leased Real Property, or any part thereof, or any of the items constituting the Purchased Assets should be damaged by any casualty prior to Closing, and if the cost of repairing such damage, as estimated by Seller’s insurance adjuster is: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216"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less than $2,000,000 and neither of the Acquired Facilities will not be able to operate in the Ordinary Course of Business for 30 days or more, then Seller shall assign to Buyer, at Closing, all insurance proceeds payable for such damage or pay all such proceeds to Buyer when received (which obligation shall survive Closing), and Buyer shall receive a credit against the Purchase Price in the amount of (A) any deductible required by Seller’s insurance policies and the sale shall be closed without Seller repairing such damage, and (B) all business interruption insurance proceeds that are actually available to Seller and are actually paid to or for account of Seller, notwithstanding the prior occurrence of the Closing and the cancellation of Seller’s insurance, and which are attributable to the periods subsequent to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Seller shall be obligated to make such emergency repairs as are necessary to prevent further damage to the Owned Real Property and/or Leased Real Property or injury to any Person; or</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298"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said cost is equal to or greater than $2,000,000 or either of the Acquired Facilities will not be able to operate in the Ordinary Course of Business for 30 days or more, then Buyer and Seller shall use commercially reasonable efforts to negotiate in good faith to determine a mutually agreeable resolution regarding the treatment of such casualty. If, after 30 days of such good faith negotiations, Buyer and Seller are unable to determine a mutually agreeable resolution, then Buyer may elect to terminate this Agreement by giving written notice of termination to Seller within fifteen (15) Business Days after such 30 day negotiation period, and if Buyer does not elect to terminate this Agreement, Seller shall assign to Buyer, all insurance proceeds payable for such damage or pay all such proceeds to Buyer when received (which obligation shall survive Closing), and Buyer shall receive a credit against the Purchase Price in the amount of (A) any deductible required by Seller’s insurance policies, and (B) all business interruption insurance proceeds that are actually available to Seller and are actually paid to or for account of Seller, notwithstanding the prior occurrence of the Closing and the cancellation of Seller’s insurance, and which are attributable to periods subsequent to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Seller shall be obligated to make such emergency repairs as are necessary to prevent further damage to the Owned Real Property and/or Leased Real Property or injury to any Person thereon and Seller may use insurance proceeds for this limited purpose.</w:t>
      </w:r>
    </w:p>
    <w:p>
      <w:pPr>
        <w:spacing w:after="0" w:line="18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393" w:name="page394"/>
    <w:bookmarkEnd w:id="393"/>
    <w:p>
      <w:pPr>
        <w:jc w:val="both"/>
        <w:ind w:left="660" w:firstLine="644"/>
        <w:spacing w:after="0" w:line="254" w:lineRule="auto"/>
        <w:tabs>
          <w:tab w:leader="none" w:pos="1715"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taking or written notice of a threatened taking by condemnation or similar proceedings or actions of all of any one of the parcels of Owned Real Property and/or Leased Real Property, or any material portion of any one of the parcels of Owned Real Property and/or Leased Real Property, Seller shall promptly notify Buyer, in writing, and Buyer shall have the option to terminate this Agreement upon written notice to Seller prior to Closing. If Buyer does not exercise its option under the immediately preceding sentence of this </w:t>
      </w:r>
      <w:r>
        <w:rPr>
          <w:rFonts w:ascii="Times New Roman" w:cs="Times New Roman" w:eastAsia="Times New Roman" w:hAnsi="Times New Roman"/>
          <w:sz w:val="18"/>
          <w:szCs w:val="18"/>
          <w:u w:val="single" w:color="auto"/>
          <w:color w:val="auto"/>
        </w:rPr>
        <w:t>Section 6.13(d)</w:t>
      </w:r>
      <w:r>
        <w:rPr>
          <w:rFonts w:ascii="Times New Roman" w:cs="Times New Roman" w:eastAsia="Times New Roman" w:hAnsi="Times New Roman"/>
          <w:sz w:val="18"/>
          <w:szCs w:val="18"/>
          <w:color w:val="auto"/>
        </w:rPr>
        <w:t xml:space="preserve"> to terminate this Agreement, then the Agreement shall remain in full force and effect and Seller shall assign or pay to Buyer at Closing Seller’s entire interest in and to any and all condemnation awards or proceeds from any such proceedings or actions in lieu thereof and there shall be no abatement of the Purchase Price, and Seller shall be relieved of its obligation to convey title to the portion of the Owned Real Property and/or Leased Real Property so taken. Seller agrees to consult Buyer in the contesting of any condemnation proceeding concerning the Owned Real Property and/or Leased Real Property during the pendency of this Agreement.</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6.14 Further Assurances</w:t>
      </w:r>
      <w:r>
        <w:rPr>
          <w:rFonts w:ascii="Times New Roman" w:cs="Times New Roman" w:eastAsia="Times New Roman" w:hAnsi="Times New Roman"/>
          <w:sz w:val="18"/>
          <w:szCs w:val="18"/>
          <w:color w:val="auto"/>
        </w:rPr>
        <w:t>. Following the Closing, each of the Parties hereto shall, and shall cause their respective Affiliates to, execute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deliver such additional documents, instruments, conveyances and assurances and take such further actions as may be reasonably required to carry out the provisions hereof and give effect to the transactions contemplated by this Agreement and the Ancillary Documents.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6.15 Notification</w:t>
      </w:r>
      <w:r>
        <w:rPr>
          <w:rFonts w:ascii="Times New Roman" w:cs="Times New Roman" w:eastAsia="Times New Roman" w:hAnsi="Times New Roman"/>
          <w:sz w:val="18"/>
          <w:szCs w:val="18"/>
          <w:color w:val="auto"/>
        </w:rPr>
        <w:t>. From the date hereof until the earlier of the termination of this Agreement and the Closing Date, if after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either Seller Party has knowledge of any fact or condition that would be a breach of any representation or warranty in this Agreement or cause or reasonably be expected to cause any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not to be satisfied as of the earlier of the Closing Date or the Outside Date, Seller shall promptly disclose to Buyer such fact or condition. Each Party shall give prompt notice to the others of: (a) any notice or other communication received by such Party from any Governmental Authority in connection with the transactions contemplated by this Agreement, (b) any notice or other communication received by such Party from any Person alleging that the consent of such Person is or may be required in connection with the transactions contemplated by this Agreement, and (c) any Actions or, to such Party’s Knowledge, threatened against, relating to or involving or otherwise affecting, any Party or any of their respective Affiliates which relate to the transactions contemplated by this Agreement or would or would reasonably be expected to impair or materially delay the consummation of the transactions contemplated hereby.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6.16 Exclusivity</w:t>
      </w:r>
      <w:r>
        <w:rPr>
          <w:rFonts w:ascii="Times New Roman" w:cs="Times New Roman" w:eastAsia="Times New Roman" w:hAnsi="Times New Roman"/>
          <w:sz w:val="18"/>
          <w:szCs w:val="18"/>
          <w:color w:val="auto"/>
        </w:rPr>
        <w:t>. Prior to the Closing Date, each of the Seller Parties shall not, nor shall they permit any of their Affiliates,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managers, employees, financial advisors or other agents or Representatives to, take any action to solicit, initiate, encourage, engage in or continue discussion with, provide any information to or enter into any agreement with, any Person (other than Buyer and its Affiliates and agents) concerning any offer, proposal or indication of interest with respect to the acquisition of any Purchased Assets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In the event any Seller Party becomes aware of, or receives any Acquisition Proposal, such Seller Party shall promptly (and in any event within two Business Days) notify Buyer and provide to Buyer a copy of such Acquisition Proposal or a summary of its terms if it has not been reduced to writing. On the date hereof, the Seller Parties shall terminate access for all Persons other than Buyer and its Affiliates, directors, managers, officers, employees, partners, members, shareholders, agents, investment bankers, attorneys, accountants, consultants, and other advisors or representatives to the data room and instruct all such Persons to return or destroy any confidential information provided to them by or on behalf of the Seller Parties in respect of any Acquisition Proposal.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4" w:name="page395"/>
    <w:bookmarkEnd w:id="394"/>
    <w:p>
      <w:pPr>
        <w:ind w:left="4"/>
        <w:spacing w:after="0"/>
        <w:tabs>
          <w:tab w:leader="none" w:pos="1084" w:val="left"/>
        </w:tabs>
        <w:rPr>
          <w:sz w:val="20"/>
          <w:szCs w:val="20"/>
          <w:color w:val="auto"/>
        </w:rPr>
      </w:pPr>
      <w:r>
        <w:rPr>
          <w:rFonts w:ascii="Times New Roman" w:cs="Times New Roman" w:eastAsia="Times New Roman" w:hAnsi="Times New Roman"/>
          <w:sz w:val="18"/>
          <w:szCs w:val="18"/>
          <w:b w:val="1"/>
          <w:bCs w:val="1"/>
          <w:color w:val="auto"/>
        </w:rPr>
        <w:t>Section 6.17</w:t>
      </w:r>
      <w:r>
        <w:rPr>
          <w:sz w:val="20"/>
          <w:szCs w:val="20"/>
          <w:color w:val="auto"/>
        </w:rPr>
        <w:tab/>
      </w:r>
      <w:r>
        <w:rPr>
          <w:rFonts w:ascii="Times New Roman" w:cs="Times New Roman" w:eastAsia="Times New Roman" w:hAnsi="Times New Roman"/>
          <w:sz w:val="17"/>
          <w:szCs w:val="17"/>
          <w:b w:val="1"/>
          <w:bCs w:val="1"/>
          <w:color w:val="auto"/>
        </w:rPr>
        <w:t>Financing Cooperation.</w:t>
      </w:r>
    </w:p>
    <w:p>
      <w:pPr>
        <w:spacing w:after="0" w:line="229" w:lineRule="exact"/>
        <w:rPr>
          <w:sz w:val="20"/>
          <w:szCs w:val="20"/>
          <w:color w:val="auto"/>
        </w:rPr>
      </w:pPr>
    </w:p>
    <w:p>
      <w:pPr>
        <w:jc w:val="both"/>
        <w:ind w:left="4" w:firstLine="644"/>
        <w:spacing w:after="0" w:line="252" w:lineRule="auto"/>
        <w:tabs>
          <w:tab w:leader="none" w:pos="1039"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use commercially reasonable efforts to complete, obtain and consummate an agreement with its lenders whereby certain lender parties will commit to lend an amount to Buyer for the purpose of funding the transactions contemplated by this Agreement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From the date hereof until the earlier of the Closing Date and the termination of this Agreement, the Seller Parties agree to use their commercially reasonable efforts to provide, and cause their respective management, agents and Representatives to use their respective commercially reasonable efforts to promptly provide, such assistance with the Financing as is reasonably requested by Buyer, including: (i) furnishing Buyer with (x) any required financial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Buyer shall be responsible for preparing any pro forma financial information and any projections, risk factors or other forward-looking statements relating to the Financing) and (y) other information regarding the Business conducted at or by the Acquired Facilities or the Purchased Assets or Assumed Liabilities as is reasonably necessary to satisfy a condition to the initial funding of the Financing or such other financial information customarily provided to lenders in connection with similar financings, (ii) upon reasonable notice, procuring the participation by members of management at reasonable times in a reasonable number of meetings, conference calls and presentations with prospective lenders and investors (and in the preparation of materials in connection therewith),</w:t>
      </w:r>
    </w:p>
    <w:p>
      <w:pPr>
        <w:spacing w:after="0" w:line="3" w:lineRule="exact"/>
        <w:rPr>
          <w:rFonts w:ascii="Times New Roman" w:cs="Times New Roman" w:eastAsia="Times New Roman" w:hAnsi="Times New Roman"/>
          <w:sz w:val="18"/>
          <w:szCs w:val="18"/>
          <w:color w:val="auto"/>
        </w:rPr>
      </w:pPr>
    </w:p>
    <w:p>
      <w:pPr>
        <w:jc w:val="both"/>
        <w:ind w:left="4" w:hanging="4"/>
        <w:spacing w:after="0" w:line="250" w:lineRule="auto"/>
        <w:tabs>
          <w:tab w:leader="none" w:pos="35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(x) the granting of Encumbrances (and perfection thereof) in collateral and (y) the preparation of any definitive financing documents and certificates, as may be necessary to satisfy a condition to the initial funding of the Financing, (iv) furnishing no later than four (4) Business Days prior to the Closing Date all documentation and other information required by any Governmental Authority or financing party under applicable “know your customer” and anti-money laundering rules and regulations, including the U.S.A. Patriot Act of 2001 and the requirements of 31 C.F.R. § 1010.230, to the extent reasonably requested by Buyer at least nine (9) Business Days prior to the Closing Date and</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73"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using commercially reasonable efforts to cooperate in satisfying the conditions precedent set forth in the definitive document relating to the Financing to the extent satisfaction of such condition requires the cooperation of the Seller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in clauses (a)(i) through (v), that (A) nothing in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shall require cooperation to the extent that it would conflict with or violate the organizational documents of any Seller Party or applicable Law or any Contract to which any Seller Party is a party as identified to Buyer in writing, (B) in no event shall any Seller Party (or their respective governing bodies) be required to adopt resolutions, consents or other approvals with respect to the agreements, documents and instruments pursuant to which the Financing is obtained, in each case that are effective prior to the consummation of the Financing at the Closing, (C) no Seller Party (or any of their respective directors, officers, employees or Affiliates) shall be required to execute and deliver any financing agreements or other agreements, pledge or security documents, or other certificates, legal opinions or documents in connection with the Financing, (D) nothing in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shall obligate any Seller Party to take any actions that would unreasonably interrupt the normal course of business of any Seller Party, (E) nothing in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shall obligate any Seller Party to take any action that could result in any such Person incurring any liability with respect to the matters relating to the Financing or cause any of their respective directors, officers, employees or Affiliates to incur any personal liability in connection with the Financing.</w:t>
      </w:r>
    </w:p>
    <w:p>
      <w:pPr>
        <w:spacing w:after="0" w:line="192"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2"/>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6" w:right="339" w:bottom="1440" w:gutter="0" w:footer="0" w:header="0"/>
        </w:sectPr>
      </w:pPr>
    </w:p>
    <w:bookmarkStart w:id="395" w:name="page396"/>
    <w:bookmarkEnd w:id="395"/>
    <w:p>
      <w:pPr>
        <w:jc w:val="both"/>
        <w:ind w:firstLine="644"/>
        <w:spacing w:after="0" w:line="256" w:lineRule="auto"/>
        <w:tabs>
          <w:tab w:leader="none" w:pos="113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the Financing becomes unavailable on the terms and conditions reasonably acceptable to Buyer, Buyer shall promptly (and, in any event, within two (2) Business Days of obtaining knowledge thereof) notify Seller and shall use its commercially reasonable efforts to obtain alternative financing (an “</w:t>
      </w:r>
      <w:r>
        <w:rPr>
          <w:rFonts w:ascii="Times New Roman" w:cs="Times New Roman" w:eastAsia="Times New Roman" w:hAnsi="Times New Roman"/>
          <w:sz w:val="18"/>
          <w:szCs w:val="18"/>
          <w:u w:val="single" w:color="auto"/>
          <w:color w:val="auto"/>
        </w:rPr>
        <w:t>Alternative Financing</w:t>
      </w:r>
      <w:r>
        <w:rPr>
          <w:rFonts w:ascii="Times New Roman" w:cs="Times New Roman" w:eastAsia="Times New Roman" w:hAnsi="Times New Roman"/>
          <w:sz w:val="18"/>
          <w:szCs w:val="18"/>
          <w:color w:val="auto"/>
        </w:rPr>
        <w:t>”) that is sufficient to enable Buyer to consummate the transactions contemplated by this Agreement as promptly as practicable following the occurrence of such event. Buyer shall promptly deliver to Seller correct copies of all commitment letters, exhibits, annexes, schedules, term sheets, and other agreements pursuant to which any such Alternative Financing shall have been committed.</w:t>
      </w:r>
    </w:p>
    <w:p>
      <w:pPr>
        <w:spacing w:after="0" w:line="187" w:lineRule="exact"/>
        <w:rPr>
          <w:rFonts w:ascii="Times New Roman" w:cs="Times New Roman" w:eastAsia="Times New Roman" w:hAnsi="Times New Roman"/>
          <w:sz w:val="18"/>
          <w:szCs w:val="18"/>
          <w:color w:val="auto"/>
        </w:rPr>
      </w:pPr>
    </w:p>
    <w:p>
      <w:pPr>
        <w:jc w:val="both"/>
        <w:ind w:firstLine="644"/>
        <w:spacing w:after="0" w:line="266" w:lineRule="auto"/>
        <w:tabs>
          <w:tab w:leader="none" w:pos="1166"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Buyer shall keep Seller reasonably informed with respect to all material developments concerning the Financing, including if for any reason Buyer believes in good faith that it is reasonably likely that it will not be able to obtain all or any portion of the Financing.</w:t>
      </w:r>
    </w:p>
    <w:p>
      <w:pPr>
        <w:spacing w:after="0" w:line="17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6.18</w:t>
      </w:r>
      <w:r>
        <w:rPr>
          <w:sz w:val="20"/>
          <w:szCs w:val="20"/>
          <w:color w:val="auto"/>
        </w:rPr>
        <w:tab/>
      </w:r>
      <w:r>
        <w:rPr>
          <w:rFonts w:ascii="Times New Roman" w:cs="Times New Roman" w:eastAsia="Times New Roman" w:hAnsi="Times New Roman"/>
          <w:sz w:val="17"/>
          <w:szCs w:val="17"/>
          <w:b w:val="1"/>
          <w:bCs w:val="1"/>
          <w:color w:val="auto"/>
        </w:rPr>
        <w:t>Negotiation and Approval of the State of Title to Real Property.</w:t>
      </w:r>
    </w:p>
    <w:p>
      <w:pPr>
        <w:spacing w:after="0" w:line="229" w:lineRule="exact"/>
        <w:rPr>
          <w:sz w:val="20"/>
          <w:szCs w:val="20"/>
          <w:color w:val="auto"/>
        </w:rPr>
      </w:pPr>
    </w:p>
    <w:p>
      <w:pPr>
        <w:ind w:firstLine="644"/>
        <w:spacing w:after="0" w:line="282" w:lineRule="auto"/>
        <w:tabs>
          <w:tab w:leader="none" w:pos="1069"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ten (10) days following the date of this Agreement, Seller shall deliver to Buyer the Title Commitments, at Seller’s sole cost and expense.</w:t>
      </w:r>
    </w:p>
    <w:p>
      <w:pPr>
        <w:spacing w:after="0" w:line="161" w:lineRule="exact"/>
        <w:rPr>
          <w:rFonts w:ascii="Times New Roman" w:cs="Times New Roman" w:eastAsia="Times New Roman" w:hAnsi="Times New Roman"/>
          <w:sz w:val="18"/>
          <w:szCs w:val="18"/>
          <w:color w:val="auto"/>
        </w:rPr>
      </w:pPr>
    </w:p>
    <w:p>
      <w:pPr>
        <w:jc w:val="both"/>
        <w:ind w:firstLine="644"/>
        <w:spacing w:after="0" w:line="256" w:lineRule="auto"/>
        <w:tabs>
          <w:tab w:leader="none" w:pos="1092"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Surveys</w:t>
      </w:r>
      <w:r>
        <w:rPr>
          <w:rFonts w:ascii="Times New Roman" w:cs="Times New Roman" w:eastAsia="Times New Roman" w:hAnsi="Times New Roman"/>
          <w:sz w:val="18"/>
          <w:szCs w:val="18"/>
          <w:color w:val="auto"/>
        </w:rPr>
        <w:t>. Buyer has received the Existing Surveys. Seller shall deliver certificates of no change to the Existing Surveys (“</w:t>
      </w:r>
      <w:r>
        <w:rPr>
          <w:rFonts w:ascii="Times New Roman" w:cs="Times New Roman" w:eastAsia="Times New Roman" w:hAnsi="Times New Roman"/>
          <w:sz w:val="18"/>
          <w:szCs w:val="18"/>
          <w:u w:val="single" w:color="auto"/>
          <w:color w:val="auto"/>
        </w:rPr>
        <w:t>Survey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to the Title Company, and provided that the Title Company shall be prepared to issue the Title Policies, with extended coverage, based on the Existing Surveys plus the Survey Certificates, Seller shall have no further obligation to update the Existing Surveys or obtain new surveys of the Owned Real Property. To the extent the Title Company is unwilling to issue the Title Policies with extended coverage based upon the Existing Surveys plus the Survey Certificates, Seller shall obtain and provide to Buyer, at Seller’s expense new surveys (“</w:t>
      </w:r>
      <w:r>
        <w:rPr>
          <w:rFonts w:ascii="Times New Roman" w:cs="Times New Roman" w:eastAsia="Times New Roman" w:hAnsi="Times New Roman"/>
          <w:sz w:val="18"/>
          <w:szCs w:val="18"/>
          <w:u w:val="single" w:color="auto"/>
          <w:color w:val="auto"/>
        </w:rPr>
        <w:t>New Surveys</w:t>
      </w:r>
      <w:r>
        <w:rPr>
          <w:rFonts w:ascii="Times New Roman" w:cs="Times New Roman" w:eastAsia="Times New Roman" w:hAnsi="Times New Roman"/>
          <w:sz w:val="18"/>
          <w:szCs w:val="18"/>
          <w:color w:val="auto"/>
        </w:rPr>
        <w:t>”) conforming with the following requirements:</w:t>
      </w:r>
    </w:p>
    <w:p>
      <w:pPr>
        <w:spacing w:after="0" w:line="187" w:lineRule="exact"/>
        <w:rPr>
          <w:rFonts w:ascii="Times New Roman" w:cs="Times New Roman" w:eastAsia="Times New Roman" w:hAnsi="Times New Roman"/>
          <w:sz w:val="18"/>
          <w:szCs w:val="18"/>
          <w:color w:val="auto"/>
        </w:rPr>
      </w:pPr>
    </w:p>
    <w:p>
      <w:pPr>
        <w:ind w:left="1560" w:hanging="430"/>
        <w:spacing w:after="0"/>
        <w:tabs>
          <w:tab w:leader="none" w:pos="156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within 30 days of the Closing Date;</w:t>
      </w:r>
    </w:p>
    <w:p>
      <w:pPr>
        <w:spacing w:after="0" w:line="225" w:lineRule="exact"/>
        <w:rPr>
          <w:rFonts w:ascii="Times New Roman" w:cs="Times New Roman" w:eastAsia="Times New Roman" w:hAnsi="Times New Roman"/>
          <w:sz w:val="18"/>
          <w:szCs w:val="18"/>
          <w:color w:val="auto"/>
        </w:rPr>
      </w:pPr>
    </w:p>
    <w:p>
      <w:pPr>
        <w:ind w:left="640" w:firstLine="490"/>
        <w:spacing w:after="0" w:line="282" w:lineRule="auto"/>
        <w:tabs>
          <w:tab w:leader="none" w:pos="1603"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by a certified or registered surveyor reasonably acceptable to Buyer and the Title Company and certified to Buyer (or such Affiliates of Buyer as Buyer may designate), the Title Company and Buyer’s lenders;</w:t>
      </w:r>
    </w:p>
    <w:p>
      <w:pPr>
        <w:spacing w:after="0" w:line="161" w:lineRule="exact"/>
        <w:rPr>
          <w:rFonts w:ascii="Times New Roman" w:cs="Times New Roman" w:eastAsia="Times New Roman" w:hAnsi="Times New Roman"/>
          <w:sz w:val="18"/>
          <w:szCs w:val="18"/>
          <w:color w:val="auto"/>
        </w:rPr>
      </w:pPr>
    </w:p>
    <w:p>
      <w:pPr>
        <w:ind w:left="1580" w:hanging="450"/>
        <w:spacing w:after="0"/>
        <w:tabs>
          <w:tab w:leader="none" w:pos="158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current 2021 Minimum Standard Detail Requirements for ALTA/ACSM Land Title Surveys;</w:t>
      </w:r>
    </w:p>
    <w:p>
      <w:pPr>
        <w:spacing w:after="0" w:line="225" w:lineRule="exact"/>
        <w:rPr>
          <w:rFonts w:ascii="Times New Roman" w:cs="Times New Roman" w:eastAsia="Times New Roman" w:hAnsi="Times New Roman"/>
          <w:sz w:val="18"/>
          <w:szCs w:val="18"/>
          <w:color w:val="auto"/>
        </w:rPr>
      </w:pPr>
    </w:p>
    <w:p>
      <w:pPr>
        <w:ind w:left="640" w:firstLine="490"/>
        <w:spacing w:after="0" w:line="282" w:lineRule="auto"/>
        <w:tabs>
          <w:tab w:leader="none" w:pos="1648"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locating all Improvements, Encumbrances (setting forth the recording information of any recorded instruments), setback lines, alleys, streets and road;</w:t>
      </w:r>
    </w:p>
    <w:p>
      <w:pPr>
        <w:spacing w:after="0" w:line="161"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2"/>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396" w:name="page397"/>
    <w:bookmarkEnd w:id="396"/>
    <w:p>
      <w:pPr>
        <w:ind w:left="1564" w:hanging="430"/>
        <w:spacing w:after="0"/>
        <w:tabs>
          <w:tab w:leader="none" w:pos="1564"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showing any encroachments upon or by any Improvements;</w:t>
      </w:r>
    </w:p>
    <w:p>
      <w:pPr>
        <w:spacing w:after="0" w:line="225" w:lineRule="exact"/>
        <w:rPr>
          <w:rFonts w:ascii="Times New Roman" w:cs="Times New Roman" w:eastAsia="Times New Roman" w:hAnsi="Times New Roman"/>
          <w:sz w:val="18"/>
          <w:szCs w:val="18"/>
          <w:color w:val="auto"/>
        </w:rPr>
      </w:pPr>
    </w:p>
    <w:p>
      <w:pPr>
        <w:ind w:left="1564" w:hanging="430"/>
        <w:spacing w:after="0"/>
        <w:tabs>
          <w:tab w:leader="none" w:pos="1564"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showing all dedicated public street providing access to such Owned Real Property; and</w:t>
      </w:r>
    </w:p>
    <w:p>
      <w:pPr>
        <w:spacing w:after="0" w:line="225" w:lineRule="exact"/>
        <w:rPr>
          <w:rFonts w:ascii="Times New Roman" w:cs="Times New Roman" w:eastAsia="Times New Roman" w:hAnsi="Times New Roman"/>
          <w:sz w:val="18"/>
          <w:szCs w:val="18"/>
          <w:color w:val="auto"/>
        </w:rPr>
      </w:pPr>
    </w:p>
    <w:p>
      <w:pPr>
        <w:ind w:left="1624" w:hanging="490"/>
        <w:spacing w:after="0"/>
        <w:tabs>
          <w:tab w:leader="none" w:pos="1624"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municipal address of any Improvements located on such Owned Real Property.</w:t>
      </w:r>
    </w:p>
    <w:p>
      <w:pPr>
        <w:spacing w:after="0" w:line="225"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Unless Seller is otherwise required to procure New Surveys, Buyer may, at Buyer’s expense, obtain New Surveys. For the avoidance of doubt, if Buyer determines to obtain New Surveys in order to obtain any Title Endorsements Requested by Buyer or because of a requirement of any lender to Buyer, then Buyer shall bear the cost of such New Surveys.</w:t>
      </w:r>
    </w:p>
    <w:p>
      <w:pPr>
        <w:spacing w:after="0" w:line="176" w:lineRule="exact"/>
        <w:rPr>
          <w:sz w:val="20"/>
          <w:szCs w:val="20"/>
          <w:color w:val="auto"/>
        </w:rPr>
      </w:pPr>
    </w:p>
    <w:p>
      <w:pPr>
        <w:jc w:val="both"/>
        <w:ind w:left="4" w:firstLine="644"/>
        <w:spacing w:after="0" w:line="252" w:lineRule="auto"/>
        <w:tabs>
          <w:tab w:leader="none" w:pos="1168"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deliver to Seller, in writing, such objections as Buyer may have to anything contained or set forth in the Title Commitment(s), the Existing Surveys or the New Surveys (if Seller is required to procure such New Surveys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 (the “</w:t>
      </w:r>
      <w:r>
        <w:rPr>
          <w:rFonts w:ascii="Times New Roman" w:cs="Times New Roman" w:eastAsia="Times New Roman" w:hAnsi="Times New Roman"/>
          <w:sz w:val="18"/>
          <w:szCs w:val="18"/>
          <w:u w:val="single" w:color="auto"/>
          <w:color w:val="auto"/>
        </w:rPr>
        <w:t>Title Objection Letter</w:t>
      </w:r>
      <w:r>
        <w:rPr>
          <w:rFonts w:ascii="Times New Roman" w:cs="Times New Roman" w:eastAsia="Times New Roman" w:hAnsi="Times New Roman"/>
          <w:sz w:val="18"/>
          <w:szCs w:val="18"/>
          <w:color w:val="auto"/>
        </w:rPr>
        <w:t xml:space="preserve">”) within fifteen (15) days of receipt of the last of the Title Commitment(s), the Existing Surveys or the New Surveys (if Seller is required to procure such New Surveys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 (the “</w:t>
      </w:r>
      <w:r>
        <w:rPr>
          <w:rFonts w:ascii="Times New Roman" w:cs="Times New Roman" w:eastAsia="Times New Roman" w:hAnsi="Times New Roman"/>
          <w:sz w:val="18"/>
          <w:szCs w:val="18"/>
          <w:u w:val="single" w:color="auto"/>
          <w:color w:val="auto"/>
        </w:rPr>
        <w:t>Title Objection Period</w:t>
      </w:r>
      <w:r>
        <w:rPr>
          <w:rFonts w:ascii="Times New Roman" w:cs="Times New Roman" w:eastAsia="Times New Roman" w:hAnsi="Times New Roman"/>
          <w:sz w:val="18"/>
          <w:szCs w:val="18"/>
          <w:color w:val="auto"/>
        </w:rPr>
        <w:t xml:space="preserve">”). Any items to which Buyer does not object shall be deemed acceptable to Buyer. Seller may, within five (5) days of Seller’s receipt of any Buyer objection, advise Buyer, in writing, which objections (if any) it agrees to cure or cause to be cured prior to Closing, and Seller shall not be obliged to cure or cause to be cured any other objections or exceptions to title except liens of a definite and ascertainable amount arising on account of, or at the sufferance of, Seller’s actions. Notwithstanding the preceding, if at any time after the expiration of the Title Objection Period and before Closing, the Existing Surveys or the New Surveys (if Seller is required to procure such New Surveys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 or an update to the Title Commitment(s) discloses any additional item which was disclosed after the effective date of the initial Title Commitment, or in the case of the Existing Surveys or the New Surveys (if Seller is entitled to procure such New Surveys), coming into existence after the date of the Existing Surveys or the New Surveys (if Seller is required to procure such New Surveys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 (a “</w:t>
      </w:r>
      <w:r>
        <w:rPr>
          <w:rFonts w:ascii="Times New Roman" w:cs="Times New Roman" w:eastAsia="Times New Roman" w:hAnsi="Times New Roman"/>
          <w:sz w:val="18"/>
          <w:szCs w:val="18"/>
          <w:u w:val="single" w:color="auto"/>
          <w:color w:val="auto"/>
        </w:rPr>
        <w:t>New Exception</w:t>
      </w:r>
      <w:r>
        <w:rPr>
          <w:rFonts w:ascii="Times New Roman" w:cs="Times New Roman" w:eastAsia="Times New Roman" w:hAnsi="Times New Roman"/>
          <w:sz w:val="18"/>
          <w:szCs w:val="18"/>
          <w:color w:val="auto"/>
        </w:rPr>
        <w:t>”), and such New Exception was not created by, through, or under Buyer, Buyer shall have a period of five (5) days from the date of Buyer’s receipt of such update to review and notify Seller in writing of Buyer’s objection to the New Exception, and Seller shall respond to such notification of a New Exception in same manner as specified for the initial Title Objection Letter. Seller shall, in all events, be obligated to cure on or before Closing, all items Seller agrees to cure in Seller’s response to Buyer’s objections. If Seller fails or refuses to cure any objection which Seller is obligated to cure hereunder, Buyer shall have the right, in addition to all other rights granted herein, to require that all or a portion of the Purchase Price be applied to discharge any such obligations at Closing.</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cost of Title Commitments, Title Policies and land surveys shall be borne as follows:</w:t>
      </w:r>
    </w:p>
    <w:p>
      <w:pPr>
        <w:spacing w:after="0" w:line="225" w:lineRule="exact"/>
        <w:rPr>
          <w:rFonts w:ascii="Times New Roman" w:cs="Times New Roman" w:eastAsia="Times New Roman" w:hAnsi="Times New Roman"/>
          <w:sz w:val="18"/>
          <w:szCs w:val="18"/>
          <w:color w:val="auto"/>
        </w:rPr>
      </w:pPr>
    </w:p>
    <w:p>
      <w:pPr>
        <w:ind w:left="1644" w:hanging="348"/>
        <w:spacing w:after="0"/>
        <w:tabs>
          <w:tab w:leader="none" w:pos="1644" w:val="left"/>
        </w:tabs>
        <w:numPr>
          <w:ilvl w:val="2"/>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bear the cost of procuring the Title Commitments;</w:t>
      </w:r>
    </w:p>
    <w:p>
      <w:pPr>
        <w:spacing w:after="0" w:line="225"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3"/>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397" w:name="page398"/>
    <w:bookmarkEnd w:id="397"/>
    <w:p>
      <w:pPr>
        <w:ind w:left="2300" w:hanging="348"/>
        <w:spacing w:after="0"/>
        <w:tabs>
          <w:tab w:leader="none" w:pos="230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bear the cost (and pay at Closing) the premium for the Title Policies including so-called “extended coverage”;</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334"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bear the cost of any mortgagee’s title insurance policy and the cost of any endorsements to the Title Policies other than extended coverage; and</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bear the cost of any New Survey, unless Seller is obligated to do so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6.19 Lock-Up Provisions. </w:t>
      </w:r>
      <w:r>
        <w:rPr>
          <w:rFonts w:ascii="Times New Roman" w:cs="Times New Roman" w:eastAsia="Times New Roman" w:hAnsi="Times New Roman"/>
          <w:sz w:val="18"/>
          <w:szCs w:val="18"/>
          <w:color w:val="auto"/>
        </w:rPr>
        <w:t>Seller hereby agrees not to, during the period commencing from the Closing and ending on the six 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anniversary of the Closing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(a) lend, offer, pledge, hypothecate, encumber, assign, sell, contract to sell, sell any option or contract to purchase, purchase any option or contract to sell, grant any option, right or warrant to purchase, or otherwise transfer or dispose of, directly or indirectly, any Buyer Stock, (b) enter into any swap or other arrangement that transfers to another, in whole or in part, any of the economic consequences of ownership of the Buyer Stock, or (c) publicly disclose the intention to do any of the foregoing, whether any such transaction described in clauses (a) or (b) above is to be settled by delivery of Buyer Stock or other securities, in cash or otherwise (any of the foregoing described in clauses (a), (b), or (c), a “</w:t>
      </w:r>
      <w:r>
        <w:rPr>
          <w:rFonts w:ascii="Times New Roman" w:cs="Times New Roman" w:eastAsia="Times New Roman" w:hAnsi="Times New Roman"/>
          <w:sz w:val="18"/>
          <w:szCs w:val="18"/>
          <w:u w:val="single" w:color="auto"/>
          <w:color w:val="auto"/>
        </w:rPr>
        <w:t>Prohibited Transfer</w:t>
      </w:r>
      <w:r>
        <w:rPr>
          <w:rFonts w:ascii="Times New Roman" w:cs="Times New Roman" w:eastAsia="Times New Roman" w:hAnsi="Times New Roman"/>
          <w:sz w:val="18"/>
          <w:szCs w:val="18"/>
          <w:color w:val="auto"/>
        </w:rPr>
        <w:t xml:space="preserve">”). Notwithstanding the foregoing, “Prohibited Transfer” shall not include (i) transfers of Buyer Stock to Seller’s Affiliates, (ii) transfers of Buyer Stock by virtue of the laws of the jurisdiction of Seller’s organization and in accordance with Seller’s organizational documents upon dissolution of Seller, (iii) transfers of Buyer Stock as a gift or gifts, (iv) transfers of Buyer Stock in the event of Buyer’s completion of a liquidation, merger, amalgamation, share exchange, reorganization or other similar transaction which results in the equityholders of Buyer having the right to exchange their equity interests of Buyer for cash, securities or other property or (v) the execution of any trading plan providing for the sale of Buyer Stock after the end of the Lock-Up Period which meets the requirements of Rule 10b5-1(c)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clauses (i), (ii) and (iii), that any transferee thereof agrees in writing to be bound by the terms of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Seller further agrees to execute such agreements as may be reasonably requested by Buyer that are necessary to give effect to the foregoing provisions. If any Prohibited Transfer is made or attempted contrary to the provisions of this Agreement, such purported Prohibited Transfer shall be null and void ab initio, and Buyer shall refuse to recognize any such purported transferee of the Buyer Stock as one of its equity holders for any purpose. In order to enforce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Buyer may impose stop-transfer instructions with respect to the Buyer Stock of Seller until the end of the Lock-Up Period.</w:t>
      </w:r>
    </w:p>
    <w:p>
      <w:pPr>
        <w:spacing w:after="0" w:line="19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6.20 Inventory</w:t>
      </w:r>
      <w:r>
        <w:rPr>
          <w:rFonts w:ascii="Times New Roman" w:cs="Times New Roman" w:eastAsia="Times New Roman" w:hAnsi="Times New Roman"/>
          <w:sz w:val="18"/>
          <w:szCs w:val="18"/>
          <w:color w:val="auto"/>
        </w:rPr>
        <w:t>. Within two (2) Business Days prior to Closing, Seller shall conduct a physical inventory of the inventory included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Purchased Assets in the presence of Representatives of Buyer.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8" w:name="page399"/>
    <w:bookmarkEnd w:id="398"/>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03"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7.01</w:t>
        <w:tab/>
        <w:t>Conditions to Each Party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Obligations</w:t>
      </w:r>
      <w:r>
        <w:rPr>
          <w:rFonts w:ascii="Times New Roman" w:cs="Times New Roman" w:eastAsia="Times New Roman" w:hAnsi="Times New Roman"/>
          <w:sz w:val="18"/>
          <w:szCs w:val="18"/>
          <w:color w:val="auto"/>
        </w:rPr>
        <w:t>. The obligations of each Party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waiver by each of Seller and Buyer) of the following conditions as of the Closing Date:</w:t>
      </w:r>
    </w:p>
    <w:p>
      <w:pPr>
        <w:spacing w:after="0" w:line="207" w:lineRule="exact"/>
        <w:rPr>
          <w:sz w:val="20"/>
          <w:szCs w:val="20"/>
          <w:color w:val="auto"/>
        </w:rPr>
      </w:pPr>
    </w:p>
    <w:p>
      <w:pPr>
        <w:jc w:val="both"/>
        <w:ind w:left="660" w:firstLine="644"/>
        <w:spacing w:after="0" w:line="256" w:lineRule="auto"/>
        <w:tabs>
          <w:tab w:leader="none" w:pos="1904"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jurisdiction shall have entered or issued any Governmental Order preventing consummation of the transactions contemplated by this Agreement, and no Action shall be pending before any Governmental Authority wherein an unfavorable Governmental Order would (i) prevent consummation of the transactions contemplated by this Agreement or that would reasonably be expected to have an adverse effect on Buyer or the Business conducted at the Acquired Facilities, which is material, (ii) cause the transactions contemplated by this Agreement to be rescinded following the Closing, or (iii) would reasonably be expected to have an adverse effect on Buyer or the Business conducted at the Acquired Facilities, which is material.</w:t>
      </w:r>
    </w:p>
    <w:p>
      <w:pPr>
        <w:spacing w:after="0" w:line="183"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Section 7.02</w:t>
        <w:tab/>
        <w:t>Additional Conditions to Obligations of Buyer</w:t>
      </w:r>
      <w:r>
        <w:rPr>
          <w:rFonts w:ascii="Times New Roman" w:cs="Times New Roman" w:eastAsia="Times New Roman" w:hAnsi="Times New Roman"/>
          <w:sz w:val="18"/>
          <w:szCs w:val="18"/>
          <w:color w:val="auto"/>
        </w:rPr>
        <w:t>. The obligations of Buyer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waiver by Buyer) of the following additional conditions as of the Closing Date:</w:t>
      </w:r>
    </w:p>
    <w:p>
      <w:pPr>
        <w:spacing w:after="0" w:line="207" w:lineRule="exact"/>
        <w:rPr>
          <w:sz w:val="20"/>
          <w:szCs w:val="20"/>
          <w:color w:val="auto"/>
        </w:rPr>
      </w:pPr>
    </w:p>
    <w:p>
      <w:pPr>
        <w:jc w:val="both"/>
        <w:ind w:left="660" w:firstLine="644"/>
        <w:spacing w:after="0" w:line="261" w:lineRule="auto"/>
        <w:tabs>
          <w:tab w:leader="none" w:pos="1801"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Seller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(disregarding all qualifications as to material, materiality, Material Adverse Effect or any similar qualifications set forth therein) shall be true and correct in all material respects as of the Closing Date as though made on the Closing Date (except to the extent any such representation or warranty speaks as of the date of this Agreement or any other specific date, in which case such representation or warranty shall be true and correct as of such date).</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771"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have performed or complied with in all material respects all covenants and agreements required to be performed or complied with by Seller under this Agreement on or prior to the Closing Date.</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any Material Adverse Effect that has not been cured.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have received from Seller each delivery required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completed the Financing.</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9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have approved the form of the Title Commitments (as the same may have been amended) as expressed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and the Title Company shall be unconditionally prepared to issue the Title Policies conforming with such approved Title Commitments, subject only to satisfaction of Title Commitment Schedule B-I items that are required of Buyer.</w:t>
      </w:r>
    </w:p>
    <w:p>
      <w:pPr>
        <w:spacing w:after="0" w:line="17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9" w:name="page400"/>
    <w:bookmarkEnd w:id="399"/>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(g)</w:t>
        <w:tab/>
        <w:t xml:space="preserve">Any negotiation or notice periods under </w:t>
      </w:r>
      <w:r>
        <w:rPr>
          <w:rFonts w:ascii="Times New Roman" w:cs="Times New Roman" w:eastAsia="Times New Roman" w:hAnsi="Times New Roman"/>
          <w:sz w:val="18"/>
          <w:szCs w:val="18"/>
          <w:u w:val="single" w:color="auto"/>
          <w:color w:val="auto"/>
        </w:rPr>
        <w:t>Section 6.13(c)(ii)</w:t>
      </w:r>
      <w:r>
        <w:rPr>
          <w:rFonts w:ascii="Times New Roman" w:cs="Times New Roman" w:eastAsia="Times New Roman" w:hAnsi="Times New Roman"/>
          <w:sz w:val="18"/>
          <w:szCs w:val="18"/>
          <w:color w:val="auto"/>
        </w:rPr>
        <w:t xml:space="preserve"> shall have expired.</w:t>
      </w:r>
    </w:p>
    <w:p>
      <w:pPr>
        <w:spacing w:after="0" w:line="221"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Section 7.03</w:t>
        <w:tab/>
        <w:t>Additional Conditions to Obligations of Seller</w:t>
      </w:r>
      <w:r>
        <w:rPr>
          <w:rFonts w:ascii="Times New Roman" w:cs="Times New Roman" w:eastAsia="Times New Roman" w:hAnsi="Times New Roman"/>
          <w:sz w:val="18"/>
          <w:szCs w:val="18"/>
          <w:color w:val="auto"/>
        </w:rPr>
        <w:t>. The obligations of Seller to consummate the transactions contemplated by this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are subject to the satisfaction (or waiver by Seller) of the following additional conditions as of the Closing Date:</w:t>
      </w:r>
    </w:p>
    <w:p>
      <w:pPr>
        <w:spacing w:after="0" w:line="207" w:lineRule="exact"/>
        <w:rPr>
          <w:sz w:val="20"/>
          <w:szCs w:val="20"/>
          <w:color w:val="auto"/>
        </w:rPr>
      </w:pPr>
    </w:p>
    <w:p>
      <w:pPr>
        <w:jc w:val="both"/>
        <w:ind w:left="660" w:firstLine="644"/>
        <w:spacing w:after="0" w:line="261" w:lineRule="auto"/>
        <w:tabs>
          <w:tab w:leader="none" w:pos="1805"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Buyer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(disregarding all qualifications as to material, materiality, Material Adverse Effect or any similar qualifications set forth therein) shall be true and correct in all material respects as of the Closing Date as though made on the Closing Date (except to the extent any such representation or warranty speaks as of the date of this Agreement or any other specific date, in which case such representation or warranty shall be true and correct as of such date).</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1768"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performed or complied with in all material respects all covenants and agreements required to be performed or complied with by Buyer under this Agreement on or prior to the Closing Date.</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have received from Buyer each delivery required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7.04 Frustration of Closing Conditions</w:t>
      </w:r>
      <w:r>
        <w:rPr>
          <w:rFonts w:ascii="Times New Roman" w:cs="Times New Roman" w:eastAsia="Times New Roman" w:hAnsi="Times New Roman"/>
          <w:sz w:val="18"/>
          <w:szCs w:val="18"/>
          <w:color w:val="auto"/>
        </w:rPr>
        <w:t>. Neither Party may rely, whether as a basis for not consummating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by this Agreement or terminating this Agreement or otherwise, on the failure of any condition set forth in this Agreement to be satisfied if such failure was caused by such Party’s breach of this Agreement.</w:t>
      </w:r>
    </w:p>
    <w:p>
      <w:pPr>
        <w:spacing w:after="0" w:line="17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8.01 Termination</w:t>
      </w:r>
      <w:r>
        <w:rPr>
          <w:rFonts w:ascii="Times New Roman" w:cs="Times New Roman" w:eastAsia="Times New Roman" w:hAnsi="Times New Roman"/>
          <w:sz w:val="18"/>
          <w:szCs w:val="18"/>
          <w:color w:val="auto"/>
        </w:rPr>
        <w:t>. This Agreement may be terminated, and the transactions contemplated by this Agreement may be abandoned,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notice delivered by the terminating Party to the other Party (other than in the case of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at any time prior to the Closing:</w:t>
      </w:r>
    </w:p>
    <w:p>
      <w:pPr>
        <w:spacing w:after="0" w:line="159" w:lineRule="exact"/>
        <w:rPr>
          <w:sz w:val="20"/>
          <w:szCs w:val="20"/>
          <w:color w:val="auto"/>
        </w:rPr>
      </w:pPr>
    </w:p>
    <w:p>
      <w:pPr>
        <w:ind w:left="1680" w:hanging="376"/>
        <w:spacing w:after="0"/>
        <w:tabs>
          <w:tab w:leader="none" w:pos="168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mutual written agreement of Seller and Buyer;</w:t>
      </w:r>
    </w:p>
    <w:p>
      <w:pPr>
        <w:spacing w:after="0" w:line="22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712"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Seller or Buyer, if the Closing does not occur on or prior to June 30, 2022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shall not be available to a Party whose breach of or failure to perform any of its representations, warranties, covenants, or agreements contained in this Agreement has been the cause of or has resulted in the failure of the Closing to occur on or prior to the Outside Date;</w:t>
      </w:r>
    </w:p>
    <w:p>
      <w:pPr>
        <w:spacing w:after="0" w:line="18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809"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Seller or Buyer, if any Governmental Authority of competent jurisdiction issues a Governmental Order restraining, enjoining, or otherwise prohibiting the consummation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shall not be available to a Party whose failure to perform its covenants or agreements contained in this Agreement has been the cause of or has resulted in the imposition of such Governmental Order or the failure of such Governmental Order to be resisted, resolved, or lifted;</w:t>
      </w:r>
    </w:p>
    <w:p>
      <w:pPr>
        <w:spacing w:after="0" w:line="18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0" w:name="page401"/>
    <w:bookmarkEnd w:id="400"/>
    <w:p>
      <w:pPr>
        <w:jc w:val="both"/>
        <w:ind w:left="660" w:firstLine="644"/>
        <w:spacing w:after="0" w:line="258" w:lineRule="auto"/>
        <w:tabs>
          <w:tab w:leader="none" w:pos="1832"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if Seller breaches or fails to perform in any material respect any of its representations, warranties, covenants, or agreements contained in this Agreement, which breach or failure to perform (i) would result in a failure of a condition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(ii) (A) if capable of being cured, has not been cured by Seller by the earlier of the Outside Date and the date that is fifteen (15) days after Seller’s receipt of written notice from Buyer stating Buyer’s intention to terminate this Agreement pursuant to this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and the basis for such termination or (B) is incapable of being cured;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824"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 if Buyer breaches or fails to perform in any material respect any of its representations, warranties, covenants, or agreements contained in this Agreement, which breach or failure to perform (i) would result in a failure of a condition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7.02(f)</w:t>
      </w:r>
      <w:r>
        <w:rPr>
          <w:rFonts w:ascii="Times New Roman" w:cs="Times New Roman" w:eastAsia="Times New Roman" w:hAnsi="Times New Roman"/>
          <w:sz w:val="18"/>
          <w:szCs w:val="18"/>
          <w:color w:val="auto"/>
        </w:rPr>
        <w:t xml:space="preserve"> and (ii) (A) if capable of being cured, has not been cured by Buyer by the earlier of the Outside Date and the date that is fifteen</w:t>
      </w:r>
    </w:p>
    <w:p>
      <w:pPr>
        <w:spacing w:after="0" w:line="1" w:lineRule="exact"/>
        <w:rPr>
          <w:rFonts w:ascii="Times New Roman" w:cs="Times New Roman" w:eastAsia="Times New Roman" w:hAnsi="Times New Roman"/>
          <w:sz w:val="18"/>
          <w:szCs w:val="18"/>
          <w:color w:val="auto"/>
        </w:rPr>
      </w:pPr>
    </w:p>
    <w:p>
      <w:pPr>
        <w:ind w:left="660" w:hanging="4"/>
        <w:spacing w:after="0" w:line="260" w:lineRule="auto"/>
        <w:tabs>
          <w:tab w:leader="none" w:pos="1011"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after Buyer’s receipt of written notice from Seller stating Seller’s intention to terminate this Agreement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and the basis for such termination or (B) is incapable of being cured; or</w:t>
      </w:r>
    </w:p>
    <w:p>
      <w:pPr>
        <w:spacing w:after="0" w:line="181" w:lineRule="exact"/>
        <w:rPr>
          <w:rFonts w:ascii="Times New Roman" w:cs="Times New Roman" w:eastAsia="Times New Roman" w:hAnsi="Times New Roman"/>
          <w:sz w:val="18"/>
          <w:szCs w:val="18"/>
          <w:color w:val="auto"/>
        </w:rPr>
      </w:pPr>
    </w:p>
    <w:p>
      <w:pPr>
        <w:ind w:left="660" w:firstLine="644"/>
        <w:spacing w:after="0" w:line="282" w:lineRule="auto"/>
        <w:tabs>
          <w:tab w:leader="none" w:pos="1701"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Buyer, if Seller fails to cure any objections or exceptions to title raised by Buyer that Seller has agreed to cure or is required to cure in accordance with </w:t>
      </w:r>
      <w:r>
        <w:rPr>
          <w:rFonts w:ascii="Times New Roman" w:cs="Times New Roman" w:eastAsia="Times New Roman" w:hAnsi="Times New Roman"/>
          <w:sz w:val="18"/>
          <w:szCs w:val="18"/>
          <w:u w:val="single" w:color="auto"/>
          <w:color w:val="auto"/>
        </w:rPr>
        <w:t>Section 6.18(c)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8.02 Effect of Termination</w:t>
      </w:r>
      <w:r>
        <w:rPr>
          <w:rFonts w:ascii="Times New Roman" w:cs="Times New Roman" w:eastAsia="Times New Roman" w:hAnsi="Times New Roman"/>
          <w:sz w:val="18"/>
          <w:szCs w:val="18"/>
          <w:color w:val="auto"/>
        </w:rPr>
        <w:t>. If this Agreement is terminated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this Agreement will immediately become void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have no further force or effect, and neither Party will have any Liability to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(except for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shall survive termination of this Agreement, and (b) if this Agreement is terminated by a Party because of the breach of this Agreement by another Party or because one or more of the conditions to the terminating Party’s obligations under this Agreement is not satisfied as a result of the other Party’s failure to comply with its obligations under this Agreement, the terminating Party’s right to pursue all legal remedies will survive such termination unimpaired.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9.01 Survival</w:t>
      </w:r>
      <w:r>
        <w:rPr>
          <w:rFonts w:ascii="Times New Roman" w:cs="Times New Roman" w:eastAsia="Times New Roman" w:hAnsi="Times New Roman"/>
          <w:sz w:val="18"/>
          <w:szCs w:val="18"/>
          <w:color w:val="auto"/>
        </w:rPr>
        <w:t>. Subject to the limitations and other provisions of this Agreement, all rights to bring claims for indemnification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any accuracy or breach of the representations and warranties contained herein, or in any certificate, instrument or other document delivered pursuant to this Agreement shall survive the Closing and shall remain in full force and effect until the date that is 18 months from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rights to bring claims for indemnification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any accuracy or breach of Seller Fundamental Representations and Buyer Fundamental Representations shall each survive for the full period of all applicable statutes of limitations (giving effect to any waiver, mitigation or extension thereof) plus 60 days;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all rights to bring claims for indemnification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any inaccuracy or breach of the representations and warranties of the Seller Parties contained in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shall survive the Closing and shall remain in full force and effect until the date that is 54 months from the Closing Date. All rights to bring claims for indemnification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any breach of covenants and agreements of the Parties contained herein that are to be performed on or prior to the Closing shall survive the Closing for a period of 9 months. All rights to bring claims for indemnification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any breach of covenants and agreements of the Parties contained herein which by their terms require performance following the Closing shall survive the Closing for the full period of all applicable statutes of limitations (giving effect to any waiver, mitigation or extension thereof) plus 60 days.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the relevant representation or warranty and such claims shall survive until finally resolved in accordance with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1" w:name="page402"/>
    <w:bookmarkEnd w:id="401"/>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9.02 Indemnification By Seller</w:t>
      </w:r>
      <w:r>
        <w:rPr>
          <w:rFonts w:ascii="Times New Roman" w:cs="Times New Roman" w:eastAsia="Times New Roman" w:hAnsi="Times New Roman"/>
          <w:sz w:val="18"/>
          <w:szCs w:val="18"/>
          <w:color w:val="auto"/>
        </w:rPr>
        <w:t>. Subject to the other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Seller and the Stockholder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Seller Indemnifying Parties</w:t>
      </w:r>
      <w:r>
        <w:rPr>
          <w:rFonts w:ascii="Times New Roman" w:cs="Times New Roman" w:eastAsia="Times New Roman" w:hAnsi="Times New Roman"/>
          <w:sz w:val="18"/>
          <w:szCs w:val="18"/>
          <w:color w:val="auto"/>
        </w:rPr>
        <w:t>”) shall jointly and severally indemnify and defend each of Buyer and its Affiliates and their respective Representatives (collectively, the “</w:t>
      </w:r>
      <w:r>
        <w:rPr>
          <w:rFonts w:ascii="Times New Roman" w:cs="Times New Roman" w:eastAsia="Times New Roman" w:hAnsi="Times New Roman"/>
          <w:sz w:val="18"/>
          <w:szCs w:val="18"/>
          <w:u w:val="single" w:color="auto"/>
          <w:color w:val="auto"/>
        </w:rPr>
        <w:t>Buyer Indemnitees</w:t>
      </w:r>
      <w:r>
        <w:rPr>
          <w:rFonts w:ascii="Times New Roman" w:cs="Times New Roman" w:eastAsia="Times New Roman" w:hAnsi="Times New Roman"/>
          <w:sz w:val="18"/>
          <w:szCs w:val="18"/>
          <w:color w:val="auto"/>
        </w:rPr>
        <w:t>”) against, and shall hold each of them harmless from and against, and shall pay and reimburse each of them for, any and all Losses incurred or sustained by, or imposed upon, the Buyer Indemnitees based upon, arising out of, with respect to or by reason of:</w:t>
      </w:r>
    </w:p>
    <w:p>
      <w:pPr>
        <w:spacing w:after="0" w:line="180" w:lineRule="exact"/>
        <w:rPr>
          <w:sz w:val="20"/>
          <w:szCs w:val="20"/>
          <w:color w:val="auto"/>
        </w:rPr>
      </w:pPr>
    </w:p>
    <w:p>
      <w:pPr>
        <w:jc w:val="both"/>
        <w:ind w:left="660" w:firstLine="644"/>
        <w:spacing w:after="0" w:line="258" w:lineRule="auto"/>
        <w:tabs>
          <w:tab w:leader="none" w:pos="1727"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or breach of any of the representations or warranties of the Seller Parties contained in this Agreement or in any certificate or instrument delivered by or on behalf of Seller Parties pursuant to this Agreement (excluding the Transition Services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w:t>
      </w:r>
    </w:p>
    <w:p>
      <w:pPr>
        <w:spacing w:after="0" w:line="183"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185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non-fulfillment of any covenant, agreement or obligation to be performed by Seller Parties pursuant to this Agreement, the Ancillary Documents (excluding the Transition Services Agreement) or any certificate or instrument delivered by or on behalf of Seller Parties pursuant to this Agreement; or</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Asset or any Excluded Liability.</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9.03 Indemnification By Buyer</w:t>
      </w:r>
      <w:r>
        <w:rPr>
          <w:rFonts w:ascii="Times New Roman" w:cs="Times New Roman" w:eastAsia="Times New Roman" w:hAnsi="Times New Roman"/>
          <w:sz w:val="18"/>
          <w:szCs w:val="18"/>
          <w:color w:val="auto"/>
        </w:rPr>
        <w:t>. Subject to the other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Buyer shall indemnify and defend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and its Affiliates and their respective Representatives (collectively, the “</w:t>
      </w:r>
      <w:r>
        <w:rPr>
          <w:rFonts w:ascii="Times New Roman" w:cs="Times New Roman" w:eastAsia="Times New Roman" w:hAnsi="Times New Roman"/>
          <w:sz w:val="18"/>
          <w:szCs w:val="18"/>
          <w:u w:val="single" w:color="auto"/>
          <w:color w:val="auto"/>
        </w:rPr>
        <w:t>Seller Indemnitees</w:t>
      </w:r>
      <w:r>
        <w:rPr>
          <w:rFonts w:ascii="Times New Roman" w:cs="Times New Roman" w:eastAsia="Times New Roman" w:hAnsi="Times New Roman"/>
          <w:sz w:val="18"/>
          <w:szCs w:val="18"/>
          <w:color w:val="auto"/>
        </w:rPr>
        <w:t>”) against, and shall hold each of them harmless from and against, and shall pay and reimburse each of them for, any and all Losses incurred or sustained by, or imposed upon, Seller Indemnitees based upon, arising out of, with respect to or by reason of:</w:t>
      </w:r>
    </w:p>
    <w:p>
      <w:pPr>
        <w:spacing w:after="0" w:line="180" w:lineRule="exact"/>
        <w:rPr>
          <w:sz w:val="20"/>
          <w:szCs w:val="20"/>
          <w:color w:val="auto"/>
        </w:rPr>
      </w:pPr>
    </w:p>
    <w:p>
      <w:pPr>
        <w:jc w:val="both"/>
        <w:ind w:left="660" w:firstLine="644"/>
        <w:spacing w:after="0" w:line="258" w:lineRule="auto"/>
        <w:tabs>
          <w:tab w:leader="none" w:pos="170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or breach of any of the representations or warranties of Buyer contained in this Agreement or in any certificate or instrument delivered by or on behalf of Buyer pursuant to this Agreement (excluding the Transition Services Agreement), as of the date such representation or warranty was made or as if such representation or warranty was made on and as of the Closing Date (except for representations and warranties that expressly relate to a specified date, the inaccuracy in or breach of which will be determined with reference to such specified date);</w:t>
      </w:r>
    </w:p>
    <w:p>
      <w:pPr>
        <w:spacing w:after="0" w:line="18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2" w:name="page403"/>
    <w:bookmarkEnd w:id="402"/>
    <w:p>
      <w:pPr>
        <w:jc w:val="both"/>
        <w:ind w:left="660" w:firstLine="644"/>
        <w:spacing w:after="0" w:line="266" w:lineRule="auto"/>
        <w:tabs>
          <w:tab w:leader="none" w:pos="1733"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or non-fulfillment of any covenant, agreement or obligation to be performed by Buyer pursuant to this Agreement, the Ancillary Documents (excluding the Transition Services Agreement) or any certificate or instrument delivered by or on behalf of Buyer pursuant to this Agreement;</w:t>
      </w:r>
    </w:p>
    <w:p>
      <w:pPr>
        <w:spacing w:after="0" w:line="175"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Assumed Liability.</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9.04 Certain Limitations</w:t>
      </w:r>
      <w:r>
        <w:rPr>
          <w:rFonts w:ascii="Times New Roman" w:cs="Times New Roman" w:eastAsia="Times New Roman" w:hAnsi="Times New Roman"/>
          <w:sz w:val="18"/>
          <w:szCs w:val="18"/>
          <w:color w:val="auto"/>
        </w:rPr>
        <w:t>. The indemnification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subject to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limitations:</w:t>
      </w:r>
    </w:p>
    <w:p>
      <w:pPr>
        <w:spacing w:after="0" w:line="159" w:lineRule="exact"/>
        <w:rPr>
          <w:sz w:val="20"/>
          <w:szCs w:val="20"/>
          <w:color w:val="auto"/>
        </w:rPr>
      </w:pPr>
    </w:p>
    <w:p>
      <w:pPr>
        <w:jc w:val="both"/>
        <w:ind w:left="660" w:firstLine="644"/>
        <w:spacing w:after="0" w:line="253" w:lineRule="auto"/>
        <w:tabs>
          <w:tab w:leader="none" w:pos="1904"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Buyer Indemnitee seeking indemnification pursuant to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shall make any claim for, or be entitled to, indemnification from any Seller Indemnifying Party with respect to a matter involving less than $10,000 (the “</w:t>
      </w:r>
      <w:r>
        <w:rPr>
          <w:rFonts w:ascii="Times New Roman" w:cs="Times New Roman" w:eastAsia="Times New Roman" w:hAnsi="Times New Roman"/>
          <w:sz w:val="18"/>
          <w:szCs w:val="18"/>
          <w:u w:val="single" w:color="auto"/>
          <w:color w:val="auto"/>
        </w:rPr>
        <w:t>De Minimis Amount</w:t>
      </w:r>
      <w:r>
        <w:rPr>
          <w:rFonts w:ascii="Times New Roman" w:cs="Times New Roman" w:eastAsia="Times New Roman" w:hAnsi="Times New Roman"/>
          <w:sz w:val="18"/>
          <w:szCs w:val="18"/>
          <w:color w:val="auto"/>
        </w:rPr>
        <w:t xml:space="preserve">”) of Losses arising out of a single occurrence. The Seller Indemnifying Parties shall not be liable to the Buyer Indemnitees for indemnification under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until the aggregate amount of all Losses (excluding Losses not exceeding the De Minimis Amount) in respect of indemnification under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exceeds $150,000 (the “</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 xml:space="preserve">”), in which event the Seller Indemnifying Parties shall be required to pay for only such Losses exceeding the Basket;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Basket shall not be applicable in respect of indemnification obligations under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with respect to or by reason of any inaccuracy in or breach of any of the representations or warranties of the Seller Parties contained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xml:space="preserve">, the aggregate amount of all Losses for which the Seller Indemnifying Parties as a group shall be liable pursuant to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shall not exceed $6,958,149.83(the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absent fraud or willful misrepresentation. The Cap shall not apply to any inaccuracy in or breach of any of the representations or warranties of the Seller Parties contained in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xml:space="preserve">, which shall instead be subject to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698"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Seller Indemnitee seeking indemnification pursuant to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xml:space="preserve"> shall make any claim for, or be entitled to indemnification from Buyer with respect to a matter involving less than the De Minimis Amount of Losses arising out of a single occurrence. Buyer shall not be liable to the Seller Indemnitees for indemnification under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xml:space="preserve"> until the aggregate amount of all Losses (excluding Losses not exceeding the De Minimis Amount) in respect of indemnification under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xml:space="preserve"> exceeds the Basket, in which event Buyer shall be required to pay for only such Losses exceeding the Basket. Subject to </w:t>
      </w:r>
      <w:r>
        <w:rPr>
          <w:rFonts w:ascii="Times New Roman" w:cs="Times New Roman" w:eastAsia="Times New Roman" w:hAnsi="Times New Roman"/>
          <w:sz w:val="18"/>
          <w:szCs w:val="18"/>
          <w:u w:val="single" w:color="auto"/>
          <w:color w:val="auto"/>
        </w:rPr>
        <w:t>Section 9.04(c)</w:t>
      </w:r>
      <w:r>
        <w:rPr>
          <w:rFonts w:ascii="Times New Roman" w:cs="Times New Roman" w:eastAsia="Times New Roman" w:hAnsi="Times New Roman"/>
          <w:sz w:val="18"/>
          <w:szCs w:val="18"/>
          <w:color w:val="auto"/>
        </w:rPr>
        <w:t xml:space="preserve">, the aggregate amount of all Losses for which Buyer shall be liable pursuant to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xml:space="preserve"> shall not exceed an amount equal to the Cap, absent fraud or willful misrepresentation.</w:t>
      </w:r>
    </w:p>
    <w:p>
      <w:pPr>
        <w:spacing w:after="0" w:line="18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3" w:name="page404"/>
    <w:bookmarkEnd w:id="403"/>
    <w:p>
      <w:pPr>
        <w:jc w:val="both"/>
        <w:ind w:left="660" w:firstLine="644"/>
        <w:spacing w:after="0" w:line="261" w:lineRule="auto"/>
        <w:tabs>
          <w:tab w:leader="none" w:pos="1715"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limitations set forth in </w:t>
      </w:r>
      <w:r>
        <w:rPr>
          <w:rFonts w:ascii="Times New Roman" w:cs="Times New Roman" w:eastAsia="Times New Roman" w:hAnsi="Times New Roman"/>
          <w:sz w:val="18"/>
          <w:szCs w:val="18"/>
          <w:u w:val="single" w:color="auto"/>
          <w:color w:val="auto"/>
        </w:rPr>
        <w:t>Section 9.04(a)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not apply to Losses based upon, arising out of, with respect to or by reason of any (x) inaccuracy in or breach of any (i) Seller Fundamental Representations, or (ii) Buyer Fundamental Representations, or (y) Excluded Tax Liability. Notwithstanding the foregoing, no Party shall be liable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 excess of the Purchase Price and in no event shall Seller be entitled to receive under this Agreement any amount in excess of the Purchase Price.</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76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will limit the Liability of a Party to another Party for fraud or willful misrepresentation, nor will the survival periods set out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apply to any claims arising therefrom.</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1688"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(i) determining whether or not a representation or warranty made by the Seller Parties or Buyer in this Agreement or in any of the Ancillary Documents (excluding the Transition Services Agreement) has been breached or whether an inaccuracy exists with respect thereto or whether or any nonfulfillment, nonperformance or other breach of any covenant exists, and (ii) calculating the amount of Losses resulting therefrom to which an Indemnified Party is entitled, the terms “Material Adverse Effect,” “material,” “materiality” and similar qualifiers, modifiers or limitations shall be disregarded.</w:t>
      </w:r>
    </w:p>
    <w:p>
      <w:pPr>
        <w:spacing w:after="0" w:line="183" w:lineRule="exact"/>
        <w:rPr>
          <w:rFonts w:ascii="Times New Roman" w:cs="Times New Roman" w:eastAsia="Times New Roman" w:hAnsi="Times New Roman"/>
          <w:sz w:val="18"/>
          <w:szCs w:val="18"/>
          <w:color w:val="auto"/>
        </w:rPr>
      </w:pPr>
    </w:p>
    <w:p>
      <w:pPr>
        <w:ind w:left="660" w:firstLine="644"/>
        <w:spacing w:after="0" w:line="282" w:lineRule="auto"/>
        <w:tabs>
          <w:tab w:leader="none" w:pos="166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Party making a claim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is referred to as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and the Party against whom such claims are asserted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is referred to as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82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Closing, an Indemnified Party obtains Knowledge of any claim as to which indemnification may be sought by such Indemnified Party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such Indemnified Party shall use commercially reasonable efforts to comply with applicable Law with respect to any obligations to mitigate such Losses.</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9.05 Limitations on Environmental Indemnification. </w:t>
      </w:r>
      <w:r>
        <w:rPr>
          <w:rFonts w:ascii="Times New Roman" w:cs="Times New Roman" w:eastAsia="Times New Roman" w:hAnsi="Times New Roman"/>
          <w:sz w:val="18"/>
          <w:szCs w:val="18"/>
          <w:color w:val="auto"/>
        </w:rPr>
        <w:t>The Seller Indemnifying Parties’ indemnification obligations to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Indemnitees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with respect to any Loss arising out of any Environmental Claim, Environmental Law, Environmental Notice, Environmental Permit, Hazardous Material, Excluded Environmental Liability or breach of any representation or warranty in connection with the foregoing (including, for the avoidance of doubt, any breach of the representations and warranties contained in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shall be subject to the following limitations:</w:t>
      </w:r>
    </w:p>
    <w:p>
      <w:pPr>
        <w:spacing w:after="0" w:line="183" w:lineRule="exact"/>
        <w:rPr>
          <w:sz w:val="20"/>
          <w:szCs w:val="20"/>
          <w:color w:val="auto"/>
        </w:rPr>
      </w:pPr>
    </w:p>
    <w:p>
      <w:pPr>
        <w:ind w:left="660" w:right="20" w:firstLine="644"/>
        <w:spacing w:after="0" w:line="282" w:lineRule="auto"/>
        <w:tabs>
          <w:tab w:leader="none" w:pos="1751"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Indemnifying Parties’ obligations shall expire 54 months following the Closing Date except with respect to any claim brought by a Buyer Indemnitee in good faith with reasonable specificity (to the extent known at such time) prior to such date;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734"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Losses for which the Seller Indemnifying Parties as a group shall be liable for Environmental Matters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not exceed $10,000,000; and</w:t>
      </w:r>
    </w:p>
    <w:p>
      <w:pPr>
        <w:spacing w:after="0" w:line="16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4" w:name="page405"/>
    <w:bookmarkEnd w:id="404"/>
    <w:p>
      <w:pPr>
        <w:jc w:val="both"/>
        <w:ind w:firstLine="644"/>
        <w:spacing w:after="0" w:line="261" w:lineRule="auto"/>
        <w:tabs>
          <w:tab w:leader="none" w:pos="1151"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following matters relating to the Acquired Facility in East Chicago, Indiana: polynuclear aromatic hydrocarbons detected in groundwater samples in excess of Indiana Department of Environmental Management (“</w:t>
      </w:r>
      <w:r>
        <w:rPr>
          <w:rFonts w:ascii="Times New Roman" w:cs="Times New Roman" w:eastAsia="Times New Roman" w:hAnsi="Times New Roman"/>
          <w:sz w:val="18"/>
          <w:szCs w:val="18"/>
          <w:u w:val="single" w:color="auto"/>
          <w:color w:val="auto"/>
        </w:rPr>
        <w:t>IDEM</w:t>
      </w:r>
      <w:r>
        <w:rPr>
          <w:rFonts w:ascii="Times New Roman" w:cs="Times New Roman" w:eastAsia="Times New Roman" w:hAnsi="Times New Roman"/>
          <w:sz w:val="18"/>
          <w:szCs w:val="18"/>
          <w:color w:val="auto"/>
        </w:rPr>
        <w:t>”) Remediation Closure Guide (“</w:t>
      </w:r>
      <w:r>
        <w:rPr>
          <w:rFonts w:ascii="Times New Roman" w:cs="Times New Roman" w:eastAsia="Times New Roman" w:hAnsi="Times New Roman"/>
          <w:sz w:val="18"/>
          <w:szCs w:val="18"/>
          <w:u w:val="single" w:color="auto"/>
          <w:color w:val="auto"/>
        </w:rPr>
        <w:t>RCG</w:t>
      </w:r>
      <w:r>
        <w:rPr>
          <w:rFonts w:ascii="Times New Roman" w:cs="Times New Roman" w:eastAsia="Times New Roman" w:hAnsi="Times New Roman"/>
          <w:sz w:val="18"/>
          <w:szCs w:val="18"/>
          <w:color w:val="auto"/>
        </w:rPr>
        <w:t>”) Residential Tap screening levels; arsenic detected in soil samples in excess of IDEM RCG Soil migration to groundwater screening levels; and metals detected in groundwater samples in excess of IDEM RCG Residential Tap screening levels:</w:t>
      </w:r>
    </w:p>
    <w:p>
      <w:pPr>
        <w:spacing w:after="0" w:line="179" w:lineRule="exact"/>
        <w:rPr>
          <w:rFonts w:ascii="Times New Roman" w:cs="Times New Roman" w:eastAsia="Times New Roman" w:hAnsi="Times New Roman"/>
          <w:sz w:val="18"/>
          <w:szCs w:val="18"/>
          <w:color w:val="auto"/>
        </w:rPr>
      </w:pPr>
    </w:p>
    <w:p>
      <w:pPr>
        <w:jc w:val="both"/>
        <w:ind w:left="640" w:firstLine="490"/>
        <w:spacing w:after="0" w:line="254" w:lineRule="auto"/>
        <w:tabs>
          <w:tab w:leader="none" w:pos="1512"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event that directly gave rise to the Loss (1) was not discovered as a result of a Phase II or other intrusive environmental sampling, testing or investigation undertaken on or after the Closing Date by or on behalf of Buyer (but excluding environmental sampling, testing or investigation which (A) was undertaken to address an imminent threat to human health or the environment, (B) was required by applicable Law, which requirement or demand or legal proceeding was not prompted, triggered, or initiated by Buyer or (C) was undertaken in response to a requirement, demand or claim by a Governmental Authority or in response to a legal proceeding initiated by any other Person, which requirement or demand or legal proceeding was not prompted, solicited or deliberately initiated by Buyer), and (2) did not arise and was not exacerbated after the Closing Date in connection with any act or omission by any Buyer (or any successor owner or operator of the Acquired Facility in East Chicago, Indiana); and</w:t>
      </w:r>
    </w:p>
    <w:p>
      <w:pPr>
        <w:spacing w:after="0" w:line="191" w:lineRule="exact"/>
        <w:rPr>
          <w:rFonts w:ascii="Times New Roman" w:cs="Times New Roman" w:eastAsia="Times New Roman" w:hAnsi="Times New Roman"/>
          <w:sz w:val="18"/>
          <w:szCs w:val="18"/>
          <w:color w:val="auto"/>
        </w:rPr>
      </w:pPr>
    </w:p>
    <w:p>
      <w:pPr>
        <w:ind w:left="640" w:firstLine="490"/>
        <w:spacing w:after="0" w:line="282" w:lineRule="auto"/>
        <w:tabs>
          <w:tab w:leader="none" w:pos="1651" w:val="left"/>
        </w:tabs>
        <w:numPr>
          <w:ilvl w:val="1"/>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be responsible for costs and expenses incurred by or on behalf of Buyer only to the extent incurred in a reasonable and commercially prudent manner.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limits the scope of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Section 9.06</w:t>
      </w:r>
      <w:r>
        <w:rPr>
          <w:sz w:val="20"/>
          <w:szCs w:val="20"/>
          <w:color w:val="auto"/>
        </w:rPr>
        <w:tab/>
      </w:r>
      <w:r>
        <w:rPr>
          <w:rFonts w:ascii="Times New Roman" w:cs="Times New Roman" w:eastAsia="Times New Roman" w:hAnsi="Times New Roman"/>
          <w:sz w:val="17"/>
          <w:szCs w:val="17"/>
          <w:b w:val="1"/>
          <w:bCs w:val="1"/>
          <w:color w:val="auto"/>
        </w:rPr>
        <w:t>Indemnification Procedures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4"/>
        <w:spacing w:after="0" w:line="251" w:lineRule="auto"/>
        <w:tabs>
          <w:tab w:leader="none" w:pos="1054"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Claims</w:t>
      </w:r>
      <w:r>
        <w:rPr>
          <w:rFonts w:ascii="Times New Roman" w:cs="Times New Roman" w:eastAsia="Times New Roman" w:hAnsi="Times New Roman"/>
          <w:sz w:val="18"/>
          <w:szCs w:val="18"/>
          <w:color w:val="auto"/>
        </w:rPr>
        <w:t>. If any Indemnified Party receives notice of the assertion or commencement of any Action made or brought by any Person who is not a party to this Agreement or an Affiliate of a party to this Agreement or a Representative of the foregoing (a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30 calendar days after receipt of such notice of such Third Party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Third 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 Party Claim at the Indemnifying Party’s expense and by the Indemnifying Party’s own counsel, and the Indemnified Party shall cooperate in good faith in such defense;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Indemnifying Party is a Seller Indemnifying Party, such Indemnifying Party shall not have the right to defend or direct the defense of any such Third Party Claim that (v) relates to or arises in connection with a criminal proceeding, action, indictment, allegation, or investigation, (w) is asserted directly by or on behalf of a Person that is a then current material supplier or customer of the Business, (x) seeks an injunction or other equitable relief against the Indemnified Party, (y) the Indemnifying Party is failing to prosecute or defend vigorously or (z) the outcome of which could reasonably be expected to materially and adversely affect the Indemnified Party’s Tax Liability. In addition, prior to assuming the defense of any Third Party Claim, the Indemnifying Party must demonstrate the financial wherewithal to vigorously defend the Third Party Claim. In the event that the Indemnifying Party assumes the defense of any Third Party Claim, subject to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 xml:space="preserve">, it shall have the right to take such action as it deems necessary to avoid, dispute, defend, appeal or make counterclaims pertaining to any such Third Party Claim in the name and on behalf of the Indemnified Party. The Indemnified Party shall have the right to participate in the defense of any Third Party Claim with counsel selected by it subject to the Indemnifying Party’s right to control the defense thereof. The fees and disbursements of such counsel shall be at the expense of the Indemnified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If the Indemnifying Party elects not to compromise or defend such Third Party Claim, fails to promptly notify the Indemnified Party in writing of its election to defend as provided in this Agreement, or fails to diligently prosecute the defense of such Third Party Claim, the Indemnified Party may, subject to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 xml:space="preserve">, pay, compromise, defend such Third Party Claim and seek indemnification for any and all Losses based upon, arising from or relating to such Third Party Claim. Seller and Buyer shall cooperate with each other in all reasonable respects in connection with the defense of any Third Party Claim, including making available (subject to the provisions of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records relating to such Third Party Claim and furnishing, without expense (other than reimbursement of actual out-of-pocket expenses) to the defending party, management employees of the non-defending Party as may be reasonably necessary for the preparation of the defense of such Third Party Claim.</w:t>
      </w:r>
    </w:p>
    <w:p>
      <w:pPr>
        <w:spacing w:after="0" w:line="200" w:lineRule="exact"/>
        <w:rPr>
          <w:rFonts w:ascii="Times New Roman" w:cs="Times New Roman" w:eastAsia="Times New Roman" w:hAnsi="Times New Roman"/>
          <w:sz w:val="18"/>
          <w:szCs w:val="18"/>
          <w:color w:val="auto"/>
        </w:rPr>
      </w:pPr>
    </w:p>
    <w:p>
      <w:pPr>
        <w:jc w:val="both"/>
        <w:ind w:firstLine="644"/>
        <w:spacing w:after="0" w:line="253" w:lineRule="auto"/>
        <w:tabs>
          <w:tab w:leader="none" w:pos="1078"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Third Party Claims</w:t>
      </w:r>
      <w:r>
        <w:rPr>
          <w:rFonts w:ascii="Times New Roman" w:cs="Times New Roman" w:eastAsia="Times New Roman" w:hAnsi="Times New Roman"/>
          <w:sz w:val="18"/>
          <w:szCs w:val="18"/>
          <w:color w:val="auto"/>
        </w:rPr>
        <w:t xml:space="preserve">. Notwithstanding any other provision of this Agreement, the Indemnifying Party shall not enter into settlement of any Third Party Claim without the prior written consent of the Indemnified Party, except as provided in this </w:t>
      </w:r>
      <w:r>
        <w:rPr>
          <w:rFonts w:ascii="Times New Roman" w:cs="Times New Roman" w:eastAsia="Times New Roman" w:hAnsi="Times New Roman"/>
          <w:sz w:val="18"/>
          <w:szCs w:val="18"/>
          <w:u w:val="single" w:color="auto"/>
          <w:color w:val="auto"/>
        </w:rPr>
        <w:t>Section 9.06(b)</w:t>
      </w:r>
      <w:r>
        <w:rPr>
          <w:rFonts w:ascii="Times New Roman" w:cs="Times New Roman" w:eastAsia="Times New Roman" w:hAnsi="Times New Roman"/>
          <w:sz w:val="18"/>
          <w:szCs w:val="18"/>
          <w:color w:val="auto"/>
        </w:rPr>
        <w:t xml:space="preserve">. If a firm offer is made to settle a Third 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 Party Claim and the Indemnifying Party desires to accept and agree to such offer, the Indemnifying Party shall give written notice to that effect to the Indemnified Party. If the Indemnified Party fails to consent to such firm offer within ten (10) days after its receipt of such notice, the Indemnified Party may continue to contest or defend such Third Party Claim and in such event, the maximum liability of the Indemnifying Party as to such Third Party Claim shall not exceed the amount of such settlement offer. If the Indemnified Party fails to consent to such firm offer and also fails to assume defense of such Third Party Claim, the Indemnifying Party may settle the Third Party Claim upon the terms set forth in such firm offer to settle such Third Party Claim. If the Indemnified Party has assumed the defense pursuant to </w:t>
      </w:r>
      <w:r>
        <w:rPr>
          <w:rFonts w:ascii="Times New Roman" w:cs="Times New Roman" w:eastAsia="Times New Roman" w:hAnsi="Times New Roman"/>
          <w:sz w:val="18"/>
          <w:szCs w:val="18"/>
          <w:u w:val="single" w:color="auto"/>
          <w:color w:val="auto"/>
        </w:rPr>
        <w:t>Section 9.06(a)</w:t>
      </w:r>
      <w:r>
        <w:rPr>
          <w:rFonts w:ascii="Times New Roman" w:cs="Times New Roman" w:eastAsia="Times New Roman" w:hAnsi="Times New Roman"/>
          <w:sz w:val="18"/>
          <w:szCs w:val="18"/>
          <w:color w:val="auto"/>
        </w:rPr>
        <w:t>, it shall not agree to any settlement without the written consent of the Indemnifying Party (which consent shall not be unreasonably withheld or delayed).</w:t>
      </w:r>
    </w:p>
    <w:p>
      <w:pPr>
        <w:spacing w:after="0" w:line="189"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014" w:gutter="0" w:footer="0" w:header="0"/>
        </w:sectPr>
      </w:pPr>
    </w:p>
    <w:bookmarkStart w:id="405" w:name="page406"/>
    <w:bookmarkEnd w:id="405"/>
    <w:p>
      <w:pPr>
        <w:jc w:val="both"/>
        <w:ind w:left="660" w:firstLine="644"/>
        <w:spacing w:after="0" w:line="252" w:lineRule="auto"/>
        <w:tabs>
          <w:tab w:leader="none" w:pos="1687"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 Claims</w:t>
      </w:r>
      <w:r>
        <w:rPr>
          <w:rFonts w:ascii="Times New Roman" w:cs="Times New Roman" w:eastAsia="Times New Roman" w:hAnsi="Times New Roman"/>
          <w:sz w:val="18"/>
          <w:szCs w:val="18"/>
          <w:color w:val="auto"/>
        </w:rPr>
        <w:t>. Any Action by an Indemnified Party on account of a Loss which does not result from a Third Party Claim (a “</w:t>
      </w:r>
      <w:r>
        <w:rPr>
          <w:rFonts w:ascii="Times New Roman" w:cs="Times New Roman" w:eastAsia="Times New Roman" w:hAnsi="Times New Roman"/>
          <w:sz w:val="18"/>
          <w:szCs w:val="18"/>
          <w:u w:val="single" w:color="auto"/>
          <w:color w:val="auto"/>
        </w:rPr>
        <w:t>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shall be asserted by the Indemnified Party giving the Indemnifying Party reasonably prompt written notice thereof, but in any event not later than thirty (30) days after the Indemnified Party becomes aware of such Direct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Indemnified Party’s premises and personnel and the right to examine and copy any accounts, documents or records) as the Indemnifying Party or any of its professional advisors may reasonably request. If the Indemnifying Party does not so respond within such thirty (30) day period, the Indemnifying Party shall be deemed to have rejected such claim, in which case the Indemnified Party shall be free to pursue such remedies as may be available to the Indemnified Party on the terms and subject to the provisions of this Agreement.</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9.07 Payments</w:t>
      </w:r>
      <w:r>
        <w:rPr>
          <w:rFonts w:ascii="Times New Roman" w:cs="Times New Roman" w:eastAsia="Times New Roman" w:hAnsi="Times New Roman"/>
          <w:sz w:val="18"/>
          <w:szCs w:val="18"/>
          <w:color w:val="auto"/>
        </w:rPr>
        <w:t>. Once a Loss is agreed to by the Indemnifying Party or finally adjudicated to be payable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Indemnifying Party shall satisfy its obligations within five Business Days of such final, non-appealable adjudication by wire transfer of immediately available funds. The Parties hereto agree that should an Indemnifying Party not make full payment of any such obligations within such five Business Day period, any amount payable shall accrue interest from and including the date of agreement of the Indemnifying Party or final, non-appealable adjudication to and including the date such payment has been made at a rate per annum equal to 5%. Such interest shall be calculated daily on the basis of a 365 day year and the actual number of days elapsed.</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9.08 Tax Treatment of Indemnification Payments</w:t>
      </w:r>
      <w:r>
        <w:rPr>
          <w:rFonts w:ascii="Times New Roman" w:cs="Times New Roman" w:eastAsia="Times New Roman" w:hAnsi="Times New Roman"/>
          <w:sz w:val="18"/>
          <w:szCs w:val="18"/>
          <w:color w:val="auto"/>
        </w:rPr>
        <w:t>. All indemnification payments made under this Agreement shall be treated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as an adjustment to the Purchase Price for Tax purposes, unless otherwise required by Law.</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6" w:name="page407"/>
    <w:bookmarkEnd w:id="406"/>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9.09 Effect of Investigation</w:t>
      </w:r>
      <w:r>
        <w:rPr>
          <w:rFonts w:ascii="Times New Roman" w:cs="Times New Roman" w:eastAsia="Times New Roman" w:hAnsi="Times New Roman"/>
          <w:sz w:val="18"/>
          <w:szCs w:val="18"/>
          <w:color w:val="auto"/>
        </w:rPr>
        <w:t>. The representations, warranties and covenants of the Indemnifying Party, and the Indemnified Party’s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indemnification with respect thereto, shall not be affected or deemed waived by reason of any investigation made by or on behalf of the Indemnified Party (including by any of its Representatives) or by reason of the fact that the Indemnified Party or any of its Representatives knew or should have known that any such representation or warranty is, was or might be inaccurate.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9.10 Exclusive Remedies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the Parties acknowledge and agree that their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exclusive remedy with respect to any and all claims (other than claims arising from fraud, criminal activity or willful misconduct on the part of a Party hereto in connection with the transactions contemplated by this Agreement) for any breach of any representation, warranty, covenant, agreement or obligation set forth herein or otherwise relating to the subject matter of this Agreement, shall be pursuant to the indemnification provisions set forth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 furtherance of the foregoing, each Party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Notwithstanding the foregoing, nothing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shall limit</w:t>
      </w:r>
    </w:p>
    <w:p>
      <w:pPr>
        <w:spacing w:after="0" w:line="5" w:lineRule="exact"/>
        <w:rPr>
          <w:sz w:val="20"/>
          <w:szCs w:val="20"/>
          <w:color w:val="auto"/>
        </w:rPr>
      </w:pPr>
    </w:p>
    <w:p>
      <w:pPr>
        <w:jc w:val="both"/>
        <w:ind w:firstLine="8"/>
        <w:spacing w:after="0" w:line="255" w:lineRule="auto"/>
        <w:tabs>
          <w:tab w:leader="none" w:pos="271"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Person’s right to seek and obtain any equitable relief to which any Person shall be entitled or to seek any remedy on account of any Party’s fraudulent, criminal or intentional misconduct, or (b) any rights set forth in this Agreement or the Ancillary Documents, including rights to enforce specific performance.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10.01 Expenses</w:t>
      </w:r>
      <w:r>
        <w:rPr>
          <w:rFonts w:ascii="Times New Roman" w:cs="Times New Roman" w:eastAsia="Times New Roman" w:hAnsi="Times New Roman"/>
          <w:sz w:val="18"/>
          <w:szCs w:val="18"/>
          <w:color w:val="auto"/>
        </w:rPr>
        <w:t>. Except as otherwise expressly provided herein, all costs and expenses, including, without limitation, fees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disbursements of counsel, financial advisors and accountants, incurred in connection with this Agreement and the transactions contemplated hereby shall be paid by the Party incurring such costs and expenses, whether or not the Closing shall have occurred.</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10.02 Notices</w:t>
      </w:r>
      <w:r>
        <w:rPr>
          <w:rFonts w:ascii="Times New Roman" w:cs="Times New Roman" w:eastAsia="Times New Roman" w:hAnsi="Times New Roman"/>
          <w:sz w:val="18"/>
          <w:szCs w:val="18"/>
          <w:color w:val="auto"/>
        </w:rPr>
        <w:t>. All notices, requests, consents, claims, demands, waivers and other communications hereunder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w:t>
      </w:r>
    </w:p>
    <w:p>
      <w:pPr>
        <w:spacing w:after="0" w:line="3" w:lineRule="exact"/>
        <w:rPr>
          <w:sz w:val="20"/>
          <w:szCs w:val="20"/>
          <w:color w:val="auto"/>
        </w:rPr>
      </w:pPr>
    </w:p>
    <w:p>
      <w:pPr>
        <w:jc w:val="both"/>
        <w:ind w:firstLine="8"/>
        <w:spacing w:after="0" w:line="255" w:lineRule="auto"/>
        <w:tabs>
          <w:tab w:leader="none" w:pos="255"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7"/>
          <w:szCs w:val="17"/>
          <w:color w:val="auto"/>
        </w:rPr>
        <w:t>If to Seller or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Plateplus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Waterway Ave Suite 525,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Woodlands, Texas 77380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akito.nakamura@plateplus.com;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chiharu.kato@plateplus.com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Akito Nakamura and Chiharu Kato</w:t>
      </w:r>
    </w:p>
    <w:p>
      <w:pPr>
        <w:spacing w:after="0" w:line="200" w:lineRule="exact"/>
        <w:rPr>
          <w:sz w:val="20"/>
          <w:szCs w:val="20"/>
          <w:color w:val="auto"/>
        </w:rPr>
      </w:pPr>
    </w:p>
    <w:p>
      <w:pPr>
        <w:sectPr>
          <w:pgSz w:w="11900" w:h="16838" w:orient="portrait"/>
          <w:cols w:equalWidth="0" w:num="2">
            <w:col w:w="4900" w:space="720"/>
            <w:col w:w="5620"/>
          </w:cols>
          <w:pgMar w:left="320" w:top="580" w:right="339" w:bottom="1440" w:gutter="0" w:footer="0" w:header="0"/>
        </w:sectPr>
      </w:pP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Mayer Brown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S. Wacker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 60606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pcrimmins@mayerbrown.com;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mserafini@mayerbrown.com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Paul M. Crimmins and Michael A. Serafini</w:t>
      </w:r>
    </w:p>
    <w:p>
      <w:pPr>
        <w:spacing w:after="0" w:line="200" w:lineRule="exact"/>
        <w:rPr>
          <w:sz w:val="20"/>
          <w:szCs w:val="20"/>
          <w:color w:val="auto"/>
        </w:rPr>
      </w:pPr>
    </w:p>
    <w:p>
      <w:pPr>
        <w:sectPr>
          <w:pgSz w:w="11900" w:h="16838" w:orient="portrait"/>
          <w:cols w:equalWidth="0" w:num="2">
            <w:col w:w="4900" w:space="720"/>
            <w:col w:w="5620"/>
          </w:cols>
          <w:pgMar w:left="320" w:top="580"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Buyer: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1121 Judson Road, Suite 124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Longview, TX 75601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Mike Taylor and Alex LaRue</w:t>
      </w:r>
    </w:p>
    <w:p>
      <w:pPr>
        <w:spacing w:after="0" w:line="200" w:lineRule="exact"/>
        <w:rPr>
          <w:sz w:val="20"/>
          <w:szCs w:val="20"/>
          <w:color w:val="auto"/>
        </w:rPr>
      </w:pPr>
    </w:p>
    <w:p>
      <w:pPr>
        <w:sectPr>
          <w:pgSz w:w="11900" w:h="16838" w:orient="portrait"/>
          <w:cols w:equalWidth="0" w:num="2">
            <w:col w:w="4900" w:space="720"/>
            <w:col w:w="5620"/>
          </w:cols>
          <w:pgMar w:left="320" w:top="580" w:right="3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Norton Rose Fulbright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Fulbright Tower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 McKinney, Suite 5100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77010-3095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Brian.Fenske@nortonrosefulbright.com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Brian Fenske</w:t>
      </w:r>
    </w:p>
    <w:p>
      <w:pPr>
        <w:spacing w:after="0" w:line="200" w:lineRule="exact"/>
        <w:rPr>
          <w:sz w:val="20"/>
          <w:szCs w:val="20"/>
          <w:color w:val="auto"/>
        </w:rPr>
      </w:pPr>
    </w:p>
    <w:p>
      <w:pPr>
        <w:sectPr>
          <w:pgSz w:w="11900" w:h="16838" w:orient="portrait"/>
          <w:cols w:equalWidth="0" w:num="2">
            <w:col w:w="4900" w:space="720"/>
            <w:col w:w="5620"/>
          </w:cols>
          <w:pgMar w:left="320" w:top="580" w:right="339" w:bottom="1440" w:gutter="0" w:footer="0" w:header="0"/>
          <w:type w:val="continuous"/>
        </w:sectPr>
      </w:pPr>
    </w:p>
    <w:p>
      <w:pPr>
        <w:spacing w:after="0" w:line="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10.03 Interpretation</w:t>
      </w:r>
      <w:r>
        <w:rPr>
          <w:rFonts w:ascii="Times New Roman" w:cs="Times New Roman" w:eastAsia="Times New Roman" w:hAnsi="Times New Roman"/>
          <w:sz w:val="18"/>
          <w:szCs w:val="18"/>
          <w:color w:val="auto"/>
        </w:rPr>
        <w:t>. For purposes of this Agreement, (a) the words “include,” “includes” and “including” shall be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followed by the words “without limitation”; (b) the word “or” is not exclusive; and (c) the words “herein,” “hereof,” “hereby,” “hereto” and “hereunder” refer to this Agreement as a whole. Unless the context otherwise requires, references herein: (x) to Articles, Sections, Disclosure Schedules and Exhibits mean the Articles and Sections of, and Disclosure Schedules and Exhibits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This Agreement shall be construed without regard to any presumption or rule requiring construction or interpretation against the party drafting an instrument or causing any instrument to be drafted. The Disclosure Schedules and Exhibits referred to herein shall be construed with, and as an integral part of, this Agreement to the same extent as if they were set forth verbatim herein.</w:t>
      </w:r>
    </w:p>
    <w:p>
      <w:pPr>
        <w:spacing w:after="0" w:line="188" w:lineRule="exact"/>
        <w:rPr>
          <w:sz w:val="20"/>
          <w:szCs w:val="20"/>
          <w:color w:val="auto"/>
        </w:rPr>
      </w:pPr>
    </w:p>
    <w:p>
      <w:pPr>
        <w:jc w:val="center"/>
        <w:ind w:right="-5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Section 10.04</w:t>
        <w:tab/>
        <w:t>Headings</w:t>
      </w:r>
      <w:r>
        <w:rPr>
          <w:rFonts w:ascii="Times New Roman" w:cs="Times New Roman" w:eastAsia="Times New Roman" w:hAnsi="Times New Roman"/>
          <w:sz w:val="18"/>
          <w:szCs w:val="18"/>
          <w:color w:val="auto"/>
        </w:rPr>
        <w:t>. The headings in this Agreement are for reference only and shall not affect the interpretation of this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408" w:name="page409"/>
    <w:bookmarkEnd w:id="40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10.05 Severability</w:t>
      </w:r>
      <w:r>
        <w:rPr>
          <w:rFonts w:ascii="Times New Roman" w:cs="Times New Roman" w:eastAsia="Times New Roman" w:hAnsi="Times New Roman"/>
          <w:sz w:val="18"/>
          <w:szCs w:val="18"/>
          <w:color w:val="auto"/>
        </w:rPr>
        <w:t>. If any term or provision of this Agreement is invalid, illegal or unenforceable in any jurisdiction, such invalidity,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illegality or unenforceability shall not affect any other term or provision of this Agreement or invalidate or render unenforceable such term or provision in any other jurisdiction. Except as provided in </w:t>
      </w:r>
      <w:r>
        <w:rPr>
          <w:rFonts w:ascii="Times New Roman" w:cs="Times New Roman" w:eastAsia="Times New Roman" w:hAnsi="Times New Roman"/>
          <w:sz w:val="18"/>
          <w:szCs w:val="18"/>
          <w:u w:val="single" w:color="auto"/>
          <w:color w:val="auto"/>
        </w:rPr>
        <w:t>Section 6.05(g)</w:t>
      </w:r>
      <w:r>
        <w:rPr>
          <w:rFonts w:ascii="Times New Roman" w:cs="Times New Roman" w:eastAsia="Times New Roman" w:hAnsi="Times New Roman"/>
          <w:sz w:val="18"/>
          <w:szCs w:val="18"/>
          <w:color w:val="auto"/>
        </w:rPr>
        <w:t>,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10.06 Entire Agreement</w:t>
      </w:r>
      <w:r>
        <w:rPr>
          <w:rFonts w:ascii="Times New Roman" w:cs="Times New Roman" w:eastAsia="Times New Roman" w:hAnsi="Times New Roman"/>
          <w:sz w:val="18"/>
          <w:szCs w:val="18"/>
          <w:color w:val="auto"/>
        </w:rPr>
        <w:t>. This Agreement and the Ancillary Documents constitute the sole and entire agreement of the Parties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respect to the subject matter contained herein and therein, and supersede all prior and contemporaneous understandings and agreements, both written and oral, with respect to such subject matter. In the event of any inconsistency between the statements in the body of this Agreement and those in the Ancillary Documents, the Exhibits and Disclosure Schedules (other than an exception expressly set forth as such in the Disclosure Schedules), the statements in the body of this Agreement will control.</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10.07 Seller Disclosure Schedules</w:t>
      </w:r>
      <w:r>
        <w:rPr>
          <w:rFonts w:ascii="Times New Roman" w:cs="Times New Roman" w:eastAsia="Times New Roman" w:hAnsi="Times New Roman"/>
          <w:sz w:val="18"/>
          <w:szCs w:val="18"/>
          <w:color w:val="auto"/>
        </w:rPr>
        <w:t>. For the purposes of the Disclosure Schedules, any information, item or other disclosure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part of the Disclosure Schedules shall be deemed to have been set forth in other parts of the Disclosure Schedules where the relevance of such disclosure to such other parts of the Disclosure Schedules is reasonably apparent from the face of the disclosure in the part of the Disclosure Schedules where such disclosure appears. Inclusion of information in any part of the Disclosure Schedules shall not be construed as an admission that such information is material to the business, properties, financial condition or results of operations of Seller. The mere listing of a Contract or agreement in the Disclosure Schedules will not be sufficient to disclose an exception to a representation or warranty unless the representation or warranty only pertains to the existence of such Contract or agreement.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10.08 Successors and Assigns</w:t>
      </w:r>
      <w:r>
        <w:rPr>
          <w:rFonts w:ascii="Times New Roman" w:cs="Times New Roman" w:eastAsia="Times New Roman" w:hAnsi="Times New Roman"/>
          <w:sz w:val="18"/>
          <w:szCs w:val="18"/>
          <w:color w:val="auto"/>
        </w:rPr>
        <w:t>. This Agreement shall be binding upon and shall inure to the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successors and permitted assigns. No Party may assign its rights or obligations hereunder without the prior written consent of Buyer (where a Seller Party seeks to assign its rights or obligations) or Seller Parties (where Buyer seeks to assign its rights and obligations), which consent shall not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Buyer may, without the prior written consent of Seller Parties, assign all or any portion of its rights under this Agreement to one or more of its direct or indirect wholly-owned subsidiaries. No assignment shall relieve the assigning Party of any of its obligations hereunder.</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10.09 No Third-party Beneficiaries</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this Agreement is for the sole benefit of the Parties hereto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10.10 Amendment and Modification; Waiver</w:t>
      </w:r>
      <w:r>
        <w:rPr>
          <w:rFonts w:ascii="Times New Roman" w:cs="Times New Roman" w:eastAsia="Times New Roman" w:hAnsi="Times New Roman"/>
          <w:sz w:val="18"/>
          <w:szCs w:val="18"/>
          <w:color w:val="auto"/>
        </w:rPr>
        <w:t>. This Agreement may only be amended, modified or supplemented by an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signed by each Party hereto. No waiver by any Party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9" w:name="page410"/>
    <w:bookmarkEnd w:id="409"/>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10.11</w:t>
      </w:r>
      <w:r>
        <w:rPr>
          <w:sz w:val="20"/>
          <w:szCs w:val="20"/>
          <w:color w:val="auto"/>
        </w:rPr>
        <w:tab/>
      </w:r>
      <w:r>
        <w:rPr>
          <w:rFonts w:ascii="Times New Roman" w:cs="Times New Roman" w:eastAsia="Times New Roman" w:hAnsi="Times New Roman"/>
          <w:sz w:val="17"/>
          <w:szCs w:val="17"/>
          <w:b w:val="1"/>
          <w:bCs w:val="1"/>
          <w:color w:val="auto"/>
        </w:rPr>
        <w:t>Governing Law; Submission to Jurisdiction; Waiver of Jury Trial</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644"/>
        <w:spacing w:after="0" w:line="282" w:lineRule="auto"/>
        <w:tabs>
          <w:tab w:leader="none" w:pos="1118"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internal laws of the State of Texas without giving effect to any choice or conflict of law provision or rule (whether of the State of Texas or any other jurisdiction).</w:t>
      </w:r>
    </w:p>
    <w:p>
      <w:pPr>
        <w:spacing w:after="0" w:line="161" w:lineRule="exact"/>
        <w:rPr>
          <w:rFonts w:ascii="Times New Roman" w:cs="Times New Roman" w:eastAsia="Times New Roman" w:hAnsi="Times New Roman"/>
          <w:sz w:val="18"/>
          <w:szCs w:val="18"/>
          <w:color w:val="auto"/>
        </w:rPr>
      </w:pPr>
    </w:p>
    <w:p>
      <w:pPr>
        <w:jc w:val="both"/>
        <w:ind w:firstLine="644"/>
        <w:spacing w:after="0" w:line="270" w:lineRule="auto"/>
        <w:tabs>
          <w:tab w:leader="none" w:pos="1297" w:val="left"/>
        </w:tabs>
        <w:numPr>
          <w:ilvl w:val="0"/>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LEGAL SUIT, ACTION OR PROCEEDING ARISING OUT OF OR BASED UPON THIS AGREEMENT, THE ANCILLARY DOCUMENTS OR THE TRANSACTIONS CONTEMPLATED HEREBY OR THEREBY MAY BE INSTITUTED IN THE FEDERAL COURTS OF THE UNITED STATES OF AMERICA OR THE COURTS OF THE STATE OF TEXAS IN EACH CASE LOCATED IN THE CITY OF HOUSTON AND COUNTY OF HARRIS,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spacing w:after="0" w:line="176" w:lineRule="exact"/>
        <w:rPr>
          <w:rFonts w:ascii="Times New Roman" w:cs="Times New Roman" w:eastAsia="Times New Roman" w:hAnsi="Times New Roman"/>
          <w:sz w:val="17"/>
          <w:szCs w:val="17"/>
          <w:color w:val="auto"/>
        </w:rPr>
      </w:pPr>
    </w:p>
    <w:p>
      <w:pPr>
        <w:jc w:val="both"/>
        <w:ind w:firstLine="644"/>
        <w:spacing w:after="0" w:line="253" w:lineRule="auto"/>
        <w:tabs>
          <w:tab w:leader="none" w:pos="1186"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OR THE ANCILLARY DOCUMENTS IS LIKELY TO INVOLVE COMPLICATED AND DIFFICULT ISSUES AND, THEREFORE, EACH SUCH PARTY IRREVOCABLY AND UNCONDITIONALLY WAIVES ANY RIGHT IT MAY HAVE TO A TRIAL BY JURY IN RESPECT OF ANY LEGAL ACTION ARISING OUT OF OR RELATING TO THIS AGREEMENT, THE ANCILLARY DOCUMENTS OR THE TRANSACTIONS 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10.11(C)</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4880" w:hanging="111"/>
        <w:spacing w:after="0"/>
        <w:tabs>
          <w:tab w:leader="none" w:pos="4880" w:val="left"/>
        </w:tabs>
        <w:numPr>
          <w:ilvl w:val="1"/>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76" w:right="339" w:bottom="1440" w:gutter="0" w:footer="0" w:header="0"/>
        </w:sectPr>
      </w:pPr>
    </w:p>
    <w:bookmarkStart w:id="410" w:name="page411"/>
    <w:bookmarkEnd w:id="410"/>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10.12 Specific Performance</w:t>
      </w:r>
      <w:r>
        <w:rPr>
          <w:rFonts w:ascii="Times New Roman" w:cs="Times New Roman" w:eastAsia="Times New Roman" w:hAnsi="Times New Roman"/>
          <w:sz w:val="18"/>
          <w:szCs w:val="18"/>
          <w:color w:val="auto"/>
        </w:rPr>
        <w:t>. The Parties agree that irreparable damage would occur if any provision of this Agreement were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in accordance with the terms hereof and that the Parties shall be entitled to specific performance of the terms hereof, in addition to any other remedy to which they are entitled at law or in equity.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10.13 Counterparts</w:t>
      </w:r>
      <w:r>
        <w:rPr>
          <w:rFonts w:ascii="Times New Roman" w:cs="Times New Roman" w:eastAsia="Times New Roman" w:hAnsi="Times New Roman"/>
          <w:sz w:val="18"/>
          <w:szCs w:val="18"/>
          <w:color w:val="auto"/>
        </w:rPr>
        <w:t>. This Agreement may be executed in counterparts, each of which shall be deemed an original, but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1" w:name="page412"/>
    <w:bookmarkEnd w:id="411"/>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Agreement to be executed as of the date first written above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where applicable.</w:t>
      </w:r>
    </w:p>
    <w:p>
      <w:pPr>
        <w:spacing w:after="0" w:line="3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SELLER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Plateplus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Akito Nakamura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287210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287210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Akito Nakamura, President and CEO</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Metal One Corporation</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Hiroshi Kawaishi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-7620</wp:posOffset>
            </wp:positionV>
            <wp:extent cx="28530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Hiroshi Kawaishi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General Manager, Global Service Center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Management Unit, Global Business Div.</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Asset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12" w:name="page413"/>
    <w:bookmarkEnd w:id="412"/>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BUYER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Mike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-7620</wp:posOffset>
            </wp:positionV>
            <wp:extent cx="287337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287337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Mike Taylor, President and CEO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Asset Purchase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576" w:right="1440" w:bottom="1440" w:gutter="0" w:footer="0" w:header="0"/>
        </w:sectPr>
      </w:pPr>
    </w:p>
    <w:bookmarkStart w:id="413" w:name="page414"/>
    <w:bookmarkEnd w:id="413"/>
    <w:p>
      <w:pPr>
        <w:ind w:left="9200"/>
        <w:spacing w:after="0"/>
        <w:rPr>
          <w:sz w:val="20"/>
          <w:szCs w:val="20"/>
          <w:color w:val="auto"/>
        </w:rPr>
      </w:pPr>
      <w:r>
        <w:rPr>
          <w:rFonts w:ascii="Times New Roman" w:cs="Times New Roman" w:eastAsia="Times New Roman" w:hAnsi="Times New Roman"/>
          <w:sz w:val="17"/>
          <w:szCs w:val="17"/>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473075</wp:posOffset>
            </wp:positionV>
            <wp:extent cx="7132320" cy="95243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7132320" cy="952436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14" w:name="page415"/>
    <w:bookmarkEnd w:id="4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85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7132320" cy="9078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5" w:name="page416"/>
    <w:bookmarkEnd w:id="4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6" w:name="page417"/>
    <w:bookmarkEnd w:id="4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7" w:name="page418"/>
    <w:bookmarkEnd w:id="4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859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7132320" cy="9078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8" w:name="page419"/>
    <w:bookmarkEnd w:id="4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9" w:name="page420"/>
    <w:bookmarkEnd w:id="4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0" w:name="page421"/>
    <w:bookmarkEnd w:id="4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9355455</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1" w:name="page422"/>
    <w:bookmarkEnd w:id="4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2" w:name="page423"/>
    <w:bookmarkEnd w:id="4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3" w:name="page424"/>
    <w:bookmarkEnd w:id="4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4" w:name="page425"/>
    <w:bookmarkEnd w:id="4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5543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7132320" cy="9155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5" w:name="page426"/>
    <w:bookmarkEnd w:id="4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6" w:name="page427"/>
    <w:bookmarkEnd w:id="4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7" w:name="page428"/>
    <w:bookmarkEnd w:id="4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8" w:name="page429"/>
    <w:bookmarkEnd w:id="4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9" w:name="page430"/>
    <w:bookmarkEnd w:id="4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0" w:name="page431"/>
    <w:bookmarkEnd w:id="4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859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7132320" cy="9078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1" w:name="page432"/>
    <w:bookmarkEnd w:id="4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2" w:name="page433"/>
    <w:bookmarkEnd w:id="4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859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extLst>
                        <a:ext uri="{28A0092B-C50C-407E-A947-70E740481C1C}"/>
                      </a:extLst>
                    </a:blip>
                    <a:srcRect/>
                    <a:stretch>
                      <a:fillRect/>
                    </a:stretch>
                  </pic:blipFill>
                  <pic:spPr bwMode="auto">
                    <a:xfrm>
                      <a:off x="0" y="0"/>
                      <a:ext cx="7132320" cy="9078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3" w:name="page434"/>
    <w:bookmarkEnd w:id="4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4" w:name="page435"/>
    <w:bookmarkEnd w:id="4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5" w:name="page436"/>
    <w:bookmarkEnd w:id="4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3003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7132320" cy="9130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6" w:name="page437"/>
    <w:bookmarkEnd w:id="4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7" w:name="page438"/>
    <w:bookmarkEnd w:id="4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8" w:name="page439"/>
    <w:bookmarkEnd w:id="4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9" w:name="page440"/>
    <w:bookmarkEnd w:id="4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0" w:name="page441"/>
    <w:bookmarkEnd w:id="4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859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extLst>
                        <a:ext uri="{28A0092B-C50C-407E-A947-70E740481C1C}"/>
                      </a:extLst>
                    </a:blip>
                    <a:srcRect/>
                    <a:stretch>
                      <a:fillRect/>
                    </a:stretch>
                  </pic:blipFill>
                  <pic:spPr bwMode="auto">
                    <a:xfrm>
                      <a:off x="0" y="0"/>
                      <a:ext cx="7132320" cy="9078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1" w:name="page442"/>
    <w:bookmarkEnd w:id="4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14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2" w:name="page443"/>
    <w:bookmarkEnd w:id="4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3" w:name="page444"/>
    <w:bookmarkEnd w:id="4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4" w:name="page445"/>
    <w:bookmarkEnd w:id="4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5" w:name="page446"/>
    <w:bookmarkEnd w:id="4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6" w:name="page447"/>
    <w:bookmarkEnd w:id="4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7" w:name="page448"/>
    <w:bookmarkEnd w:id="4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8" w:name="page449"/>
    <w:bookmarkEnd w:id="4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9" w:name="page450"/>
    <w:bookmarkEnd w:id="4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0" w:name="page451"/>
    <w:bookmarkEnd w:id="4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1" w:name="page452"/>
    <w:bookmarkEnd w:id="4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2" w:name="page453"/>
    <w:bookmarkEnd w:id="4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3" w:name="page454"/>
    <w:bookmarkEnd w:id="4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4" w:name="page455"/>
    <w:bookmarkEnd w:id="4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0">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5" w:name="page456"/>
    <w:bookmarkEnd w:id="4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1">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6" w:name="page457"/>
    <w:bookmarkEnd w:id="4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85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2">
                      <a:extLst>
                        <a:ext uri="{28A0092B-C50C-407E-A947-70E740481C1C}"/>
                      </a:extLst>
                    </a:blip>
                    <a:srcRect/>
                    <a:stretch>
                      <a:fillRect/>
                    </a:stretch>
                  </pic:blipFill>
                  <pic:spPr bwMode="auto">
                    <a:xfrm>
                      <a:off x="0" y="0"/>
                      <a:ext cx="7132320" cy="9078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7" w:name="page458"/>
    <w:bookmarkEnd w:id="4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382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3">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8" w:name="page459"/>
    <w:bookmarkEnd w:id="4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4">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9" w:name="page460"/>
    <w:bookmarkEnd w:id="4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0" w:name="page461"/>
    <w:bookmarkEnd w:id="4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1" w:name="page462"/>
    <w:bookmarkEnd w:id="4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2" w:name="page463"/>
    <w:bookmarkEnd w:id="4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3" w:name="page464"/>
    <w:bookmarkEnd w:id="4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4" w:name="page465"/>
    <w:bookmarkEnd w:id="4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14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5" w:name="page466"/>
    <w:bookmarkEnd w:id="4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859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7132320" cy="9078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6" w:name="page467"/>
    <w:bookmarkEnd w:id="4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859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7132320" cy="9078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7" w:name="page468"/>
    <w:bookmarkEnd w:id="4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8" w:name="page469"/>
    <w:bookmarkEnd w:id="4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382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9" w:name="page470"/>
    <w:bookmarkEnd w:id="4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5">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0" w:name="page471"/>
    <w:bookmarkEnd w:id="4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14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6">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1" w:name="page472"/>
    <w:bookmarkEnd w:id="4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7">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2" w:name="page473"/>
    <w:bookmarkEnd w:id="4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8">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3" w:name="page474"/>
    <w:bookmarkEnd w:id="4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859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9">
                      <a:extLst>
                        <a:ext uri="{28A0092B-C50C-407E-A947-70E740481C1C}"/>
                      </a:extLst>
                    </a:blip>
                    <a:srcRect/>
                    <a:stretch>
                      <a:fillRect/>
                    </a:stretch>
                  </pic:blipFill>
                  <pic:spPr bwMode="auto">
                    <a:xfrm>
                      <a:off x="0" y="0"/>
                      <a:ext cx="7132320" cy="9078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4" w:name="page475"/>
    <w:bookmarkEnd w:id="4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0">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5" w:name="page476"/>
    <w:bookmarkEnd w:id="4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1">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6" w:name="page477"/>
    <w:bookmarkEnd w:id="4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2">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7" w:name="page478"/>
    <w:bookmarkEnd w:id="4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3">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8" w:name="page479"/>
    <w:bookmarkEnd w:id="4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4">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9" w:name="page480"/>
    <w:bookmarkEnd w:id="4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5">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0" w:name="page481"/>
    <w:bookmarkEnd w:id="4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6">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1" w:name="page482"/>
    <w:bookmarkEnd w:id="4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7">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2" w:name="page483"/>
    <w:bookmarkEnd w:id="4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8">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3" w:name="page484"/>
    <w:bookmarkEnd w:id="4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9">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4" w:name="page485"/>
    <w:bookmarkEnd w:id="4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382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0">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5" w:name="page486"/>
    <w:bookmarkEnd w:id="4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2157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1">
                      <a:extLst>
                        <a:ext uri="{28A0092B-C50C-407E-A947-70E740481C1C}"/>
                      </a:extLst>
                    </a:blip>
                    <a:srcRect/>
                    <a:stretch>
                      <a:fillRect/>
                    </a:stretch>
                  </pic:blipFill>
                  <pic:spPr bwMode="auto">
                    <a:xfrm>
                      <a:off x="0" y="0"/>
                      <a:ext cx="7132320" cy="9215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6" w:name="page487"/>
    <w:bookmarkEnd w:id="4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5543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2">
                      <a:extLst>
                        <a:ext uri="{28A0092B-C50C-407E-A947-70E740481C1C}"/>
                      </a:extLst>
                    </a:blip>
                    <a:srcRect/>
                    <a:stretch>
                      <a:fillRect/>
                    </a:stretch>
                  </pic:blipFill>
                  <pic:spPr bwMode="auto">
                    <a:xfrm>
                      <a:off x="0" y="0"/>
                      <a:ext cx="7132320" cy="9155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7" w:name="page488"/>
    <w:bookmarkEnd w:id="4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4717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3">
                      <a:extLst>
                        <a:ext uri="{28A0092B-C50C-407E-A947-70E740481C1C}"/>
                      </a:extLst>
                    </a:blip>
                    <a:srcRect/>
                    <a:stretch>
                      <a:fillRect/>
                    </a:stretch>
                  </pic:blipFill>
                  <pic:spPr bwMode="auto">
                    <a:xfrm>
                      <a:off x="0" y="0"/>
                      <a:ext cx="7132320" cy="9147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8" w:name="page489"/>
    <w:bookmarkEnd w:id="4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2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4">
                      <a:extLst>
                        <a:ext uri="{28A0092B-C50C-407E-A947-70E740481C1C}"/>
                      </a:extLst>
                    </a:blip>
                    <a:srcRect/>
                    <a:stretch>
                      <a:fillRect/>
                    </a:stretch>
                  </pic:blipFill>
                  <pic:spPr bwMode="auto">
                    <a:xfrm>
                      <a:off x="0" y="0"/>
                      <a:ext cx="7132320" cy="9112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9" w:name="page490"/>
    <w:bookmarkEnd w:id="4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5">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0" w:name="page491"/>
    <w:bookmarkEnd w:id="4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2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6">
                      <a:extLst>
                        <a:ext uri="{28A0092B-C50C-407E-A947-70E740481C1C}"/>
                      </a:extLst>
                    </a:blip>
                    <a:srcRect/>
                    <a:stretch>
                      <a:fillRect/>
                    </a:stretch>
                  </pic:blipFill>
                  <pic:spPr bwMode="auto">
                    <a:xfrm>
                      <a:off x="0" y="0"/>
                      <a:ext cx="7132320" cy="9112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1" w:name="page492"/>
    <w:bookmarkEnd w:id="4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7">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2" w:name="page493"/>
    <w:bookmarkEnd w:id="4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5543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8">
                      <a:extLst>
                        <a:ext uri="{28A0092B-C50C-407E-A947-70E740481C1C}"/>
                      </a:extLst>
                    </a:blip>
                    <a:srcRect/>
                    <a:stretch>
                      <a:fillRect/>
                    </a:stretch>
                  </pic:blipFill>
                  <pic:spPr bwMode="auto">
                    <a:xfrm>
                      <a:off x="0" y="0"/>
                      <a:ext cx="7132320" cy="9155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3" w:name="page494"/>
    <w:bookmarkEnd w:id="4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9">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4" w:name="page495"/>
    <w:bookmarkEnd w:id="4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5503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0">
                      <a:extLst>
                        <a:ext uri="{28A0092B-C50C-407E-A947-70E740481C1C}"/>
                      </a:extLst>
                    </a:blip>
                    <a:srcRect/>
                    <a:stretch>
                      <a:fillRect/>
                    </a:stretch>
                  </pic:blipFill>
                  <pic:spPr bwMode="auto">
                    <a:xfrm>
                      <a:off x="0" y="0"/>
                      <a:ext cx="7132320" cy="5503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5" w:name="page496"/>
    <w:bookmarkEnd w:id="4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1">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6" w:name="page497"/>
    <w:bookmarkEnd w:id="4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55118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2">
                      <a:extLst>
                        <a:ext uri="{28A0092B-C50C-407E-A947-70E740481C1C}"/>
                      </a:extLst>
                    </a:blip>
                    <a:srcRect/>
                    <a:stretch>
                      <a:fillRect/>
                    </a:stretch>
                  </pic:blipFill>
                  <pic:spPr bwMode="auto">
                    <a:xfrm>
                      <a:off x="0" y="0"/>
                      <a:ext cx="7132320"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7" w:name="page498"/>
    <w:bookmarkEnd w:id="4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431165</wp:posOffset>
            </wp:positionH>
            <wp:positionV relativeFrom="page">
              <wp:posOffset>243205</wp:posOffset>
            </wp:positionV>
            <wp:extent cx="6686550" cy="868362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3">
                      <a:clrChange>
                        <a:clrFrom>
                          <a:srgbClr val="FFFFFF"/>
                        </a:clrFrom>
                        <a:clrTo>
                          <a:srgbClr val="FFFFFF">
                            <a:alpha val="0"/>
                          </a:srgbClr>
                        </a:clrTo>
                      </a:clrChange>
                      <a:extLst>
                        <a:ext uri="{28A0092B-C50C-407E-A947-70E740481C1C}"/>
                      </a:extLst>
                    </a:blip>
                    <a:srcRect/>
                    <a:stretch>
                      <a:fillRect/>
                    </a:stretch>
                  </pic:blipFill>
                  <pic:spPr bwMode="auto">
                    <a:xfrm>
                      <a:off x="0" y="0"/>
                      <a:ext cx="6686550" cy="8683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8" w:name="page499"/>
    <w:bookmarkEnd w:id="498"/>
    <w:p>
      <w:pPr>
        <w:ind w:left="9100"/>
        <w:spacing w:after="0"/>
        <w:rPr>
          <w:sz w:val="20"/>
          <w:szCs w:val="20"/>
          <w:color w:val="auto"/>
        </w:rPr>
      </w:pPr>
      <w:r>
        <w:rPr>
          <w:rFonts w:ascii="Times New Roman" w:cs="Times New Roman" w:eastAsia="Times New Roman" w:hAnsi="Times New Roman"/>
          <w:sz w:val="17"/>
          <w:szCs w:val="17"/>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473075</wp:posOffset>
            </wp:positionV>
            <wp:extent cx="7132320" cy="95408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4">
                      <a:extLst>
                        <a:ext uri="{28A0092B-C50C-407E-A947-70E740481C1C}"/>
                      </a:extLst>
                    </a:blip>
                    <a:srcRect/>
                    <a:stretch>
                      <a:fillRect/>
                    </a:stretch>
                  </pic:blipFill>
                  <pic:spPr bwMode="auto">
                    <a:xfrm>
                      <a:off x="0" y="0"/>
                      <a:ext cx="7132320" cy="954087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99" w:name="page500"/>
    <w:bookmarkEnd w:id="4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300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5">
                      <a:extLst>
                        <a:ext uri="{28A0092B-C50C-407E-A947-70E740481C1C}"/>
                      </a:extLst>
                    </a:blip>
                    <a:srcRect/>
                    <a:stretch>
                      <a:fillRect/>
                    </a:stretch>
                  </pic:blipFill>
                  <pic:spPr bwMode="auto">
                    <a:xfrm>
                      <a:off x="0" y="0"/>
                      <a:ext cx="7132320" cy="9130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0" w:name="page501"/>
    <w:bookmarkEnd w:id="5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08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6">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1" w:name="page502"/>
    <w:bookmarkEnd w:id="5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7">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2" w:name="page503"/>
    <w:bookmarkEnd w:id="5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8">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3" w:name="page504"/>
    <w:bookmarkEnd w:id="5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14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9">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4" w:name="page505"/>
    <w:bookmarkEnd w:id="5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0">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5" w:name="page506"/>
    <w:bookmarkEnd w:id="5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7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1">
                      <a:extLst>
                        <a:ext uri="{28A0092B-C50C-407E-A947-70E740481C1C}"/>
                      </a:extLst>
                    </a:blip>
                    <a:srcRect/>
                    <a:stretch>
                      <a:fillRect/>
                    </a:stretch>
                  </pic:blipFill>
                  <pic:spPr bwMode="auto">
                    <a:xfrm>
                      <a:off x="0" y="0"/>
                      <a:ext cx="7132320" cy="9095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6" w:name="page507"/>
    <w:bookmarkEnd w:id="5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2">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7" w:name="page508"/>
    <w:bookmarkEnd w:id="5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3">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8" w:name="page509"/>
    <w:bookmarkEnd w:id="5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796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4">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9" w:name="page510"/>
    <w:bookmarkEnd w:id="5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5">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0" w:name="page511"/>
    <w:bookmarkEnd w:id="5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6">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1" w:name="page512"/>
    <w:bookmarkEnd w:id="5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7">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2" w:name="page513"/>
    <w:bookmarkEnd w:id="5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8">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3" w:name="page514"/>
    <w:bookmarkEnd w:id="5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9">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4" w:name="page515"/>
    <w:bookmarkEnd w:id="5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0">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5" w:name="page516"/>
    <w:bookmarkEnd w:id="5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796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1">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6" w:name="page517"/>
    <w:bookmarkEnd w:id="5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796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2">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7" w:name="page518"/>
    <w:bookmarkEnd w:id="5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3">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8" w:name="page519"/>
    <w:bookmarkEnd w:id="5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796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4">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9" w:name="page520"/>
    <w:bookmarkEnd w:id="5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5">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0" w:name="page521"/>
    <w:bookmarkEnd w:id="5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6">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1" w:name="page522"/>
    <w:bookmarkEnd w:id="5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7">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2" w:name="page523"/>
    <w:bookmarkEnd w:id="5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8">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3" w:name="page524"/>
    <w:bookmarkEnd w:id="5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9">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4" w:name="page525"/>
    <w:bookmarkEnd w:id="5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0">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5" w:name="page526"/>
    <w:bookmarkEnd w:id="5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1">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6" w:name="page527"/>
    <w:bookmarkEnd w:id="5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2">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7" w:name="page528"/>
    <w:bookmarkEnd w:id="5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2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3">
                      <a:extLst>
                        <a:ext uri="{28A0092B-C50C-407E-A947-70E740481C1C}"/>
                      </a:extLst>
                    </a:blip>
                    <a:srcRect/>
                    <a:stretch>
                      <a:fillRect/>
                    </a:stretch>
                  </pic:blipFill>
                  <pic:spPr bwMode="auto">
                    <a:xfrm>
                      <a:off x="0" y="0"/>
                      <a:ext cx="7132320" cy="9112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8" w:name="page529"/>
    <w:bookmarkEnd w:id="5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636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4">
                      <a:extLst>
                        <a:ext uri="{28A0092B-C50C-407E-A947-70E740481C1C}"/>
                      </a:extLst>
                    </a:blip>
                    <a:srcRect/>
                    <a:stretch>
                      <a:fillRect/>
                    </a:stretch>
                  </pic:blipFill>
                  <pic:spPr bwMode="auto">
                    <a:xfrm>
                      <a:off x="0" y="0"/>
                      <a:ext cx="7132320" cy="9163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9" w:name="page530"/>
    <w:bookmarkEnd w:id="5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636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5">
                      <a:extLst>
                        <a:ext uri="{28A0092B-C50C-407E-A947-70E740481C1C}"/>
                      </a:extLst>
                    </a:blip>
                    <a:srcRect/>
                    <a:stretch>
                      <a:fillRect/>
                    </a:stretch>
                  </pic:blipFill>
                  <pic:spPr bwMode="auto">
                    <a:xfrm>
                      <a:off x="0" y="0"/>
                      <a:ext cx="7132320" cy="9163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0" w:name="page531"/>
    <w:bookmarkEnd w:id="5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6">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1" w:name="page532"/>
    <w:bookmarkEnd w:id="5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7">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2" w:name="page533"/>
    <w:bookmarkEnd w:id="5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8">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3" w:name="page534"/>
    <w:bookmarkEnd w:id="5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9">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4" w:name="page535"/>
    <w:bookmarkEnd w:id="5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08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0">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5" w:name="page536"/>
    <w:bookmarkEnd w:id="5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69518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1">
                      <a:extLst>
                        <a:ext uri="{28A0092B-C50C-407E-A947-70E740481C1C}"/>
                      </a:extLst>
                    </a:blip>
                    <a:srcRect/>
                    <a:stretch>
                      <a:fillRect/>
                    </a:stretch>
                  </pic:blipFill>
                  <pic:spPr bwMode="auto">
                    <a:xfrm>
                      <a:off x="0" y="0"/>
                      <a:ext cx="7132320" cy="9695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6" w:name="page537"/>
    <w:bookmarkEnd w:id="5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3541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2">
                      <a:extLst>
                        <a:ext uri="{28A0092B-C50C-407E-A947-70E740481C1C}"/>
                      </a:extLst>
                    </a:blip>
                    <a:srcRect/>
                    <a:stretch>
                      <a:fillRect/>
                    </a:stretch>
                  </pic:blipFill>
                  <pic:spPr bwMode="auto">
                    <a:xfrm>
                      <a:off x="0" y="0"/>
                      <a:ext cx="7132320" cy="9035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7" w:name="page538"/>
    <w:bookmarkEnd w:id="5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3">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8" w:name="page539"/>
    <w:bookmarkEnd w:id="5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4">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9" w:name="page540"/>
    <w:bookmarkEnd w:id="5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79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5">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0" w:name="page541"/>
    <w:bookmarkEnd w:id="5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431165</wp:posOffset>
            </wp:positionH>
            <wp:positionV relativeFrom="page">
              <wp:posOffset>243205</wp:posOffset>
            </wp:positionV>
            <wp:extent cx="6686550" cy="870077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6">
                      <a:clrChange>
                        <a:clrFrom>
                          <a:srgbClr val="FFFFFF"/>
                        </a:clrFrom>
                        <a:clrTo>
                          <a:srgbClr val="FFFFFF">
                            <a:alpha val="0"/>
                          </a:srgbClr>
                        </a:clrTo>
                      </a:clrChange>
                      <a:extLst>
                        <a:ext uri="{28A0092B-C50C-407E-A947-70E740481C1C}"/>
                      </a:extLst>
                    </a:blip>
                    <a:srcRect/>
                    <a:stretch>
                      <a:fillRect/>
                    </a:stretch>
                  </pic:blipFill>
                  <pic:spPr bwMode="auto">
                    <a:xfrm>
                      <a:off x="0" y="0"/>
                      <a:ext cx="6686550" cy="8700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1" w:name="page542"/>
    <w:bookmarkEnd w:id="541"/>
    <w:p>
      <w:pPr>
        <w:ind w:left="9120"/>
        <w:spacing w:after="0"/>
        <w:rPr>
          <w:sz w:val="20"/>
          <w:szCs w:val="20"/>
          <w:color w:val="auto"/>
        </w:rPr>
      </w:pPr>
      <w:r>
        <w:rPr>
          <w:rFonts w:ascii="Times New Roman" w:cs="Times New Roman" w:eastAsia="Times New Roman" w:hAnsi="Times New Roman"/>
          <w:sz w:val="17"/>
          <w:szCs w:val="17"/>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473075</wp:posOffset>
            </wp:positionV>
            <wp:extent cx="7132320" cy="9532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7">
                      <a:extLst>
                        <a:ext uri="{28A0092B-C50C-407E-A947-70E740481C1C}"/>
                      </a:extLst>
                    </a:blip>
                    <a:srcRect/>
                    <a:stretch>
                      <a:fillRect/>
                    </a:stretch>
                  </pic:blipFill>
                  <pic:spPr bwMode="auto">
                    <a:xfrm>
                      <a:off x="0" y="0"/>
                      <a:ext cx="7132320" cy="953262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42" w:name="page543"/>
    <w:bookmarkEnd w:id="5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8">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3" w:name="page544"/>
    <w:bookmarkEnd w:id="5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796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9">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4" w:name="page545"/>
    <w:bookmarkEnd w:id="5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08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0">
                      <a:extLst>
                        <a:ext uri="{28A0092B-C50C-407E-A947-70E740481C1C}"/>
                      </a:extLst>
                    </a:blip>
                    <a:srcRect/>
                    <a:stretch>
                      <a:fillRect/>
                    </a:stretch>
                  </pic:blipFill>
                  <pic:spPr bwMode="auto">
                    <a:xfrm>
                      <a:off x="0" y="0"/>
                      <a:ext cx="7132320" cy="9060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5" w:name="page546"/>
    <w:bookmarkEnd w:id="5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1">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6" w:name="page547"/>
    <w:bookmarkEnd w:id="5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2">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7" w:name="page548"/>
    <w:bookmarkEnd w:id="5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3">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8" w:name="page549"/>
    <w:bookmarkEnd w:id="5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4">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9" w:name="page550"/>
    <w:bookmarkEnd w:id="5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5">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0" w:name="page551"/>
    <w:bookmarkEnd w:id="5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6">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1" w:name="page552"/>
    <w:bookmarkEnd w:id="5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796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7">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2" w:name="page553"/>
    <w:bookmarkEnd w:id="5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8">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3" w:name="page554"/>
    <w:bookmarkEnd w:id="5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9">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4" w:name="page555"/>
    <w:bookmarkEnd w:id="5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0">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5" w:name="page556"/>
    <w:bookmarkEnd w:id="5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1">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6" w:name="page557"/>
    <w:bookmarkEnd w:id="5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2">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7" w:name="page558"/>
    <w:bookmarkEnd w:id="5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3">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8" w:name="page559"/>
    <w:bookmarkEnd w:id="5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796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4">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9" w:name="page560"/>
    <w:bookmarkEnd w:id="5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5">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0" w:name="page561"/>
    <w:bookmarkEnd w:id="5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6">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1" w:name="page562"/>
    <w:bookmarkEnd w:id="5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2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7">
                      <a:extLst>
                        <a:ext uri="{28A0092B-C50C-407E-A947-70E740481C1C}"/>
                      </a:extLst>
                    </a:blip>
                    <a:srcRect/>
                    <a:stretch>
                      <a:fillRect/>
                    </a:stretch>
                  </pic:blipFill>
                  <pic:spPr bwMode="auto">
                    <a:xfrm>
                      <a:off x="0" y="0"/>
                      <a:ext cx="7132320" cy="9112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2" w:name="page563"/>
    <w:bookmarkEnd w:id="5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9329420</wp:posOffset>
            </wp:positionV>
            <wp:extent cx="71323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3" w:name="page564"/>
    <w:bookmarkEnd w:id="5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9">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4" w:name="page565"/>
    <w:bookmarkEnd w:id="5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465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0">
                      <a:extLst>
                        <a:ext uri="{28A0092B-C50C-407E-A947-70E740481C1C}"/>
                      </a:extLst>
                    </a:blip>
                    <a:srcRect/>
                    <a:stretch>
                      <a:fillRect/>
                    </a:stretch>
                  </pic:blipFill>
                  <pic:spPr bwMode="auto">
                    <a:xfrm>
                      <a:off x="0" y="0"/>
                      <a:ext cx="7132320" cy="9146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5" w:name="page566"/>
    <w:bookmarkEnd w:id="5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1">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6" w:name="page567"/>
    <w:bookmarkEnd w:id="5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2">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7" w:name="page568"/>
    <w:bookmarkEnd w:id="5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3">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8" w:name="page569"/>
    <w:bookmarkEnd w:id="5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4">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9" w:name="page570"/>
    <w:bookmarkEnd w:id="5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5">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0" w:name="page571"/>
    <w:bookmarkEnd w:id="5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796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6">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1" w:name="page572"/>
    <w:bookmarkEnd w:id="5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7">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2" w:name="page573"/>
    <w:bookmarkEnd w:id="5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8">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3" w:name="page574"/>
    <w:bookmarkEnd w:id="5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9">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4" w:name="page575"/>
    <w:bookmarkEnd w:id="5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0">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5" w:name="page576"/>
    <w:bookmarkEnd w:id="5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1">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6" w:name="page577"/>
    <w:bookmarkEnd w:id="5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2">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7" w:name="page578"/>
    <w:bookmarkEnd w:id="5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3">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8" w:name="page579"/>
    <w:bookmarkEnd w:id="5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9346565</wp:posOffset>
            </wp:positionV>
            <wp:extent cx="71323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9" w:name="page580"/>
    <w:bookmarkEnd w:id="5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2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5">
                      <a:extLst>
                        <a:ext uri="{28A0092B-C50C-407E-A947-70E740481C1C}"/>
                      </a:extLst>
                    </a:blip>
                    <a:srcRect/>
                    <a:stretch>
                      <a:fillRect/>
                    </a:stretch>
                  </pic:blipFill>
                  <pic:spPr bwMode="auto">
                    <a:xfrm>
                      <a:off x="0" y="0"/>
                      <a:ext cx="7132320" cy="9112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0" w:name="page581"/>
    <w:bookmarkEnd w:id="5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2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6">
                      <a:extLst>
                        <a:ext uri="{28A0092B-C50C-407E-A947-70E740481C1C}"/>
                      </a:extLst>
                    </a:blip>
                    <a:srcRect/>
                    <a:stretch>
                      <a:fillRect/>
                    </a:stretch>
                  </pic:blipFill>
                  <pic:spPr bwMode="auto">
                    <a:xfrm>
                      <a:off x="0" y="0"/>
                      <a:ext cx="7132320" cy="9112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1" w:name="page582"/>
    <w:bookmarkEnd w:id="5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9312910</wp:posOffset>
            </wp:positionV>
            <wp:extent cx="71323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2" w:name="page583"/>
    <w:bookmarkEnd w:id="5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8">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3" w:name="page584"/>
    <w:bookmarkEnd w:id="5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9">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4" w:name="page585"/>
    <w:bookmarkEnd w:id="5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0">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5" w:name="page586"/>
    <w:bookmarkEnd w:id="5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1">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6" w:name="page587"/>
    <w:bookmarkEnd w:id="5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2">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7" w:name="page588"/>
    <w:bookmarkEnd w:id="5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3">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8" w:name="page589"/>
    <w:bookmarkEnd w:id="5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796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4">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9" w:name="page590"/>
    <w:bookmarkEnd w:id="5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7796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5">
                      <a:extLst>
                        <a:ext uri="{28A0092B-C50C-407E-A947-70E740481C1C}"/>
                      </a:extLst>
                    </a:blip>
                    <a:srcRect/>
                    <a:stretch>
                      <a:fillRect/>
                    </a:stretch>
                  </pic:blipFill>
                  <pic:spPr bwMode="auto">
                    <a:xfrm>
                      <a:off x="0" y="0"/>
                      <a:ext cx="7132320" cy="9077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0" w:name="page591"/>
    <w:bookmarkEnd w:id="5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6">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1" w:name="page592"/>
    <w:bookmarkEnd w:id="5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9304020</wp:posOffset>
            </wp:positionV>
            <wp:extent cx="7132320"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2" w:name="page593"/>
    <w:bookmarkEnd w:id="5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8">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3" w:name="page594"/>
    <w:bookmarkEnd w:id="5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0399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9">
                      <a:extLst>
                        <a:ext uri="{28A0092B-C50C-407E-A947-70E740481C1C}"/>
                      </a:extLst>
                    </a:blip>
                    <a:srcRect/>
                    <a:stretch>
                      <a:fillRect/>
                    </a:stretch>
                  </pic:blipFill>
                  <pic:spPr bwMode="auto">
                    <a:xfrm>
                      <a:off x="0" y="0"/>
                      <a:ext cx="7132320" cy="9103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4" w:name="page595"/>
    <w:bookmarkEnd w:id="5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0">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5" w:name="page596"/>
    <w:bookmarkEnd w:id="5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11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1">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6" w:name="page597"/>
    <w:bookmarkEnd w:id="5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2939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2">
                      <a:extLst>
                        <a:ext uri="{28A0092B-C50C-407E-A947-70E740481C1C}"/>
                      </a:extLst>
                    </a:blip>
                    <a:srcRect/>
                    <a:stretch>
                      <a:fillRect/>
                    </a:stretch>
                  </pic:blipFill>
                  <pic:spPr bwMode="auto">
                    <a:xfrm>
                      <a:off x="0" y="0"/>
                      <a:ext cx="7132320" cy="9129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7" w:name="page598"/>
    <w:bookmarkEnd w:id="5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2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3">
                      <a:extLst>
                        <a:ext uri="{28A0092B-C50C-407E-A947-70E740481C1C}"/>
                      </a:extLst>
                    </a:blip>
                    <a:srcRect/>
                    <a:stretch>
                      <a:fillRect/>
                    </a:stretch>
                  </pic:blipFill>
                  <pic:spPr bwMode="auto">
                    <a:xfrm>
                      <a:off x="0" y="0"/>
                      <a:ext cx="7132320" cy="9112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8" w:name="page599"/>
    <w:bookmarkEnd w:id="5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4">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9" w:name="page600"/>
    <w:bookmarkEnd w:id="5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868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5">
                      <a:extLst>
                        <a:ext uri="{28A0092B-C50C-407E-A947-70E740481C1C}"/>
                      </a:extLst>
                    </a:blip>
                    <a:srcRect/>
                    <a:stretch>
                      <a:fillRect/>
                    </a:stretch>
                  </pic:blipFill>
                  <pic:spPr bwMode="auto">
                    <a:xfrm>
                      <a:off x="0" y="0"/>
                      <a:ext cx="7132320" cy="9086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0" w:name="page601"/>
    <w:bookmarkEnd w:id="6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6970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6">
                      <a:extLst>
                        <a:ext uri="{28A0092B-C50C-407E-A947-70E740481C1C}"/>
                      </a:extLst>
                    </a:blip>
                    <a:srcRect/>
                    <a:stretch>
                      <a:fillRect/>
                    </a:stretch>
                  </pic:blipFill>
                  <pic:spPr bwMode="auto">
                    <a:xfrm>
                      <a:off x="0" y="0"/>
                      <a:ext cx="7132320" cy="9069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1" w:name="page602"/>
    <w:bookmarkEnd w:id="6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09510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7">
                      <a:extLst>
                        <a:ext uri="{28A0092B-C50C-407E-A947-70E740481C1C}"/>
                      </a:extLst>
                    </a:blip>
                    <a:srcRect/>
                    <a:stretch>
                      <a:fillRect/>
                    </a:stretch>
                  </pic:blipFill>
                  <pic:spPr bwMode="auto">
                    <a:xfrm>
                      <a:off x="0" y="0"/>
                      <a:ext cx="7132320" cy="9095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2" w:name="page603"/>
    <w:bookmarkEnd w:id="6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431165</wp:posOffset>
            </wp:positionH>
            <wp:positionV relativeFrom="page">
              <wp:posOffset>243205</wp:posOffset>
            </wp:positionV>
            <wp:extent cx="6686550" cy="871791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8">
                      <a:clrChange>
                        <a:clrFrom>
                          <a:srgbClr val="FFFFFF"/>
                        </a:clrFrom>
                        <a:clrTo>
                          <a:srgbClr val="FFFFFF">
                            <a:alpha val="0"/>
                          </a:srgbClr>
                        </a:clrTo>
                      </a:clrChange>
                      <a:extLst>
                        <a:ext uri="{28A0092B-C50C-407E-A947-70E740481C1C}"/>
                      </a:extLst>
                    </a:blip>
                    <a:srcRect/>
                    <a:stretch>
                      <a:fillRect/>
                    </a:stretch>
                  </pic:blipFill>
                  <pic:spPr bwMode="auto">
                    <a:xfrm>
                      <a:off x="0" y="0"/>
                      <a:ext cx="6686550" cy="8717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3" w:name="page604"/>
    <w:bookmarkEnd w:id="603"/>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AMENDED AND RESTATED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THIRD AMENDMENT TO AMENDED AND RESTATED CREDIT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dated as of July 6, 2022, is by and among </w:t>
      </w:r>
      <w:r>
        <w:rPr>
          <w:rFonts w:ascii="Times New Roman" w:cs="Times New Roman" w:eastAsia="Times New Roman" w:hAnsi="Times New Roman"/>
          <w:sz w:val="18"/>
          <w:szCs w:val="18"/>
          <w:b w:val="1"/>
          <w:bCs w:val="1"/>
          <w:color w:val="auto"/>
        </w:rPr>
        <w:t>FRIEDMAN INDUSTRIES, INCORPORATED</w:t>
      </w:r>
      <w:r>
        <w:rPr>
          <w:rFonts w:ascii="Times New Roman" w:cs="Times New Roman" w:eastAsia="Times New Roman" w:hAnsi="Times New Roman"/>
          <w:sz w:val="18"/>
          <w:szCs w:val="18"/>
          <w:color w:val="auto"/>
        </w:rPr>
        <w:t>, a Texas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 national banking association, as a Lender, Issuing Bank and Swingline Lender (as each is defined in the below-referenced Credit Agreement) and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the other lenders party to the Credit Agreement (defined below)(the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Capitalized terms used in this Amendment, to the extent not otherwise defined herein, shall have the same meaning as in the Credit Agreement, as amended hereby.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 the other Loan Parties, the Lenders and the Administrative Agent are parties to that certain Amended and Restated Credit Agreement, dated as of May 19, 2021 (as the same has been amended as of the date hereof and as may be further amended or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Borrower and the other Loan Parties have requested that the Lenders and Administrative Agent amend certain provisions of the Credit Agreement in the manner and on the terms and conditions provided for 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agreements, promises and covenants set forth below, and for other good and valuable consideration, the receipt and sufficiency of which are hereby acknowledged, the parties hereto agree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Amendments to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as of the Effective Date, the Credit Agreement is hereby amended as follows:</w:t>
      </w:r>
    </w:p>
    <w:p>
      <w:pPr>
        <w:spacing w:after="0" w:line="229" w:lineRule="exact"/>
        <w:rPr>
          <w:sz w:val="20"/>
          <w:szCs w:val="20"/>
          <w:color w:val="auto"/>
        </w:rPr>
      </w:pPr>
    </w:p>
    <w:p>
      <w:pPr>
        <w:ind w:firstLine="1304"/>
        <w:spacing w:after="0" w:line="282" w:lineRule="auto"/>
        <w:tabs>
          <w:tab w:leader="none" w:pos="1675"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2.04(a) of the Credit Agreement</w:t>
      </w:r>
      <w:r>
        <w:rPr>
          <w:rFonts w:ascii="Times New Roman" w:cs="Times New Roman" w:eastAsia="Times New Roman" w:hAnsi="Times New Roman"/>
          <w:sz w:val="18"/>
          <w:szCs w:val="18"/>
          <w:color w:val="auto"/>
        </w:rPr>
        <w:t>. Section 2.04(a) of the Credit Agreement is hereby amended and restated in its entirety to read as follows:</w:t>
      </w:r>
    </w:p>
    <w:p>
      <w:pPr>
        <w:spacing w:after="0" w:line="162"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Protective Advances</w:t>
      </w:r>
      <w:r>
        <w:rPr>
          <w:rFonts w:ascii="Times New Roman" w:cs="Times New Roman" w:eastAsia="Times New Roman" w:hAnsi="Times New Roman"/>
          <w:sz w:val="18"/>
          <w:szCs w:val="18"/>
          <w:color w:val="auto"/>
        </w:rPr>
        <w:t>. (a) Subject to the limitations set forth below, the Administrative Agent is authorized by the Borrowers and the Lenders, from time to time in the Administrative Agent’s sole discretion (but shall have absolutely no obligation to), to make Loans to the Borrowers, on behalf of all Lenders, which the Administrative Agent, in its Permitted Discretion, deems necessary or desirable (i) to preserve or protect the Collateral, or any portion thereof, (ii) if an Event of Default under clauses (a), (b), (h) or (i) of the definition thereof or resulting from a breach of Section 6.12 has occurred and is continuing, to enhance the likelihood of, or maximize the amount of, repayment of the Loans and other Obligations, or (iii) to pay any other amount chargeable to or required to be paid by the Borrowers pursuant to the terms of this Agreement that have not been paid by Borrowers on or before the date required, including payments of reimbursable expenses (including costs, fees, and expenses as described in Section 9.03) and other sums payable under the Loan Documents (any of such Loans are herein referred to as “</w:t>
      </w:r>
      <w:r>
        <w:rPr>
          <w:rFonts w:ascii="Times New Roman" w:cs="Times New Roman" w:eastAsia="Times New Roman" w:hAnsi="Times New Roman"/>
          <w:sz w:val="18"/>
          <w:szCs w:val="18"/>
          <w:u w:val="single" w:color="auto"/>
          <w:color w:val="auto"/>
        </w:rPr>
        <w:t>Protective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Revolving Exposure after giving effect to the Protective Advances being made shall not exceed the Aggregate Revolving Commitment and no Protective Advance shall cause an Overadvance in excess of the amount permitted under Section 2.05(b). Protective Advances may be made even if the conditions precedent set forth in Section 4.02 have not been satisfied. The Protective Advances shall be secured by the Liens in favor of the Administrative Agent in and to the Collateral and shall constitute Obligations hereunder. All Protective Advances shall be CBFR Borrowings. The making of a Protective Advance on any one occasion shall not obligate the Administrative Agent to make any Protective Advance on any other occasion. The Administrative Agent’s authorization to make Protective Advances may be revoked at any time by 100% of the Lenders (other than any Defaulting Lender). Any such revocation must be in writing and shall become effective prospectively upon the Administrative Agent’s receipt thereof. At any time that there is sufficient Availability and the conditions precedent set forth in Section 4.02 have been satisfied, the Administrative Agent may request the Revolving Lenders to make a Revolving Loan to repay a Protective Advance. At any other time the Administrative Agent may require the Lenders to fund their risk participations described in Section 2.04(b).</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4" w:name="page605"/>
    <w:bookmarkEnd w:id="604"/>
    <w:p>
      <w:pPr>
        <w:ind w:firstLine="1304"/>
        <w:spacing w:after="0" w:line="282" w:lineRule="auto"/>
        <w:tabs>
          <w:tab w:leader="none" w:pos="168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2.05(b) of the Credit Agreement</w:t>
      </w:r>
      <w:r>
        <w:rPr>
          <w:rFonts w:ascii="Times New Roman" w:cs="Times New Roman" w:eastAsia="Times New Roman" w:hAnsi="Times New Roman"/>
          <w:sz w:val="18"/>
          <w:szCs w:val="18"/>
          <w:color w:val="auto"/>
        </w:rPr>
        <w:t>. Section 2.05(b) of the Credit Agreement is hereby amended and restated in its entirety to read as follows:</w:t>
      </w:r>
    </w:p>
    <w:p>
      <w:pPr>
        <w:spacing w:after="0" w:line="162" w:lineRule="exact"/>
        <w:rPr>
          <w:sz w:val="20"/>
          <w:szCs w:val="20"/>
          <w:color w:val="auto"/>
        </w:rPr>
      </w:pPr>
    </w:p>
    <w:p>
      <w:pPr>
        <w:jc w:val="both"/>
        <w:ind w:left="660" w:firstLine="644"/>
        <w:spacing w:after="0" w:line="243" w:lineRule="auto"/>
        <w:tabs>
          <w:tab w:leader="none" w:pos="1574"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to the contrary notwithstanding, at the request of the Borrower Representative, the Administrative Agent may in its sole discretion (but with absolutely no obligation), on behalf of the Revolving Lenders, (x) make Revolving Loans (including Protective Advances) to the Borrowers in amounts that exceed Availability (any such excess Revolving Loans are herein referred to collectively as “</w:t>
      </w:r>
      <w:r>
        <w:rPr>
          <w:rFonts w:ascii="Times New Roman" w:cs="Times New Roman" w:eastAsia="Times New Roman" w:hAnsi="Times New Roman"/>
          <w:sz w:val="18"/>
          <w:szCs w:val="18"/>
          <w:u w:val="single" w:color="auto"/>
          <w:color w:val="auto"/>
        </w:rPr>
        <w:t>Overadvances</w:t>
      </w:r>
      <w:r>
        <w:rPr>
          <w:rFonts w:ascii="Times New Roman" w:cs="Times New Roman" w:eastAsia="Times New Roman" w:hAnsi="Times New Roman"/>
          <w:sz w:val="18"/>
          <w:szCs w:val="18"/>
          <w:color w:val="auto"/>
        </w:rPr>
        <w:t xml:space="preserve">”) or (y) deem the amount of Revolving Loans outstanding to the Borrowers that are in excess of Availability to be Overadvances;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Overadvance shall result in a Default due to Borrowers’ failure to comply with Section 2.01 for so long as such Overadvance remains outstanding in accordance with the terms of this paragraph, but solely with respect to the amount of such Overadvance. In addition, Overadvances may be made even if the condition precedent set forth in Section 4.02(c) has not been satisfied. All Overadvances shall constitute CBFR Borrowings. The making of an Overadvance on any one occasion shall not obligate the Administrative Agent to make any Overadvance on any other occasion. The authority of the Administrative Agent to make Overadvances is limited as follows: (i) the aggregate amount of Overadvances shall not to exceed an amount equal to ten percent (10%) of Availability at any time, (ii) no Overadvance may remain outstanding for more than thirty days, (iii) no Overadvance may be made prior to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most recently occurring Overadvance (disregarding for purposes of this clause (iii) involuntary Overadvances described below) and (iv) no Overadvance shall cause any Revolving Lender's Revolving Exposure to exceed its Revolving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Required Revolving Lenders may at any time revoke the Administrative Agent’s authorization to make Overadvances. Any such revocation must be in writing and shall become effective prospectively upon the Administrative Agent’s receipt thereof. For purposes of this paragraph, the discretion granted to Administrative Agent hereunder shall not preclude involuntary Overadvances that may result from time to time due to the fact that the Borrowing Base was unintentionally exceeded for any reason, including, but not limited to Collateral previously deemed to be “Eligible Accounts”, “Eligible Inventory” or “Eligible Equipment”, as applicable, becomes ineligible or collections of Accounts applied to reduce outstanding Revolving Borrowings are thereafter returned for insufficient funds.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5" w:name="page606"/>
    <w:bookmarkEnd w:id="605"/>
    <w:p>
      <w:pPr>
        <w:ind w:firstLine="1304"/>
        <w:spacing w:after="0" w:line="282" w:lineRule="auto"/>
        <w:tabs>
          <w:tab w:leader="none" w:pos="1716"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5.13 of the Credit Agreement</w:t>
      </w:r>
      <w:r>
        <w:rPr>
          <w:rFonts w:ascii="Times New Roman" w:cs="Times New Roman" w:eastAsia="Times New Roman" w:hAnsi="Times New Roman"/>
          <w:sz w:val="18"/>
          <w:szCs w:val="18"/>
          <w:color w:val="auto"/>
        </w:rPr>
        <w:t>. Section 5.13 of the Credit Agreement is hereby amended and restated in its entirety to read as follows: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Depository Banks</w:t>
      </w:r>
      <w:r>
        <w:rPr>
          <w:rFonts w:ascii="Times New Roman" w:cs="Times New Roman" w:eastAsia="Times New Roman" w:hAnsi="Times New Roman"/>
          <w:sz w:val="18"/>
          <w:szCs w:val="18"/>
          <w:color w:val="auto"/>
        </w:rPr>
        <w:t>. Each Borrower and each Subsidiary will maintain the Administrative Agent as its principal depository bank, including for the maintenance of operating, administrative, cash management, collection activity and other deposit accounts for the conduct of its business.</w:t>
      </w:r>
    </w:p>
    <w:p>
      <w:pPr>
        <w:spacing w:after="0" w:line="176" w:lineRule="exact"/>
        <w:rPr>
          <w:sz w:val="20"/>
          <w:szCs w:val="20"/>
          <w:color w:val="auto"/>
        </w:rPr>
      </w:pPr>
    </w:p>
    <w:p>
      <w:pPr>
        <w:ind w:firstLine="1304"/>
        <w:spacing w:after="0" w:line="282" w:lineRule="auto"/>
        <w:tabs>
          <w:tab w:leader="none" w:pos="1686"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Commitment Schedule</w:t>
      </w:r>
      <w:r>
        <w:rPr>
          <w:rFonts w:ascii="Times New Roman" w:cs="Times New Roman" w:eastAsia="Times New Roman" w:hAnsi="Times New Roman"/>
          <w:sz w:val="18"/>
          <w:szCs w:val="18"/>
          <w:color w:val="auto"/>
        </w:rPr>
        <w:t xml:space="preserve">. The Commitment Schedule to the Credit Agreement is hereby deleted and replaced with the Commitment Schedule attached hereto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No Waiver</w:t>
      </w:r>
      <w:r>
        <w:rPr>
          <w:rFonts w:ascii="Times New Roman" w:cs="Times New Roman" w:eastAsia="Times New Roman" w:hAnsi="Times New Roman"/>
          <w:sz w:val="18"/>
          <w:szCs w:val="18"/>
          <w:color w:val="auto"/>
        </w:rPr>
        <w:t>. Nothing contained in this Amendment shall be construed as a waiver by the Administrative Agent of any covenant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Credit Agreement, the other Loan Documents, this Amendment, or of any other contract or instrument between any Loan Party and the Administrative Agent, and the failure of the Administrative Agent at any time or times hereafter to require strict performance by any Loan Party of any provision thereof shall not waive, affect or diminish any rights of the Administrative Agent to thereafter demand strict compliance therewith. The Administrative Agent hereby reserves all rights granted under the Credit Agreement, the other Loan Documents, this Amendment and any other contract or instrument between any Loan Party and the Administrative Agent.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induce the Administrative Agent to enter into this Amendment, each Loan Party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warrants that:</w:t>
      </w:r>
    </w:p>
    <w:p>
      <w:pPr>
        <w:spacing w:after="0" w:line="159" w:lineRule="exact"/>
        <w:rPr>
          <w:sz w:val="20"/>
          <w:szCs w:val="20"/>
          <w:color w:val="auto"/>
        </w:rPr>
      </w:pPr>
    </w:p>
    <w:p>
      <w:pPr>
        <w:ind w:left="1720" w:hanging="416"/>
        <w:spacing w:after="0"/>
        <w:tabs>
          <w:tab w:leader="none" w:pos="172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After giving effect to this Amendment, no Default or Event of Default shall have occurred and be continuing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w:t>
      </w:r>
    </w:p>
    <w:p>
      <w:pPr>
        <w:spacing w:after="0" w:line="207" w:lineRule="exact"/>
        <w:rPr>
          <w:sz w:val="20"/>
          <w:szCs w:val="20"/>
          <w:color w:val="auto"/>
        </w:rPr>
      </w:pPr>
    </w:p>
    <w:p>
      <w:pPr>
        <w:jc w:val="both"/>
        <w:ind w:firstLine="1304"/>
        <w:spacing w:after="0" w:line="261" w:lineRule="auto"/>
        <w:tabs>
          <w:tab w:leader="none" w:pos="1848"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As of the Effective Date and, after giving effect to this Amendment and the transactions contemplated hereby, the representations and warranties of the Loan Parties contained in the Loan Documents are true and correct in all material respects on and as of the date hereof to the same extent as though made on and as of such date except to the extent such representations and warranties specifically relate to an earlier date;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51"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(i) The execution, delivery and performance by each Loan Party of this Amendment are within its respective organizational powers and have been duly authorized by all necessary corporate or limited liability company action on the part of such Person, (ii) this Amendment is the legal, valid and binding obligation of each Loan Party enforceable against such Person in accordance with its terms and (iii) neither the execution, delivery or performance by each Loan Party of this Amendment (1) violates any law or regulation, or any order or decree of any governmental authority, (2) conflicts with or results in the breach or termination of, constitutes a default under or accelerates any performance required by, any indenture, mortgage, deed of trust, lease, agreement or other instrument to which such Person is a party or by which such Person or any of its property is bound, (3) results in the creation or imposition of any Lien upon any of the Collateral (other than any Lien in favor of the Administrative Agent or a Lender), (4) violates or conflicts with the organizational or governing documentation of such Person, or (5) requires the consent, approval or authorization of, or declaration or filing with, any other Person, except for those already duly obtained.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6" w:name="page607"/>
    <w:bookmarkEnd w:id="606"/>
    <w:p>
      <w:pPr>
        <w:jc w:val="both"/>
        <w:ind w:firstLine="1304"/>
        <w:spacing w:after="0" w:line="266" w:lineRule="auto"/>
        <w:tabs>
          <w:tab w:leader="none" w:pos="178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No amendment, restatement, supplement or other modification has been made to the certificate or articles of incorporation or organization of the Borrower or to the by-laws or operating, management or partnership agreement, or any other organizational or governing documents of the Borrower since May 19, 2021.</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shall become effective only upon the satisfaction in full, in a manner satisfactory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Agent, of the following conditions precedent (the first date upon which all such conditions have been satisfied being herein called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1304"/>
        <w:spacing w:after="0" w:line="266" w:lineRule="auto"/>
        <w:tabs>
          <w:tab w:leader="none" w:pos="1689"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The Administrative Agent shall have received each of the following, each in form and substance satisfactory to the Administrative Agent, in its sole discretion, and, where applicable, each duly executed by each party thereto, other than the Administrative Agent (each of which shall be deemed to constitute a “</w:t>
      </w:r>
      <w:r>
        <w:rPr>
          <w:rFonts w:ascii="Times New Roman" w:cs="Times New Roman" w:eastAsia="Times New Roman" w:hAnsi="Times New Roman"/>
          <w:sz w:val="18"/>
          <w:szCs w:val="18"/>
          <w:u w:val="single" w:color="auto"/>
          <w:color w:val="auto"/>
        </w:rPr>
        <w:t>Loan Document</w:t>
      </w:r>
      <w:r>
        <w:rPr>
          <w:rFonts w:ascii="Times New Roman" w:cs="Times New Roman" w:eastAsia="Times New Roman" w:hAnsi="Times New Roman"/>
          <w:sz w:val="18"/>
          <w:szCs w:val="18"/>
          <w:color w:val="auto"/>
        </w:rPr>
        <w:t>” pursuant to the Credit Agreement):</w:t>
      </w:r>
    </w:p>
    <w:p>
      <w:pPr>
        <w:spacing w:after="0" w:line="175" w:lineRule="exact"/>
        <w:rPr>
          <w:rFonts w:ascii="Times New Roman" w:cs="Times New Roman" w:eastAsia="Times New Roman" w:hAnsi="Times New Roman"/>
          <w:sz w:val="18"/>
          <w:szCs w:val="18"/>
          <w:color w:val="auto"/>
        </w:rPr>
      </w:pPr>
    </w:p>
    <w:p>
      <w:pPr>
        <w:ind w:left="2140" w:hanging="350"/>
        <w:spacing w:after="0"/>
        <w:tabs>
          <w:tab w:leader="none" w:pos="214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or counterparts hereof;</w:t>
      </w:r>
    </w:p>
    <w:p>
      <w:pPr>
        <w:spacing w:after="0" w:line="225" w:lineRule="exact"/>
        <w:rPr>
          <w:rFonts w:ascii="Times New Roman" w:cs="Times New Roman" w:eastAsia="Times New Roman" w:hAnsi="Times New Roman"/>
          <w:sz w:val="18"/>
          <w:szCs w:val="18"/>
          <w:color w:val="auto"/>
        </w:rPr>
      </w:pPr>
    </w:p>
    <w:p>
      <w:pPr>
        <w:jc w:val="both"/>
        <w:ind w:left="660" w:firstLine="1130"/>
        <w:spacing w:after="0" w:line="266" w:lineRule="auto"/>
        <w:tabs>
          <w:tab w:leader="none" w:pos="2178"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instruments, and agreements as the Administrative Agent may reasonably request in connection with the transactions contemplated by this Amendment and the other Loan Documents, each in form and substance reasonably satisfactory to the Administrative Agent.</w:t>
      </w:r>
    </w:p>
    <w:p>
      <w:pPr>
        <w:spacing w:after="0" w:line="17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Borrower shall have paid to Administrative Agent and Lenders, as applicable:</w:t>
      </w:r>
    </w:p>
    <w:p>
      <w:pPr>
        <w:spacing w:after="0" w:line="225" w:lineRule="exact"/>
        <w:rPr>
          <w:rFonts w:ascii="Times New Roman" w:cs="Times New Roman" w:eastAsia="Times New Roman" w:hAnsi="Times New Roman"/>
          <w:sz w:val="18"/>
          <w:szCs w:val="18"/>
          <w:color w:val="auto"/>
        </w:rPr>
      </w:pPr>
    </w:p>
    <w:p>
      <w:pPr>
        <w:ind w:left="1300" w:right="20" w:firstLine="490"/>
        <w:spacing w:after="0" w:line="282" w:lineRule="auto"/>
        <w:tabs>
          <w:tab w:leader="none" w:pos="239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Fee due and payable on the Effective Date pursuant to the Second Amendment Fee Letter, as set forth in Paragraph 1 thereof;</w:t>
      </w:r>
    </w:p>
    <w:p>
      <w:pPr>
        <w:spacing w:after="0" w:line="161" w:lineRule="exact"/>
        <w:rPr>
          <w:rFonts w:ascii="Times New Roman" w:cs="Times New Roman" w:eastAsia="Times New Roman" w:hAnsi="Times New Roman"/>
          <w:sz w:val="18"/>
          <w:szCs w:val="18"/>
          <w:color w:val="auto"/>
        </w:rPr>
      </w:pPr>
    </w:p>
    <w:p>
      <w:pPr>
        <w:ind w:left="1300" w:firstLine="490"/>
        <w:spacing w:after="0" w:line="282" w:lineRule="auto"/>
        <w:tabs>
          <w:tab w:leader="none" w:pos="2407"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Lender Fee due and payable on the Effective Date pursuant to the Second Amendment Fee Letter, as set forth in Paragraph 2 thereof;</w:t>
      </w:r>
    </w:p>
    <w:p>
      <w:pPr>
        <w:spacing w:after="0" w:line="161" w:lineRule="exact"/>
        <w:rPr>
          <w:rFonts w:ascii="Times New Roman" w:cs="Times New Roman" w:eastAsia="Times New Roman" w:hAnsi="Times New Roman"/>
          <w:sz w:val="18"/>
          <w:szCs w:val="18"/>
          <w:color w:val="auto"/>
        </w:rPr>
      </w:pPr>
    </w:p>
    <w:p>
      <w:pPr>
        <w:ind w:left="1300" w:firstLine="490"/>
        <w:spacing w:after="0" w:line="282" w:lineRule="auto"/>
        <w:tabs>
          <w:tab w:leader="none" w:pos="2473"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incurred by BMO Harris, N.A. in connection with the assignment and acceptance of Commitments under the Credit Agreement and payable pursuant to the Assignment and Assumption dated as of the date hereof; and</w:t>
      </w:r>
    </w:p>
    <w:p>
      <w:pPr>
        <w:spacing w:after="0" w:line="161" w:lineRule="exact"/>
        <w:rPr>
          <w:rFonts w:ascii="Times New Roman" w:cs="Times New Roman" w:eastAsia="Times New Roman" w:hAnsi="Times New Roman"/>
          <w:sz w:val="18"/>
          <w:szCs w:val="18"/>
          <w:color w:val="auto"/>
        </w:rPr>
      </w:pPr>
    </w:p>
    <w:p>
      <w:pPr>
        <w:ind w:left="2360" w:hanging="570"/>
        <w:spacing w:after="0"/>
        <w:tabs>
          <w:tab w:leader="none" w:pos="2360" w:val="left"/>
        </w:tabs>
        <w:numPr>
          <w:ilvl w:val="1"/>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and expenses owing to the Administrative Agent pursuant to Section 9.03(a) of the Credit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Ratification; Reference to and Effect on Loan Documents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304"/>
        <w:spacing w:after="0" w:line="256" w:lineRule="auto"/>
        <w:tabs>
          <w:tab w:leader="none" w:pos="1689"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specifically amended above, the Credit Agreement and the other Loan Documents shall remain in full force and effect. Notwithstanding anything contained herein, the terms of this Amendment are not intended to and do not effect a novation of the Credit Agreement or any other Loan Document. Each of the Loan Parties hereby ratifies and reaffirms each of the terms and conditions of the Loan Documents to which it is a party and all of its obligations thereunder. Each of the Loan Parties hereby agrees that all liens and security interests securing payment of the Obligations under the Credit Agreement and each of the other Loan Documents are hereby collectively renewed, ratified and brought forward as security for the payment and performance of the Obligations.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7" w:name="page608"/>
    <w:bookmarkEnd w:id="607"/>
    <w:p>
      <w:pPr>
        <w:jc w:val="both"/>
        <w:ind w:firstLine="1304"/>
        <w:spacing w:after="0" w:line="261" w:lineRule="auto"/>
        <w:tabs>
          <w:tab w:leader="none" w:pos="1699"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Upon the effectiveness of this Amendment, each of the Loan Documents, including the Credit Agreement, and any and all other agreements, documents or instruments now or hereafter executed and delivered pursuant to the terms hereof or pursuant to the terms of the Credit Agreement, as amended hereby, are hereby amended so that any reference in such Loan Documents to the Credit Agreement shall mean a reference to the Credit Agreement, as amended hereby.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1304"/>
        <w:spacing w:after="0" w:line="282" w:lineRule="auto"/>
        <w:tabs>
          <w:tab w:leader="none" w:pos="1689"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Amendment shall be binding on and shall inure to the benefit of the Loan Parties, the Administrative Agent and their respective successors and assigns.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13"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constitutes the entire agreement of the parties hereto with respect to the subject matter hereof and supersedes all other understandings, oral or written, with respect to the subject matter hereof.</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9"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in this Amendment are included herein for convenience of reference only and shall not constitute a part of this Amendment for any other purpose.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53"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Amendment shall be interpreted in such a manner as to be effective and valid under applicable law, but if any provision of this Amendment shall be prohibited by or invalid under applicable law, such provision shall be ineffective to the extent of such prohibition or invalidity, without invalidating the remainder of such provision or the remaining provisions of this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1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separate original counterparts (or telecopied counterparts with original execution copy to follow) and by the different parties on separate counterparts, each of which shall be deemed to be an original, but all of such counterparts shall together constitute one agreement. Delivery of an executed counterpart of a signature page to this Amendment by telecopy shall be effective as delivery of a manually executed counterpart of this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3"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Credit Agreement Provisions</w:t>
      </w:r>
      <w:r>
        <w:rPr>
          <w:rFonts w:ascii="Times New Roman" w:cs="Times New Roman" w:eastAsia="Times New Roman" w:hAnsi="Times New Roman"/>
          <w:sz w:val="18"/>
          <w:szCs w:val="18"/>
          <w:color w:val="auto"/>
        </w:rPr>
        <w:t>. The provisions contained in Section 9.09 (Governing Law; Jurisdiction; Consent to Service of Process) and Section 9.10 (Waiver of Jury Trial) of the Credit Agreement are incorporated herein by reference to the same extent as if reproduced herein in their entirety.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8" w:name="page609"/>
    <w:bookmarkEnd w:id="608"/>
    <w:p>
      <w:pPr>
        <w:jc w:val="both"/>
        <w:ind w:firstLine="1304"/>
        <w:spacing w:after="0" w:line="267" w:lineRule="auto"/>
        <w:tabs>
          <w:tab w:leader="none" w:pos="1884" w:val="left"/>
        </w:tabs>
        <w:numPr>
          <w:ilvl w:val="0"/>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RELEASE. FOR AND IN CONSIDERATION OF LENDERS’ AGREEMENTS CONTAINED HEREIN, BORROWER, TOGETHER WITH ITS PARENTS, DIVISIONS, SUBSIDIARIES, AFFILIATES, MEMBERS, MANAGERS, PARTICIPANTS, PREDECESSORS, SUCCESSORS AND ASSIGNS, AND ITS CURRENT AND FORMER OFFICERS, SHAREHOLDERS, MEMBERS, MANAGERS, PARTNERS, AGENTS AND EMPLOYEES, AND ITS PREDECESSORS, SUCCESSORS, HEIRS AND ASSIGNS (INDIVIDUALLY AND COLLECTIVELY, “</w:t>
      </w:r>
      <w:r>
        <w:rPr>
          <w:rFonts w:ascii="Times New Roman" w:cs="Times New Roman" w:eastAsia="Times New Roman" w:hAnsi="Times New Roman"/>
          <w:sz w:val="17"/>
          <w:szCs w:val="17"/>
          <w:b w:val="1"/>
          <w:bCs w:val="1"/>
          <w:u w:val="single" w:color="auto"/>
          <w:color w:val="auto"/>
        </w:rPr>
        <w:t>RELEASORS</w:t>
      </w:r>
      <w:r>
        <w:rPr>
          <w:rFonts w:ascii="Times New Roman" w:cs="Times New Roman" w:eastAsia="Times New Roman" w:hAnsi="Times New Roman"/>
          <w:sz w:val="17"/>
          <w:szCs w:val="17"/>
          <w:color w:val="auto"/>
        </w:rPr>
        <w:t>”) HEREBY VOLUNTARILY AND KNOWINGLY RELEASES AND FOREVER WAIVES AND DISCHARGES LENDERS AND EACH OF THEIR PARENTS, DIVISIONS, SUBSIDIARIES, AFFILIATES, MEMBERS, MANAGERS, PARTICIPANTS, PREDECESSORS, SUCCESSORS AND ASSIGNS, AND EACH OF ITS CURRENT AND FORMER DIRECTORS, OFFICERS, SHAREHOLDERS, MEMBERS, MANAGERS, PARTNERS, AGENTS AND EMPLOYEES, AND EACH OF THEIR RESPECTIVE PREDECESSORS, SUCCESSORS, HEIRS AND ASSIGNS (INDIVIDUALLY AND COLLECTIVELY, THE “</w:t>
      </w:r>
      <w:r>
        <w:rPr>
          <w:rFonts w:ascii="Times New Roman" w:cs="Times New Roman" w:eastAsia="Times New Roman" w:hAnsi="Times New Roman"/>
          <w:sz w:val="17"/>
          <w:szCs w:val="17"/>
          <w:b w:val="1"/>
          <w:bCs w:val="1"/>
          <w:u w:val="single" w:color="auto"/>
          <w:color w:val="auto"/>
        </w:rPr>
        <w:t>RELEASED PARTIES</w:t>
      </w:r>
      <w:r>
        <w:rPr>
          <w:rFonts w:ascii="Times New Roman" w:cs="Times New Roman" w:eastAsia="Times New Roman" w:hAnsi="Times New Roman"/>
          <w:sz w:val="17"/>
          <w:szCs w:val="17"/>
          <w:color w:val="auto"/>
        </w:rPr>
        <w:t>”) FROM ALL POSSIBLE CLAIMS, COUNTERCLAIMS, DEMANDS, ACTIONS, CAUSES OF ACTION, DAMAGES, COSTS, EXPENSES AND LIABILITIES WHATSOEVER, WHETHER KNOWN OR UNKNOWN, ANTICIPATED OR UNANTICIPATED, SUSPECTED OR UNSUSPECTED, FIXED, CONTINGENT OR CONDITIONAL OR AT LAW OR IN EQUITY, IN ANY CASE ORIGINATING IN WHOLE OR IN PART ON OR BEFORE THE DATE THIS AMENDMENT IS EXECUTED THAT ANY OF THE RELEASORS MAY NOW OR HEREAFTER HAVE AGAINST THE RELEASED PARTIES, IF ANY, IRRESPECTIVE OF WHETHER ANY SUCH CLAIMS ARISE OUT OF CONTRACT, TORT, VIOLATION OF LAW OR REGULATIONS OR OTHERWISE, INCLUDING WITHOUT LIMITATION ARISING DIRECTLY OR INDIRECTLY FROM ANY LAWSUIT, ANY PRIOR OR EXISTING LOANS BETWEEN RELEASORS AND RELEASED PARTIES, ANY OF THE LOAN DOCUMENTS, THE EXERCISE OF ANY RIGHTS AND REMEDIES UNDER ANY OF THE LOAN DOCUMENTS AND/OR NEGOTIATION FOR AND EXECUTION OF THIS AMENDMENT, INCLUDING, WITHOUT LIMITATION, ANY CONTRACTING FOR, CHARGING, TAKING, RESERVING, COLLECTING OR RECEIVING INTEREST IN EXCESS OF THE HIGHEST LAWFUL RATE APPLICABLE. EACH OF THE RELEASORS WAIVES THE BENEFITS OF ANY LAW, WHICH MAY PROVIDE IN SUBSTANCE: “A GENERAL RELEASE DOES NOT EXTEND TO CLAIMS WHICH THE CREDITOR DOES NOT KNOW OR SUSPECT TO EXIST IN ITS FAVOR AT THE TIME OF EXECUTING THE RELEASE, WHICH IF KNOWN BY IT MUST HAVE MATERIALLY AFFECTED ITS SETTLEMENT WITH THE DEBTOR.” EACH OF THE RELEASORS UNDERSTANDS THE FACTS IT BELIEVES TO BE TRUE AT THE TIME OF MAKING THE RELEASE PROVIDED FOR HEREIN MAY LATER TURN OUT TO BE DIFFERENT THAN IT NOW BELIEVES, AND INFORMATION NOT NOW KNOWN OR SUSPECTED MAY LATER BE DISCOVERED. EACH OF THE RELEASORS ACCEPTS THIS POSSIBILITY, AND EACH OF THEM ASSUMES THE RISK OF THE FACTS TURNING OUT TO BE DIFFERENT AND NEW INFORMATION BEING DISCOVERED AND EACH OF THEM FURTHER AGREES THE RELEASE PROVIDED FOR HEREIN SHALL IN ALL RESPECTS CONTINUE TO BE EFFECTIVE AND NOT SUBJECT TO TERMINATION OR RESCISSION BECAUSE OF ANY DIFFERENCE IN SUCH FACTS OR ANY NEW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 Third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1" w:right="339" w:bottom="1440" w:gutter="0" w:footer="0" w:header="0"/>
        </w:sectPr>
      </w:pPr>
    </w:p>
    <w:bookmarkStart w:id="609" w:name="page610"/>
    <w:bookmarkEnd w:id="60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has been executed on the date first written above, to be effective upon satisfaction of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herein.</w:t>
      </w:r>
    </w:p>
    <w:p>
      <w:pPr>
        <w:spacing w:after="0" w:line="3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LaRue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610" w:name="page611"/>
    <w:bookmarkEnd w:id="610"/>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individually and as Administrative Agent, Issuing</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Bank and Swingline Lender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Watkins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John Watkins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BMO HARRIS BANK N.A.</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Quinn Heiden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Quinn Heiden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hird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mendment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222885</wp:posOffset>
            </wp:positionV>
            <wp:extent cx="713232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sectPr>
      </w:pPr>
    </w:p>
    <w:bookmarkStart w:id="611" w:name="page612"/>
    <w:bookmarkEnd w:id="611"/>
    <w:tbl>
      <w:tblPr>
        <w:tblLayout w:type="fixed"/>
        <w:tblInd w:w="1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Annex I</w:t>
            </w:r>
          </w:p>
        </w:tc>
        <w:tc>
          <w:tcPr>
            <w:tcW w:w="5320" w:type="dxa"/>
            <w:vAlign w:val="bottom"/>
            <w:gridSpan w:val="2"/>
          </w:tcPr>
          <w:p>
            <w:pPr>
              <w:spacing w:after="0"/>
              <w:rPr>
                <w:sz w:val="17"/>
                <w:szCs w:val="17"/>
                <w:color w:val="auto"/>
              </w:rPr>
            </w:pPr>
          </w:p>
        </w:tc>
      </w:tr>
      <w:tr>
        <w:trPr>
          <w:trHeight w:val="453"/>
        </w:trPr>
        <w:tc>
          <w:tcPr>
            <w:tcW w:w="4020" w:type="dxa"/>
            <w:vAlign w:val="bottom"/>
          </w:tcPr>
          <w:p>
            <w:pPr>
              <w:spacing w:after="0"/>
              <w:rPr>
                <w:sz w:val="24"/>
                <w:szCs w:val="24"/>
                <w:color w:val="auto"/>
              </w:rPr>
            </w:pPr>
          </w:p>
        </w:tc>
        <w:tc>
          <w:tcPr>
            <w:tcW w:w="7220" w:type="dxa"/>
            <w:vAlign w:val="bottom"/>
            <w:gridSpan w:val="4"/>
          </w:tcPr>
          <w:p>
            <w:pPr>
              <w:jc w:val="center"/>
              <w:ind w:right="3930"/>
              <w:spacing w:after="0"/>
              <w:rPr>
                <w:sz w:val="20"/>
                <w:szCs w:val="20"/>
                <w:color w:val="auto"/>
              </w:rPr>
            </w:pPr>
            <w:r>
              <w:rPr>
                <w:rFonts w:ascii="Times New Roman" w:cs="Times New Roman" w:eastAsia="Times New Roman" w:hAnsi="Times New Roman"/>
                <w:sz w:val="18"/>
                <w:szCs w:val="18"/>
                <w:color w:val="auto"/>
              </w:rPr>
              <w:t>COMMITMENT SCHEDULE</w:t>
            </w:r>
          </w:p>
        </w:tc>
      </w:tr>
      <w:tr>
        <w:trPr>
          <w:trHeight w:val="469"/>
        </w:trPr>
        <w:tc>
          <w:tcPr>
            <w:tcW w:w="40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r>
        <w:trPr>
          <w:trHeight w:val="190"/>
        </w:trPr>
        <w:tc>
          <w:tcPr>
            <w:tcW w:w="4020" w:type="dxa"/>
            <w:vAlign w:val="bottom"/>
            <w:tcBorders>
              <w:left w:val="single" w:sz="8" w:color="auto"/>
              <w:bottom w:val="single" w:sz="8" w:color="auto"/>
            </w:tcBorders>
          </w:tcPr>
          <w:p>
            <w:pPr>
              <w:ind w:left="2880"/>
              <w:spacing w:after="0" w:line="170" w:lineRule="exact"/>
              <w:rPr>
                <w:sz w:val="20"/>
                <w:szCs w:val="20"/>
                <w:color w:val="auto"/>
              </w:rPr>
            </w:pPr>
            <w:r>
              <w:rPr>
                <w:rFonts w:ascii="Times New Roman" w:cs="Times New Roman" w:eastAsia="Times New Roman" w:hAnsi="Times New Roman"/>
                <w:sz w:val="18"/>
                <w:szCs w:val="18"/>
                <w:b w:val="1"/>
                <w:bCs w:val="1"/>
                <w:color w:val="auto"/>
              </w:rPr>
              <w:t>Lenders</w:t>
            </w:r>
          </w:p>
        </w:tc>
        <w:tc>
          <w:tcPr>
            <w:tcW w:w="1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4840" w:type="dxa"/>
            <w:vAlign w:val="bottom"/>
            <w:tcBorders>
              <w:bottom w:val="single" w:sz="8" w:color="auto"/>
            </w:tcBorders>
          </w:tcPr>
          <w:p>
            <w:pPr>
              <w:ind w:left="1500"/>
              <w:spacing w:after="0" w:line="170" w:lineRule="exact"/>
              <w:rPr>
                <w:sz w:val="20"/>
                <w:szCs w:val="20"/>
                <w:color w:val="auto"/>
              </w:rPr>
            </w:pPr>
            <w:r>
              <w:rPr>
                <w:rFonts w:ascii="Times New Roman" w:cs="Times New Roman" w:eastAsia="Times New Roman" w:hAnsi="Times New Roman"/>
                <w:sz w:val="18"/>
                <w:szCs w:val="18"/>
                <w:b w:val="1"/>
                <w:bCs w:val="1"/>
                <w:color w:val="auto"/>
              </w:rPr>
              <w:t>Revolving Commitment</w:t>
            </w:r>
          </w:p>
        </w:tc>
      </w:tr>
      <w:tr>
        <w:trPr>
          <w:trHeight w:val="193"/>
        </w:trPr>
        <w:tc>
          <w:tcPr>
            <w:tcW w:w="4020" w:type="dxa"/>
            <w:vAlign w:val="bottom"/>
            <w:tcBorders>
              <w:bottom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JPMorgan Chase Bank, N.A.</w:t>
            </w:r>
          </w:p>
        </w:tc>
        <w:tc>
          <w:tcPr>
            <w:tcW w:w="1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$100,000,000</w:t>
            </w:r>
          </w:p>
        </w:tc>
      </w:tr>
      <w:tr>
        <w:trPr>
          <w:trHeight w:val="22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BMO Harris Bank N.A.</w:t>
            </w:r>
          </w:p>
        </w:tc>
        <w:tc>
          <w:tcPr>
            <w:tcW w:w="7220" w:type="dxa"/>
            <w:vAlign w:val="bottom"/>
            <w:gridSpan w:val="4"/>
          </w:tcPr>
          <w:p>
            <w:pPr>
              <w:ind w:left="2380"/>
              <w:spacing w:after="0"/>
              <w:rPr>
                <w:sz w:val="20"/>
                <w:szCs w:val="20"/>
                <w:color w:val="auto"/>
              </w:rPr>
            </w:pPr>
            <w:r>
              <w:rPr>
                <w:rFonts w:ascii="Times New Roman" w:cs="Times New Roman" w:eastAsia="Times New Roman" w:hAnsi="Times New Roman"/>
                <w:sz w:val="18"/>
                <w:szCs w:val="18"/>
                <w:color w:val="auto"/>
              </w:rPr>
              <w:t>$50,000,000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61163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0">
                      <a:extLst>
                        <a:ext uri="{28A0092B-C50C-407E-A947-70E740481C1C}"/>
                      </a:extLst>
                    </a:blip>
                    <a:srcRect/>
                    <a:stretch>
                      <a:fillRect/>
                    </a:stretch>
                  </pic:blipFill>
                  <pic:spPr bwMode="auto">
                    <a:xfrm>
                      <a:off x="0" y="0"/>
                      <a:ext cx="713232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300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$150,000,000</w:t>
            </w:r>
          </w:p>
        </w:tc>
      </w:tr>
    </w:tbl>
    <w:p>
      <w:pPr>
        <w:sectPr>
          <w:pgSz w:w="11900" w:h="16838" w:orient="portrait"/>
          <w:cols w:equalWidth="0" w:num="1">
            <w:col w:w="11240"/>
          </w:cols>
          <w:pgMar w:left="320" w:top="568" w:right="339" w:bottom="1440" w:gutter="0" w:footer="0" w:header="0"/>
        </w:sectPr>
      </w:pPr>
    </w:p>
    <w:bookmarkStart w:id="612" w:name="page613"/>
    <w:bookmarkEnd w:id="612"/>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COMPANY’S ANNUAL</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TO SHAREHOLDERS FOR</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FISCAL YEAR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365760</wp:posOffset>
            </wp:positionV>
            <wp:extent cx="7132320"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613" w:name="page614"/>
    <w:bookmarkEnd w:id="6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363220</wp:posOffset>
            </wp:positionV>
            <wp:extent cx="4946015" cy="17741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2">
                      <a:clrChange>
                        <a:clrFrom>
                          <a:srgbClr val="FFFFFF"/>
                        </a:clrFrom>
                        <a:clrTo>
                          <a:srgbClr val="FFFFFF">
                            <a:alpha val="0"/>
                          </a:srgbClr>
                        </a:clrTo>
                      </a:clrChange>
                      <a:extLst>
                        <a:ext uri="{28A0092B-C50C-407E-A947-70E740481C1C}"/>
                      </a:extLst>
                    </a:blip>
                    <a:srcRect/>
                    <a:stretch>
                      <a:fillRect/>
                    </a:stretch>
                  </pic:blipFill>
                  <pic:spPr bwMode="auto">
                    <a:xfrm>
                      <a:off x="0" y="0"/>
                      <a:ext cx="494601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65"/>
          <w:szCs w:val="65"/>
          <w:b w:val="1"/>
          <w:bCs w:val="1"/>
          <w:color w:val="003399"/>
        </w:rPr>
        <w:t>2022</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64"/>
          <w:szCs w:val="64"/>
          <w:b w:val="1"/>
          <w:bCs w:val="1"/>
          <w:color w:val="003399"/>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353695</wp:posOffset>
            </wp:positionV>
            <wp:extent cx="7132320"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4" w:name="page615"/>
    <w:bookmarkEnd w:id="614"/>
    <w:p>
      <w:pPr>
        <w:jc w:val="center"/>
        <w:spacing w:after="0"/>
        <w:rPr>
          <w:sz w:val="20"/>
          <w:szCs w:val="20"/>
          <w:color w:val="auto"/>
        </w:rPr>
      </w:pPr>
      <w:r>
        <w:rPr>
          <w:rFonts w:ascii="Times New Roman" w:cs="Times New Roman" w:eastAsia="Times New Roman" w:hAnsi="Times New Roman"/>
          <w:sz w:val="32"/>
          <w:szCs w:val="32"/>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2255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4">
                      <a:extLst>
                        <a:ext uri="{28A0092B-C50C-407E-A947-70E740481C1C}"/>
                      </a:extLst>
                    </a:blip>
                    <a:srcRect/>
                    <a:stretch>
                      <a:fillRect/>
                    </a:stretch>
                  </pic:blipFill>
                  <pic:spPr bwMode="auto">
                    <a:xfrm>
                      <a:off x="0" y="0"/>
                      <a:ext cx="7132320" cy="122555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285,234,752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126,102,533</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14,066,322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11,424,475</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per share (Basic)</w:t>
            </w:r>
          </w:p>
        </w:tc>
        <w:tc>
          <w:tcPr>
            <w:tcW w:w="3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per share</w:t>
            </w:r>
          </w:p>
        </w:tc>
        <w:tc>
          <w:tcPr>
            <w:tcW w:w="3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0.08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79,686,648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65,339,976</w:t>
            </w: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64,551,208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48,462,364</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TO OUR SHAREHOLDERS:</w:t>
      </w:r>
    </w:p>
    <w:p>
      <w:pPr>
        <w:spacing w:after="0" w:line="241" w:lineRule="exact"/>
        <w:rPr>
          <w:sz w:val="20"/>
          <w:szCs w:val="20"/>
          <w:color w:val="auto"/>
        </w:rPr>
      </w:pPr>
    </w:p>
    <w:p>
      <w:pPr>
        <w:ind w:right="20" w:firstLine="162"/>
        <w:spacing w:after="0" w:line="254" w:lineRule="auto"/>
        <w:rPr>
          <w:sz w:val="20"/>
          <w:szCs w:val="20"/>
          <w:color w:val="auto"/>
        </w:rPr>
      </w:pPr>
      <w:r>
        <w:rPr>
          <w:rFonts w:ascii="Times New Roman" w:cs="Times New Roman" w:eastAsia="Times New Roman" w:hAnsi="Times New Roman"/>
          <w:sz w:val="18"/>
          <w:szCs w:val="18"/>
          <w:color w:val="auto"/>
        </w:rPr>
        <w:t>Fiscal year 2022 was another uniquely challenging year for Friedman Industries, Incorporated (the “Company”) with historic volatility in the price of hot-rolled coil (“HRC”). We started the year with the HRC price at approximately $1,300 per ton and ended the year with the price at approximately $1,380 per ton but the twelve months between were a roller coaster. From April 2021 through September 2021, HRC price increased approximately 50% going from approximately $1,300 per ton to approximately $1,950 per ton. This was the continuation of a historic upward price cycle that started in fiscal 2021 associated primarily with supply chain related disruptions stemming from the impact of the COVID-19 pandemic. From October 2021 through February 2022, HRC price declined approximately 52% going from $1,950 per ton to $940 per ton. In March 2022, HRC price started increasing in response to the Russian invasion of Ukraine and increased approximately 47% during the month from approximately $940 per ton to approximately $1,380 per ton. Fiscal 2022 and fiscal 2021 were two of the most challenging years in Company history and we delivered historic year-end results back-to-back with net earnings of $14.0 million and $11.4 million, respectively.</w:t>
      </w:r>
    </w:p>
    <w:p>
      <w:pPr>
        <w:spacing w:after="0" w:line="188"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Fiscal 2022 was the most challenging supply market to purchase HRC in my 40 years in the steel business. We actually grew our sales volume because of our intense focus on supplier diversification. During fiscal 2022, we purchased inventory from 16 different suppliers and grew our sales volume in the most challenging sourcing year by 15%. The sourcing of steel is the most important factor for the Company’s success and we will continue to ensure that supplier optionality and detailed analysis of industry and economic conditions allow us to prosper.</w:t>
      </w:r>
    </w:p>
    <w:p>
      <w:pPr>
        <w:spacing w:after="0" w:line="180" w:lineRule="exact"/>
        <w:rPr>
          <w:sz w:val="20"/>
          <w:szCs w:val="20"/>
          <w:color w:val="auto"/>
        </w:rPr>
      </w:pPr>
    </w:p>
    <w:p>
      <w:pPr>
        <w:ind w:right="40" w:firstLine="162"/>
        <w:spacing w:after="0" w:line="261" w:lineRule="auto"/>
        <w:rPr>
          <w:sz w:val="20"/>
          <w:szCs w:val="20"/>
          <w:color w:val="auto"/>
        </w:rPr>
      </w:pPr>
      <w:r>
        <w:rPr>
          <w:rFonts w:ascii="Times New Roman" w:cs="Times New Roman" w:eastAsia="Times New Roman" w:hAnsi="Times New Roman"/>
          <w:sz w:val="18"/>
          <w:szCs w:val="18"/>
          <w:color w:val="auto"/>
        </w:rPr>
        <w:t>During fiscal 2022, we announced the construction of a new location in Sinton, Texas which would be located on the campus of Steel Dynamics, Inc.’s new flat rolled steel mill. We were excited by the potential of this investment at the time of announcement and are more excited now as we near completion of the new location. The land improvements and building are substantially complete and the steel processing equipment is being installed. We expect equipment installation and commissioning during August 2022 and September 2022 with operating levels starting to expand during October 2022.</w:t>
      </w:r>
    </w:p>
    <w:p>
      <w:pPr>
        <w:spacing w:after="0" w:line="180" w:lineRule="exact"/>
        <w:rPr>
          <w:sz w:val="20"/>
          <w:szCs w:val="20"/>
          <w:color w:val="auto"/>
        </w:rPr>
      </w:pPr>
    </w:p>
    <w:p>
      <w:pPr>
        <w:ind w:right="80" w:firstLine="162"/>
        <w:spacing w:after="0" w:line="255" w:lineRule="auto"/>
        <w:rPr>
          <w:sz w:val="20"/>
          <w:szCs w:val="20"/>
          <w:color w:val="auto"/>
        </w:rPr>
      </w:pPr>
      <w:r>
        <w:rPr>
          <w:rFonts w:ascii="Times New Roman" w:cs="Times New Roman" w:eastAsia="Times New Roman" w:hAnsi="Times New Roman"/>
          <w:sz w:val="18"/>
          <w:szCs w:val="18"/>
          <w:color w:val="auto"/>
        </w:rPr>
        <w:t>On April 30, 2022, we completed a major acquisition of two facilities from Plateplus, Inc. (“Plateplus”). The facilities are located in East Chicago, Indiana and Granite City, Illinois and allow the Company to expand its competitive reach into the midwestern United States. Additionally, the Company purchased all of the steel inventory from two other Plateplus locations in Loudon, Tennessee and Houston, Texas. Plateplus has provided us toll processing services of this inventory as we work to transition customer business that was typically handled in Loudon and Houston to our Decatur, Alabama and Sinton, Texas locations. As part of the transaction, we welcomed 76 new employees to the Friedman team that were previously Plateplus employees. We expect to hire approximately 25 additional Plateplus employees as transition services and toll processing activities conclude. We believe this transaction will be transformative for the future of Friedman.</w:t>
      </w:r>
    </w:p>
    <w:p>
      <w:pPr>
        <w:spacing w:after="0" w:line="189" w:lineRule="exact"/>
        <w:rPr>
          <w:sz w:val="20"/>
          <w:szCs w:val="20"/>
          <w:color w:val="auto"/>
        </w:rPr>
      </w:pPr>
    </w:p>
    <w:p>
      <w:pPr>
        <w:ind w:right="600" w:firstLine="162"/>
        <w:spacing w:after="0" w:line="282" w:lineRule="auto"/>
        <w:rPr>
          <w:sz w:val="20"/>
          <w:szCs w:val="20"/>
          <w:color w:val="auto"/>
        </w:rPr>
      </w:pPr>
      <w:r>
        <w:rPr>
          <w:rFonts w:ascii="Times New Roman" w:cs="Times New Roman" w:eastAsia="Times New Roman" w:hAnsi="Times New Roman"/>
          <w:sz w:val="18"/>
          <w:szCs w:val="18"/>
          <w:color w:val="auto"/>
        </w:rPr>
        <w:t>I am very proud of what our team has accomplished in the short time I have been CEO of the Company. I believe the strategic initiatives we have implemented will provide long-term value for the Company and its shareholders.</w:t>
      </w:r>
    </w:p>
    <w:p>
      <w:pPr>
        <w:spacing w:after="0" w:line="162" w:lineRule="exact"/>
        <w:rPr>
          <w:sz w:val="20"/>
          <w:szCs w:val="20"/>
          <w:color w:val="auto"/>
        </w:rPr>
      </w:pPr>
    </w:p>
    <w:p>
      <w:pPr>
        <w:ind w:right="340" w:firstLine="162"/>
        <w:spacing w:after="0" w:line="282" w:lineRule="auto"/>
        <w:rPr>
          <w:sz w:val="20"/>
          <w:szCs w:val="20"/>
          <w:color w:val="auto"/>
        </w:rPr>
      </w:pPr>
      <w:r>
        <w:rPr>
          <w:rFonts w:ascii="Times New Roman" w:cs="Times New Roman" w:eastAsia="Times New Roman" w:hAnsi="Times New Roman"/>
          <w:sz w:val="18"/>
          <w:szCs w:val="18"/>
          <w:color w:val="auto"/>
        </w:rPr>
        <w:t>You are invited to attend the Annual Meeting of Shareholders scheduled to start at 10:00 a.m. (Central Time) on Tuesday, September 13, 2022, in the offices of Norton Rose Fulbright US LLP, 1301 McKinney, 51st Floor, Houston, Texas 77010.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577340" cy="514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5">
                      <a:extLst>
                        <a:ext uri="{28A0092B-C50C-407E-A947-70E740481C1C}"/>
                      </a:extLst>
                    </a:blip>
                    <a:srcRect/>
                    <a:stretch>
                      <a:fillRect/>
                    </a:stretch>
                  </pic:blipFill>
                  <pic:spPr bwMode="auto">
                    <a:xfrm>
                      <a:off x="0" y="0"/>
                      <a:ext cx="15773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Taylor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615" w:name="page616"/>
    <w:bookmarkEnd w:id="615"/>
    <w:p>
      <w:pPr>
        <w:spacing w:after="0"/>
        <w:rPr>
          <w:sz w:val="20"/>
          <w:szCs w:val="20"/>
          <w:color w:val="auto"/>
        </w:rPr>
      </w:pPr>
      <w:r>
        <w:rPr>
          <w:rFonts w:ascii="Times New Roman" w:cs="Times New Roman" w:eastAsia="Times New Roman" w:hAnsi="Times New Roman"/>
          <w:sz w:val="32"/>
          <w:szCs w:val="32"/>
          <w:b w:val="1"/>
          <w:bCs w:val="1"/>
          <w:color w:val="auto"/>
        </w:rPr>
        <w:t>OFFICERS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Taylor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Henderson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of Operations — Texas Tubular Division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Holcomb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of Sales — Coil Divisions and Vice President of Purchasing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LaRue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 — Secretary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Teeter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of Operations — Coil Divisions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Thompson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of Sales — Tubular Division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OFFICES AND WEBSITES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CORPORATE OFFICE &amp; COIL PRODUCTS SALES OFFICE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1121 Judson Road, Suite 124</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Longview, Texas 75601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903-758-3431</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TUBULAR PRODUCTS SALES OFFICE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3681 FM 250</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Lone Star, Texas 75668</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903-639-2511</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WEBSITES*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www.friedmanindustries.com</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www.texastubular.com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Norton Rose Fulbright US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1301 McKinney, Suite 5100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Moss Adams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Dallas Street, Suite 2500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AND REGISTRAR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 Stock Transfer &amp; Trust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6201 15th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Brooklyn, NY 11219</w:t>
      </w:r>
    </w:p>
    <w:p>
      <w:pPr>
        <w:spacing w:after="0" w:line="207" w:lineRule="exact"/>
        <w:rPr>
          <w:sz w:val="20"/>
          <w:szCs w:val="20"/>
          <w:color w:val="auto"/>
        </w:rPr>
      </w:pPr>
    </w:p>
    <w:p>
      <w:pPr>
        <w:ind w:left="5580" w:right="3479" w:hanging="5572"/>
        <w:spacing w:after="0" w:line="532" w:lineRule="auto"/>
        <w:tabs>
          <w:tab w:leader="none" w:pos="144"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our websites is expressly not incorporated by reference into this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2" w:right="1440" w:bottom="1440" w:gutter="0" w:footer="0" w:header="0"/>
        </w:sectPr>
      </w:pPr>
    </w:p>
    <w:bookmarkStart w:id="616" w:name="page617"/>
    <w:bookmarkEnd w:id="616"/>
    <w:p>
      <w:pPr>
        <w:spacing w:after="0"/>
        <w:rPr>
          <w:sz w:val="20"/>
          <w:szCs w:val="20"/>
          <w:color w:val="auto"/>
        </w:rPr>
      </w:pPr>
      <w:r>
        <w:rPr>
          <w:rFonts w:ascii="Times New Roman" w:cs="Times New Roman" w:eastAsia="Times New Roman" w:hAnsi="Times New Roman"/>
          <w:sz w:val="32"/>
          <w:szCs w:val="32"/>
          <w:b w:val="1"/>
          <w:bCs w:val="1"/>
          <w:color w:val="auto"/>
        </w:rPr>
        <w:t>DIRECTORS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Durga D. Agrawal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Piping Technology &amp; Products, Inc. (pipe fabrication)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Houston, Texas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Reichenthal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Texas Iron and Metal (steel product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Houston, Texas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Sandy Scott*</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Retired, formerly, Chief Executive Officer of Sprint Industrial Holdings (rental equipment and transporation company), currently serving on the boards of directors of Terra Nova Solutions, Rowland Inc., CEDA International, DWD International, LLC and Goodwill of Houston Houston, Texas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 Spira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investor; formerly, Partner, Weinstein Spira &amp; Company (accounting firm)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Houston, Texas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Stevenson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Founder, Metal Edge Partners (metals price risk management and strategic advisory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Plymouth, Minnesota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Michael J. Taylor, </w:t>
      </w:r>
      <w:r>
        <w:rPr>
          <w:rFonts w:ascii="Times New Roman" w:cs="Times New Roman" w:eastAsia="Times New Roman" w:hAnsi="Times New Roman"/>
          <w:sz w:val="18"/>
          <w:szCs w:val="18"/>
          <w:i w:val="1"/>
          <w:iCs w:val="1"/>
          <w:color w:val="auto"/>
        </w:rPr>
        <w:t>Chairman of the Board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Houston, Texas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Sharon Taylor*</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Vice President and Chief Financial Officer, Martin Midstream Partners L.P. and Martin Resource Management Corporation (terminalling, processing, transportation, storage and packaging services for petroleum products and by-products) Kilgore, Texas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L. Williams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 Pozmantier, Williams and Stone Insurance Consultants, LLC (insurance and risk management consultants)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Houston, Texas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Sandy Scott and Sharon Taylor were appointed to the Board of Directors subsequent to fiscal year-end.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Shareholders may obtain without charge a copy of the Company’s Annual Report on Form 10-K for the year ended March 31, 2022, as filed with the U.S. Securities and Exchange Commission. Written requests should be addressed to: Alex LaRue, Chief Financial Officer — Secretary and Treasurer, Friedman Industries, Incorporated, P.O. Box 2192, Longview, Texas 75606.</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17" w:name="page618"/>
    <w:bookmarkEnd w:id="617"/>
    <w:p>
      <w:pPr>
        <w:spacing w:after="0"/>
        <w:rPr>
          <w:sz w:val="20"/>
          <w:szCs w:val="20"/>
          <w:color w:val="auto"/>
        </w:rPr>
      </w:pPr>
      <w:r>
        <w:rPr>
          <w:rFonts w:ascii="Times New Roman" w:cs="Times New Roman" w:eastAsia="Times New Roman" w:hAnsi="Times New Roman"/>
          <w:sz w:val="32"/>
          <w:szCs w:val="32"/>
          <w:b w:val="1"/>
          <w:bCs w:val="1"/>
          <w:color w:val="auto"/>
        </w:rPr>
        <w:t>DESCRIPTION OF BUSINESS</w:t>
      </w:r>
    </w:p>
    <w:p>
      <w:pPr>
        <w:spacing w:after="0" w:line="24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Friedman Industries, Incorporated (the “Company”) is a manufacturer and processor of steel products and operates in two product segments: coil products and tubular products.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Coil Products</w:t>
      </w:r>
    </w:p>
    <w:p>
      <w:pPr>
        <w:spacing w:after="0" w:line="227" w:lineRule="exact"/>
        <w:rPr>
          <w:sz w:val="20"/>
          <w:szCs w:val="20"/>
          <w:color w:val="auto"/>
        </w:rPr>
      </w:pPr>
    </w:p>
    <w:p>
      <w:pPr>
        <w:jc w:val="both"/>
        <w:ind w:left="160" w:firstLine="450"/>
        <w:spacing w:after="0" w:line="254" w:lineRule="auto"/>
        <w:rPr>
          <w:sz w:val="20"/>
          <w:szCs w:val="20"/>
          <w:color w:val="auto"/>
        </w:rPr>
      </w:pPr>
      <w:r>
        <w:rPr>
          <w:rFonts w:ascii="Times New Roman" w:cs="Times New Roman" w:eastAsia="Times New Roman" w:hAnsi="Times New Roman"/>
          <w:sz w:val="18"/>
          <w:szCs w:val="18"/>
          <w:color w:val="auto"/>
        </w:rPr>
        <w:t>The coil product segment consists of the operation of two hot-rolled coil processing facilities; one in Hickman, Arkansas (“Hickman”) and the other in Decatur, Alabama (“Decatur”). The Hickman facility operates a temper mill and a cut-to-length line and the Decatur facility operates a stretcher leveler cut-to-length line. The equipment at both facilities improves the flatness and surface qualities of the coils and cuts the coils into sheet and plate of prescribed lengths. The Hickman facility is capable of cutting sheet and plate with thicknesses ranging from 14 gauge to ½” thick in widths ranging from 36” wide to 72” wide. The Decatur facility is capable of cutting sheet and plate with thicknesses ranging from 14 gauge to ½” thick in widths ranging from 36" wide to 96" wide. The coil product segment sells its prime grade inventory under the Friedman Industries name but also maintains an inventory of non-standard coil products, consisting primarily of mill secondary and excess prime coils, which are sold through the Company’s XSCP division. The coil product segment also processes customer-owned coils on a fee basis.</w:t>
      </w:r>
    </w:p>
    <w:p>
      <w:pPr>
        <w:spacing w:after="0" w:line="192" w:lineRule="exact"/>
        <w:rPr>
          <w:sz w:val="20"/>
          <w:szCs w:val="20"/>
          <w:color w:val="auto"/>
        </w:rPr>
      </w:pPr>
    </w:p>
    <w:p>
      <w:pPr>
        <w:jc w:val="both"/>
        <w:ind w:left="160" w:firstLine="450"/>
        <w:spacing w:after="0" w:line="261" w:lineRule="auto"/>
        <w:rPr>
          <w:sz w:val="20"/>
          <w:szCs w:val="20"/>
          <w:color w:val="auto"/>
        </w:rPr>
      </w:pPr>
      <w:r>
        <w:rPr>
          <w:rFonts w:ascii="Times New Roman" w:cs="Times New Roman" w:eastAsia="Times New Roman" w:hAnsi="Times New Roman"/>
          <w:sz w:val="18"/>
          <w:szCs w:val="18"/>
          <w:color w:val="auto"/>
        </w:rPr>
        <w:t>The Hickman and Decatur facilities are substantially similar with respect to products produced. The Company makes shipments of coil products based on which facility offers the desired product or, if the product is available at both facilities, based on other factors, such as customer location, freight conditions and the ability of the facility to fulfill the order on a timely basis. Coil products are sold on a wholesale, rapid-delivery basis in competition with other processors of hot-rolled steel coils. Shipments are made via unaffiliated truckers or by rail.</w:t>
      </w:r>
    </w:p>
    <w:p>
      <w:pPr>
        <w:spacing w:after="0" w:line="180" w:lineRule="exact"/>
        <w:rPr>
          <w:sz w:val="20"/>
          <w:szCs w:val="20"/>
          <w:color w:val="auto"/>
        </w:rPr>
      </w:pPr>
    </w:p>
    <w:p>
      <w:pPr>
        <w:jc w:val="both"/>
        <w:ind w:left="160" w:firstLine="450"/>
        <w:spacing w:after="0" w:line="256" w:lineRule="auto"/>
        <w:rPr>
          <w:sz w:val="20"/>
          <w:szCs w:val="20"/>
          <w:color w:val="auto"/>
        </w:rPr>
      </w:pPr>
      <w:r>
        <w:rPr>
          <w:rFonts w:ascii="Times New Roman" w:cs="Times New Roman" w:eastAsia="Times New Roman" w:hAnsi="Times New Roman"/>
          <w:sz w:val="18"/>
          <w:szCs w:val="18"/>
          <w:color w:val="auto"/>
        </w:rPr>
        <w:t>On May 25, 2021, the Company announced plans for a new facility in Sinton, Texas that will be part of the coil product segment. The new facility is on the campus of Steel Dynamics, Inc.'s ("SDI") new flat roll steel mill in Sinton, Texas. The Company's new location consists of an approximately 70,000 square foot building located on approximately 26.5 acres leased from SDI under a 99-year agreement. The Company contracted with Red Bud Industries to build one of the world’s largest stretcher leveler cut-to-length lines, capable of handling material up to 1” thick, widths up to 96” and yields exceeding 100,000 psi. The Company expects the equipment commissioning to occur during August 2022 and September 2022 and then expects expanded production levels beginning in October 2022. The total cost of the project is estimated to be $21 million.</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coil segment purchases its inventory from a limited number of suppliers. Loss of any of these suppliers could have a material adverse effect on the Company’s business.</w:t>
      </w:r>
    </w:p>
    <w:p>
      <w:pPr>
        <w:spacing w:after="0" w:line="162"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 sells coil products and processing services to approximately 230 customers located primarily in the midwestern, southwestern and southeastern regions of the United States. The Company’s principal customers for these products and services are steel distributors and customers manufacturing steel products such as steel buildings, railroad cars, barges, tanks and containers, trailers, component parts and other fabricated steel products.</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Tubular Products</w:t>
      </w:r>
    </w:p>
    <w:p>
      <w:pPr>
        <w:spacing w:after="0" w:line="227" w:lineRule="exact"/>
        <w:rPr>
          <w:sz w:val="20"/>
          <w:szCs w:val="20"/>
          <w:color w:val="auto"/>
        </w:rPr>
      </w:pPr>
    </w:p>
    <w:p>
      <w:pPr>
        <w:ind w:left="160" w:right="20" w:firstLine="324"/>
        <w:spacing w:after="0" w:line="255" w:lineRule="auto"/>
        <w:rPr>
          <w:sz w:val="20"/>
          <w:szCs w:val="20"/>
          <w:color w:val="auto"/>
        </w:rPr>
      </w:pPr>
      <w:r>
        <w:rPr>
          <w:rFonts w:ascii="Times New Roman" w:cs="Times New Roman" w:eastAsia="Times New Roman" w:hAnsi="Times New Roman"/>
          <w:sz w:val="18"/>
          <w:szCs w:val="18"/>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 pipe finishing facility capable of applying threads and couplings to oil country tubular goods and performing other services that are customary in the pipe finishing process. The pipe finishing facility is currently idled. TTP’s inventory consists of raw materials and finished goods. Raw material inventory consists of hot-rolled steel coils that TTP will manufacture into pipe. Finished goods inventory consists of pipe TTP has manufactured and mill reject pipe that TTP purchased from U.S. Steel Tubular Products, Inc.</w:t>
      </w:r>
    </w:p>
    <w:p>
      <w:pPr>
        <w:spacing w:after="0" w:line="18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Company sells its tubular products nationally to approximately 110 customers. The Company’s principal customers for these products are steel and pipe distributors.</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TTP purchases its inventory from a limited number of suppliers. Loss of any of these suppliers could have a material adverse effect on the Company’s business.</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Significant financial information relating to the Company’s two product groups, coil and tubular products, is contained in Note 13 of the Notes to the Company’s Consolidated Financial Statements appearing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618" w:name="page619"/>
    <w:bookmarkEnd w:id="618"/>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6640" w:type="dxa"/>
            <w:vAlign w:val="bottom"/>
            <w:gridSpan w:val="9"/>
          </w:tcPr>
          <w:p>
            <w:pPr>
              <w:jc w:val="right"/>
              <w:ind w:right="420"/>
              <w:spacing w:after="0"/>
              <w:rPr>
                <w:sz w:val="20"/>
                <w:szCs w:val="20"/>
                <w:color w:val="auto"/>
              </w:rPr>
            </w:pPr>
            <w:r>
              <w:rPr>
                <w:rFonts w:ascii="Times New Roman" w:cs="Times New Roman" w:eastAsia="Times New Roman" w:hAnsi="Times New Roman"/>
                <w:sz w:val="18"/>
                <w:szCs w:val="18"/>
                <w:color w:val="auto"/>
              </w:rPr>
              <w:t>RANGE OF HIGH AND LOW SALES PRICES OF COMMON STOCK</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20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Low</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Low</w:t>
            </w:r>
          </w:p>
        </w:tc>
        <w:tc>
          <w:tcPr>
            <w:tcW w:w="100" w:type="dxa"/>
            <w:vAlign w:val="bottom"/>
          </w:tcPr>
          <w:p>
            <w:pPr>
              <w:spacing w:after="0"/>
              <w:rPr>
                <w:sz w:val="18"/>
                <w:szCs w:val="18"/>
                <w:color w:val="auto"/>
              </w:rPr>
            </w:pPr>
          </w:p>
        </w:tc>
      </w:tr>
      <w:tr>
        <w:trPr>
          <w:trHeight w:val="20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4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15.63</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5.44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14.36</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w:t>
            </w:r>
          </w:p>
        </w:tc>
        <w:tc>
          <w:tcPr>
            <w:tcW w:w="220" w:type="dxa"/>
            <w:vAlign w:val="bottom"/>
          </w:tcPr>
          <w:p>
            <w:pPr>
              <w:spacing w:after="0"/>
              <w:rPr>
                <w:sz w:val="18"/>
                <w:szCs w:val="18"/>
                <w:color w:val="auto"/>
              </w:rPr>
            </w:pP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6.50</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14.83</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7.30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w:t>
            </w: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12.00</w:t>
            </w: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w:t>
            </w:r>
          </w:p>
        </w:tc>
        <w:tc>
          <w:tcPr>
            <w:tcW w:w="220" w:type="dxa"/>
            <w:vAlign w:val="bottom"/>
          </w:tcPr>
          <w:p>
            <w:pPr>
              <w:spacing w:after="0"/>
              <w:rPr>
                <w:sz w:val="20"/>
                <w:szCs w:val="20"/>
                <w:color w:val="auto"/>
              </w:rPr>
            </w:pPr>
          </w:p>
        </w:tc>
        <w:tc>
          <w:tcPr>
            <w:tcW w:w="1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9.90</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r>
      <w:tr>
        <w:trPr>
          <w:trHeight w:val="198"/>
        </w:trPr>
        <w:tc>
          <w:tcPr>
            <w:tcW w:w="20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381000</wp:posOffset>
            </wp:positionV>
            <wp:extent cx="10629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6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CASH DIVIDENDS DECLARED PER SHARE OF COMMON STOCK</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Fiscal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100" w:type="dxa"/>
            <w:vAlign w:val="bottom"/>
          </w:tcPr>
          <w:p>
            <w:pPr>
              <w:spacing w:after="0"/>
              <w:rPr>
                <w:sz w:val="24"/>
                <w:szCs w:val="24"/>
                <w:color w:val="auto"/>
              </w:rPr>
            </w:pPr>
          </w:p>
        </w:tc>
      </w:tr>
      <w:tr>
        <w:trPr>
          <w:trHeight w:val="20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6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125730</wp:posOffset>
            </wp:positionV>
            <wp:extent cx="10629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Common Stock is traded principally on the NYSE American (trading symbol FRD).</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approximate number of shareholders of record of Common Stock of the Company as of April 29, 2022 was 175. Because many of the Company’s common shares are held by brokers and other institutions on behalf of shareholders, the Company is unable to estimate the total number of individual shareholders represented by these record 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619" w:name="page620"/>
    <w:bookmarkEnd w:id="619"/>
    <w:p>
      <w:pPr>
        <w:spacing w:after="0"/>
        <w:rPr>
          <w:sz w:val="20"/>
          <w:szCs w:val="20"/>
          <w:color w:val="auto"/>
        </w:rPr>
      </w:pPr>
      <w:r>
        <w:rPr>
          <w:rFonts w:ascii="Times New Roman" w:cs="Times New Roman" w:eastAsia="Times New Roman" w:hAnsi="Times New Roman"/>
          <w:sz w:val="32"/>
          <w:szCs w:val="32"/>
          <w:b w:val="1"/>
          <w:bCs w:val="1"/>
          <w:color w:val="auto"/>
        </w:rPr>
        <w:t>CONSOLIDATED BALANCE SHEETS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ASSETS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2,598,102</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8,191,001</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for bad debts and cash discounts of $99,819 and $32,834 at</w:t>
            </w:r>
          </w:p>
        </w:tc>
        <w:tc>
          <w:tcPr>
            <w:tcW w:w="3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35,670,657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March 31, 2022 and 2021, respectively</w:t>
            </w:r>
          </w:p>
        </w:tc>
        <w:tc>
          <w:tcPr>
            <w:tcW w:w="3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20,377,967</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67,946,122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36,016,093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4,240,740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622,400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14,906,194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12,327,174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125,361,815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77,534,635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1,179,831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1,179,831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Buildings and yard improvements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8,581,676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9,199,704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30,422,066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35,253,000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Construction in process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15,925,306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(26,002,820)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(30,180,893)</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30,106,059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15,461,256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value of officers’ life insurance and other assets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270,416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148,494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2,133,295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1,864,424</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1,403,485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159,275,070</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95,008,809</w:t>
            </w:r>
          </w:p>
        </w:tc>
        <w:tc>
          <w:tcPr>
            <w:tcW w:w="0" w:type="dxa"/>
            <w:vAlign w:val="bottom"/>
          </w:tcPr>
          <w:p>
            <w:pPr>
              <w:spacing w:after="0"/>
              <w:rPr>
                <w:sz w:val="1"/>
                <w:szCs w:val="1"/>
                <w:color w:val="auto"/>
              </w:rPr>
            </w:pPr>
          </w:p>
        </w:tc>
      </w:tr>
      <w:tr>
        <w:trPr>
          <w:trHeight w:val="578"/>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32"/>
                <w:szCs w:val="32"/>
                <w:b w:val="1"/>
                <w:bCs w:val="1"/>
                <w:color w:val="auto"/>
              </w:rPr>
              <w:t>LIABILITIES AND STOCKHOLDERS’ EQUITY</w:t>
            </w: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44,803,602</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15,185,038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1,455,099</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137,120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Contribution to retirement plan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1,085,676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2,643,538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financing lease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104,689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102,689</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derivative liability</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14,429,520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7,979,380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Paycheck Protection Program loan</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60,810,607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29,072,271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119,591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108,609</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221,767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315,978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ASSET BASED LENDING FACILITY</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18,436,457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PORTION OF PAYCHECK PROTECTION PROGRAM LOAN</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79,588,422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29,668,833</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5 AND NOTE 11)</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par value $1:</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Authorized shares — 10,000,000</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Issued shares — 8,344,975 shares and 8,334,785 shares at March 31, 2022 and 2021, respectively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8,344,975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8,334,785</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30,442,361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30,003,462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(10,268,509)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(11,187,841)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at cost (1,488,966 shares and 1,435,248 shares at March 31, 2022 and 2021, respectively)</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(7,741,197)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(7,203,342)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58,909,018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45,392,912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79,686,648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65,339,976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159,275,070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95,008,809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20" w:name="page621"/>
    <w:bookmarkEnd w:id="620"/>
    <w:p>
      <w:pPr>
        <w:spacing w:after="0"/>
        <w:rPr>
          <w:sz w:val="20"/>
          <w:szCs w:val="20"/>
          <w:color w:val="auto"/>
        </w:rPr>
      </w:pPr>
      <w:r>
        <w:rPr>
          <w:rFonts w:ascii="Times New Roman" w:cs="Times New Roman" w:eastAsia="Times New Roman" w:hAnsi="Times New Roman"/>
          <w:sz w:val="32"/>
          <w:szCs w:val="32"/>
          <w:b w:val="1"/>
          <w:bCs w:val="1"/>
          <w:color w:val="auto"/>
        </w:rPr>
        <w:t>CONSOLIDATED STATEMENTS OF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March 31,</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285,234,752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126,102,533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products sold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244,247,474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102,517,335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12,467,366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7,835,184</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255,320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256,970,160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110,377,138</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EARNINGS FROM OPERATIONS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28,264,592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15,725,395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(9,934,034)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(503,422)</w:t>
            </w: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18,330,558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15,221,973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4,825,975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2,459,009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(561,739</w:t>
            </w: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1,338,489</w:t>
            </w:r>
          </w:p>
        </w:tc>
      </w:tr>
      <w:tr>
        <w:trPr>
          <w:trHeight w:val="209"/>
        </w:trPr>
        <w:tc>
          <w:tcPr>
            <w:tcW w:w="80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4,264,236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3,797,498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14,066,322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11,424,475</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6,623,769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6,703,654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6,623,769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6,703,654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share: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38"/>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CONSOLIDATED STATEMENTS OF COMPREHENSIVE INCOME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March 31,</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14,066,322</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11,424,475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919,332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(11,187,841)</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919,332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(11,187,841)</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14,985,654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236,634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621" w:name="page622"/>
    <w:bookmarkEnd w:id="621"/>
    <w:p>
      <w:pPr>
        <w:spacing w:after="0"/>
        <w:rPr>
          <w:sz w:val="20"/>
          <w:szCs w:val="20"/>
          <w:color w:val="auto"/>
        </w:rPr>
      </w:pPr>
      <w:r>
        <w:rPr>
          <w:rFonts w:ascii="Times New Roman" w:cs="Times New Roman" w:eastAsia="Times New Roman" w:hAnsi="Times New Roman"/>
          <w:sz w:val="32"/>
          <w:szCs w:val="32"/>
          <w:b w:val="1"/>
          <w:bCs w:val="1"/>
          <w:color w:val="auto"/>
        </w:rPr>
        <w:t>CONSOLIDATED STATEMENTS OF STOCKHOLDERS’ EQUITY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6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BALANCE AT MARCH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8,295,160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29,565,416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(5,525,964)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34,530,755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66,865,367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11,424,475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11,424,475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(11,187,841)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(11,187,841)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Grants of restricted stock</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39,625</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527,671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527,671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(1,727,378)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(1,727,378)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($0.08 per share)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(562,318)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(562,318)</w:t>
            </w:r>
          </w:p>
        </w:tc>
        <w:tc>
          <w:tcPr>
            <w:tcW w:w="0" w:type="dxa"/>
            <w:vAlign w:val="bottom"/>
          </w:tcPr>
          <w:p>
            <w:pPr>
              <w:spacing w:after="0"/>
              <w:rPr>
                <w:sz w:val="1"/>
                <w:szCs w:val="1"/>
                <w:color w:val="auto"/>
              </w:rPr>
            </w:pPr>
          </w:p>
        </w:tc>
      </w:tr>
      <w:tr>
        <w:trPr>
          <w:trHeight w:val="20"/>
        </w:trPr>
        <w:tc>
          <w:tcPr>
            <w:tcW w:w="3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BALANCE AT MARCH 31,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8,334,785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(11,187,841)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30,003,462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(7,203,342)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45,392,912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65,339,976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14,066,322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14,066,322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919,332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919,332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of restricted stock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10,190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 – restricted stock units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449,089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449,089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(537,855)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(537,855)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($0.08 per share)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(550,216)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(550,216)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280" w:type="dxa"/>
            <w:vAlign w:val="bottom"/>
            <w:shd w:val="clear" w:color="auto" w:fill="CCEEFF"/>
          </w:tcPr>
          <w:p>
            <w:pPr>
              <w:ind w:left="660"/>
              <w:spacing w:after="0" w:line="188"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8,344,975</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(10,268,509)</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30,442,361</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(7,741,197)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58,909,018</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79,686,648</w:t>
            </w:r>
          </w:p>
        </w:tc>
        <w:tc>
          <w:tcPr>
            <w:tcW w:w="0" w:type="dxa"/>
            <w:vAlign w:val="bottom"/>
          </w:tcPr>
          <w:p>
            <w:pPr>
              <w:spacing w:after="0"/>
              <w:rPr>
                <w:sz w:val="1"/>
                <w:szCs w:val="1"/>
                <w:color w:val="auto"/>
              </w:rPr>
            </w:pPr>
          </w:p>
        </w:tc>
      </w:tr>
      <w:tr>
        <w:trPr>
          <w:trHeight w:val="218"/>
        </w:trPr>
        <w:tc>
          <w:tcPr>
            <w:tcW w:w="3280" w:type="dxa"/>
            <w:vAlign w:val="bottom"/>
            <w:shd w:val="clear" w:color="auto" w:fill="CCEEFF"/>
          </w:tcPr>
          <w:p>
            <w:pPr>
              <w:ind w:left="66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622" w:name="page623"/>
    <w:bookmarkEnd w:id="622"/>
    <w:p>
      <w:pPr>
        <w:ind w:left="40"/>
        <w:spacing w:after="0"/>
        <w:rPr>
          <w:sz w:val="20"/>
          <w:szCs w:val="20"/>
          <w:color w:val="auto"/>
        </w:rPr>
      </w:pPr>
      <w:r>
        <w:rPr>
          <w:rFonts w:ascii="Times New Roman" w:cs="Times New Roman" w:eastAsia="Times New Roman" w:hAnsi="Times New Roman"/>
          <w:sz w:val="32"/>
          <w:szCs w:val="32"/>
          <w:b w:val="1"/>
          <w:bCs w:val="1"/>
          <w:color w:val="auto"/>
        </w:rPr>
        <w:t>CONSOLIDATED STATEMENTS OF CASH FLOWS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Year Ended March 31,</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earnings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14,066,322</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11,424,475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1,320,434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1,012,917</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(561,739)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1,338,489</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Compensation expense for restricted stock</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449,089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527,671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post-retirement benefits other than pensions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8,745</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Lower of cost or net realizable value inventory adjustment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274,093</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recognized on open derivatives not designated for hedge accounting</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realized gain (loss) on derivatives designated for hedge accounting</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1,342,520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(6,843,140)</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Forgiveness of Paycheck Protection Program Loan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(1,706,614)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(15,292,690)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(8,672,623)</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(31,930,029)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(621,943)</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Federal income taxes recoverable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(1,403,485)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448,665</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(123,890)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454,489</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22,027,802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5,386,439</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(1,455,099)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1,455,099</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Employee compensation and related expenses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(1,557,862)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2,233,760</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Contribution to retirement plan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(13,397,759)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8,426,886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(8,064,599)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(4,609,617)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160,542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30,957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cash value of officers’ life insurance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(13,853)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(11,580)</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(7,917,910)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(4,590,240)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Paycheck Protection Program loan proceeds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1,690,385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(551,212)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(564,190)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principal portion of finance lease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(102,689)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(100,728)</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share repurchases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(537,855)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(1,727,378)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Asset based lending facility proceeds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18,436,457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17,244,701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(701,911)</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Increase (decrease) in cash and restricted cash</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(4,070,968</w:t>
            </w: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3,134,735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restricted cash at beginning of year</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20,192,486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17,057,751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restricted cash at end of year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16,121,518</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20,192,486</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and restricted cash at March 31, 2022 and March 30, 2021 included $13,523,416 and $12,001,485, respectively, of cash required to collateralize open derivative positions. These amounts are reported in "Other current assets" on the Company's consolidated balance sheets at March 31, 2022 and March 31, 2021.</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85725</wp:posOffset>
            </wp:positionV>
            <wp:extent cx="7132320"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795" w:right="339" w:bottom="1440" w:gutter="0" w:footer="0" w:header="0"/>
        </w:sectPr>
      </w:pPr>
    </w:p>
    <w:bookmarkStart w:id="623" w:name="page624"/>
    <w:bookmarkEnd w:id="623"/>
    <w:p>
      <w:pPr>
        <w:spacing w:after="0"/>
        <w:rPr>
          <w:sz w:val="20"/>
          <w:szCs w:val="20"/>
          <w:color w:val="auto"/>
        </w:rPr>
      </w:pPr>
      <w:r>
        <w:rPr>
          <w:rFonts w:ascii="Times New Roman" w:cs="Times New Roman" w:eastAsia="Times New Roman" w:hAnsi="Times New Roman"/>
          <w:sz w:val="32"/>
          <w:szCs w:val="32"/>
          <w:b w:val="1"/>
          <w:bCs w:val="1"/>
          <w:color w:val="auto"/>
        </w:rPr>
        <w:t>NOTES TO CONSOLIDATED FINANCIAL STATEMENTS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5"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The consolidated financial statements include the accounts of Friedman Industries, Incorporated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(collectively, the “Company”). All material intercompany amounts and transactions have been eliminated.</w:t>
      </w:r>
    </w:p>
    <w:p>
      <w:pPr>
        <w:spacing w:after="0" w:line="155"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Revenue is generated primarily from contracts to manufacture or process steel products and is recognized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obligations are complete. Generally, the Company’s performance obligations are satisfied, control of our products is transferred, and revenue is recognized at a single point in time, when title transfers to our customer for product shipped or when services are provided. Revenue is recorded in an amount that reflects the consideration expected to be received in exchange for those goods or services. SeeNote 14 for further information.</w:t>
      </w:r>
    </w:p>
    <w:p>
      <w:pPr>
        <w:spacing w:after="0" w:line="176"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TRADE RECEIVABLES: </w:t>
      </w:r>
      <w:r>
        <w:rPr>
          <w:rFonts w:ascii="Times New Roman" w:cs="Times New Roman" w:eastAsia="Times New Roman" w:hAnsi="Times New Roman"/>
          <w:sz w:val="18"/>
          <w:szCs w:val="18"/>
          <w:color w:val="auto"/>
        </w:rPr>
        <w:t>The Company’s receivables are recorded when billed, advanced or accrued and represent claims against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will be settled in cash. The carrying value of the Company’s receivables, net of the allowance for doubtful accounts and cash discounts allowed, represents their estimated net realizable value. The Company estimates its allowance for doubtful accounts based on historical collection trends, the age of outstanding receivables and existing economic conditions. Trade receivables are generally considered past due after 30 days from invoice date. Past-due receivable balances are written-off when the Company’s internal collection efforts have been unsuccessful in collecting the amount due. The balance of the Company’s allowance for doubtful accounts was $84,819 and $17,834 at March 31, 2022 and March 31, 2021, respectively.</w:t>
      </w:r>
    </w:p>
    <w:p>
      <w:pPr>
        <w:spacing w:after="0" w:line="182"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consist of prime coil, non-standard coil and tubular materials. Prime coil inventory consists primarily of raw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non-standard coil inventory consists primarily of raw materials and tubular inventory consists of both raw materials and finished goods. Cost for prime coil inventory is determined using the average cost method. Cost for non-standard coil inventory is determined using the specific identification method. Cost for tubular inventory is determined using the average cost method. All inventories are valued at the lower of cost or net realizable value. The Company did not have any lower of cost or net realizable value adjustments during fiscal 2022. During the first quarter of fiscal 2021, tubular finished goods inventory was written down $274,093 to lower the carrying value to net realizable value. Obsolete or slow-moving inventories are not significant based on the Company’s review of inventories. Accordingly, no allowance has been provided for such items.</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inventory by product group:</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 coil inventory</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50,482,022</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23,079,012</w:t>
            </w:r>
          </w:p>
        </w:tc>
      </w:tr>
      <w:tr>
        <w:trPr>
          <w:trHeight w:val="216"/>
        </w:trPr>
        <w:tc>
          <w:tcPr>
            <w:tcW w:w="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Non-standard coil inventory</w:t>
            </w: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1,063,374</w:t>
            </w: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1,419,055</w:t>
            </w:r>
          </w:p>
        </w:tc>
      </w:tr>
      <w:tr>
        <w:trPr>
          <w:trHeight w:val="216"/>
        </w:trPr>
        <w:tc>
          <w:tcPr>
            <w:tcW w:w="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Tubular raw material</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9,049,598</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2,607,197</w:t>
            </w:r>
          </w:p>
        </w:tc>
      </w:tr>
      <w:tr>
        <w:trPr>
          <w:trHeight w:val="216"/>
        </w:trPr>
        <w:tc>
          <w:tcPr>
            <w:tcW w:w="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Tubular finished goods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7,351,128</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8,910,829</w:t>
            </w:r>
          </w:p>
        </w:tc>
        <w:tc>
          <w:tcPr>
            <w:tcW w:w="100" w:type="dxa"/>
            <w:vAlign w:val="bottom"/>
          </w:tcPr>
          <w:p>
            <w:pPr>
              <w:spacing w:after="0"/>
              <w:rPr>
                <w:sz w:val="18"/>
                <w:szCs w:val="18"/>
                <w:color w:val="auto"/>
              </w:rPr>
            </w:pPr>
          </w:p>
        </w:tc>
      </w:tr>
      <w:tr>
        <w:trPr>
          <w:trHeight w:val="250"/>
        </w:trPr>
        <w:tc>
          <w:tcPr>
            <w:tcW w:w="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67,946,122</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36,016,093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Tubular raw material inventory consists of hot-rolled steel coils that the Company will manufacture into pipe. Tubular finished goods inventory consists of pipe the Company has manufactured and mill reject pipe that the Company purchased from U.S. Steel Tubular Products, Inc.</w:t>
      </w:r>
    </w:p>
    <w:p>
      <w:pPr>
        <w:spacing w:after="0" w:line="15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From time to time, the Company may use futures contracts to partially manage exposure to price risk.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elects hedge accounting for some of its derivatives. For derivatives designated for hedge accounting and classified as cash flow hedges, changes in fair value are recognized as a component of other comprehensive income and reclassified into earnings during the period in which the hedged transaction affects earnings. For derivatives designated for hedge accounting and classified as fair value hedges, changes in fair value are recognized in the same balance sheet line as the hedged item until the hedged item affects earnings. For derivatives where hedge accounting is not elected, changes in fair value are immediately recognized in earnings. The Company has forward physical purchase supply agreements in place for a portion of its monthly physical steel needs. These supply agreements are not subject to mark-to-market accounting due to the Company electing the normal purchase normal sales exclusion provided in Accounting Standards Codification 815 - Derivatives and Hedging. See Note 6 for further information about the Company's derivative instruments.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624" w:name="page625"/>
    <w:bookmarkEnd w:id="624"/>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is stated at cost. Depreciation is calculated primarily by the straight-line method over the estimated useful lives of the various classes of assets as follows:</w:t>
      </w:r>
    </w:p>
    <w:p>
      <w:pPr>
        <w:spacing w:after="0" w:line="17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(in years)</w:t>
            </w:r>
          </w:p>
        </w:tc>
        <w:tc>
          <w:tcPr>
            <w:tcW w:w="4060" w:type="dxa"/>
            <w:vAlign w:val="bottom"/>
            <w:shd w:val="clear" w:color="auto" w:fill="CCEEFF"/>
          </w:tcPr>
          <w:p>
            <w:pPr>
              <w:jc w:val="center"/>
              <w:ind w:left="255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 (in years)</w:t>
            </w:r>
          </w:p>
        </w:tc>
        <w:tc>
          <w:tcPr>
            <w:tcW w:w="4060" w:type="dxa"/>
            <w:vAlign w:val="bottom"/>
          </w:tcPr>
          <w:p>
            <w:pPr>
              <w:jc w:val="center"/>
              <w:ind w:left="2550"/>
              <w:spacing w:after="0"/>
              <w:rPr>
                <w:sz w:val="20"/>
                <w:szCs w:val="20"/>
                <w:color w:val="auto"/>
              </w:rPr>
            </w:pPr>
            <w:r>
              <w:rPr>
                <w:rFonts w:ascii="Times New Roman" w:cs="Times New Roman" w:eastAsia="Times New Roman" w:hAnsi="Times New Roman"/>
                <w:sz w:val="18"/>
                <w:szCs w:val="18"/>
                <w:color w:val="auto"/>
                <w:w w:val="98"/>
              </w:rPr>
              <w:t>10 to 15</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Yard improvements (in years)</w:t>
            </w:r>
          </w:p>
        </w:tc>
        <w:tc>
          <w:tcPr>
            <w:tcW w:w="4060" w:type="dxa"/>
            <w:vAlign w:val="bottom"/>
            <w:shd w:val="clear" w:color="auto" w:fill="CCEEFF"/>
          </w:tcPr>
          <w:p>
            <w:pPr>
              <w:jc w:val="center"/>
              <w:ind w:left="2550"/>
              <w:spacing w:after="0"/>
              <w:rPr>
                <w:sz w:val="20"/>
                <w:szCs w:val="20"/>
                <w:color w:val="auto"/>
              </w:rPr>
            </w:pPr>
            <w:r>
              <w:rPr>
                <w:rFonts w:ascii="Times New Roman" w:cs="Times New Roman" w:eastAsia="Times New Roman" w:hAnsi="Times New Roman"/>
                <w:sz w:val="18"/>
                <w:szCs w:val="18"/>
                <w:color w:val="auto"/>
                <w:w w:val="99"/>
              </w:rPr>
              <w:t>5 to 15</w:t>
            </w: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Loaders and other rolling stock (in years)</w:t>
            </w:r>
          </w:p>
        </w:tc>
        <w:tc>
          <w:tcPr>
            <w:tcW w:w="4060" w:type="dxa"/>
            <w:vAlign w:val="bottom"/>
          </w:tcPr>
          <w:p>
            <w:pPr>
              <w:jc w:val="center"/>
              <w:ind w:left="2550"/>
              <w:spacing w:after="0"/>
              <w:rPr>
                <w:sz w:val="20"/>
                <w:szCs w:val="20"/>
                <w:color w:val="auto"/>
              </w:rPr>
            </w:pPr>
            <w:r>
              <w:rPr>
                <w:rFonts w:ascii="Times New Roman" w:cs="Times New Roman" w:eastAsia="Times New Roman" w:hAnsi="Times New Roman"/>
                <w:sz w:val="18"/>
                <w:szCs w:val="18"/>
                <w:color w:val="auto"/>
                <w:w w:val="99"/>
              </w:rPr>
              <w:t>5 to 15</w:t>
            </w:r>
          </w:p>
        </w:tc>
      </w:tr>
    </w:tbl>
    <w:p>
      <w:pPr>
        <w:spacing w:after="0" w:line="17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their carrying amount may not be recoverable. The Company assesses recoverability by comparing the carrying amount of the asset or asset group to estimated undiscounted future cash flows expected to be generated by the asset or asset group. If an asset or asset group is considered impaired, the impairment loss to be recognized is measured as the amount by which the asset’s or asset group's carrying amount exceeds its estimated fair value. Long-lived assets to be disposed of by sale are reported at the lower of the carrying amount or fair value less cost to sell. The Company did not identify any indicators of impairment during fiscal 2022 or fiscal 2021.</w:t>
      </w:r>
    </w:p>
    <w:p>
      <w:pPr>
        <w:spacing w:after="0" w:line="18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When property, plant and equipment is sold or otherwise disposed of, any gains or losses are reflected in income. If a loss on disposal is expected, such losses are recognized when the assets are reclassified as assets held for sale.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Maintenance and repairs are expensed as incurred.</w:t>
      </w:r>
    </w:p>
    <w:p>
      <w:pPr>
        <w:spacing w:after="0" w:line="221"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PAYCHECK PROTECTION PROGRAM LOAN: </w:t>
      </w:r>
      <w:r>
        <w:rPr>
          <w:rFonts w:ascii="Times New Roman" w:cs="Times New Roman" w:eastAsia="Times New Roman" w:hAnsi="Times New Roman"/>
          <w:sz w:val="18"/>
          <w:szCs w:val="18"/>
          <w:color w:val="auto"/>
        </w:rPr>
        <w:t>During fiscal 2021, the Company received a Paycheck Protection Program loan ("PPP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as provided by the Coronavirus Aid, Relief and Economic Security Act ("CARES Act"). The Company accounted for the PPP Loan in accordance with Accounting Standards Codification 470 - Debt. The principal balance of the loan and accrued interest payable were recorded as liabilities on the Company's Consolidated Balance Sheet at March 31, 2021. During the first quarter of fiscal 2022, the Company was granted full forgiveness of the PPP Loan. The forgiven principal and accrued interest were recognized as a gain on extinguishment of debt and recorded in "Other income (loss), net" on the Company's Statement of Operations for fiscal 2022. See Note 3 for additional information about the PPP Loan.</w:t>
      </w:r>
    </w:p>
    <w:p>
      <w:pPr>
        <w:spacing w:after="0" w:line="182"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POSTRETIREMENT BENEFITS OTHER THAN PENSIONS: </w:t>
      </w:r>
      <w:r>
        <w:rPr>
          <w:rFonts w:ascii="Times New Roman" w:cs="Times New Roman" w:eastAsia="Times New Roman" w:hAnsi="Times New Roman"/>
          <w:sz w:val="18"/>
          <w:szCs w:val="18"/>
          <w:color w:val="auto"/>
        </w:rPr>
        <w:t>The Company maintains life insurance policies on each officer.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in its discretion, the Board of Directors of the Company has approved the transfer of the applicable policy to an officer upon their retirement. The Company’s accrued liability for these potential future transfers was $119,591 and $108,609 at March 31, 2022 and March 31, 2021, respectively. The transfer of a life insurance policy to an officer is a noncash transaction.</w:t>
      </w:r>
    </w:p>
    <w:p>
      <w:pPr>
        <w:spacing w:after="0" w:line="176" w:lineRule="exact"/>
        <w:rPr>
          <w:sz w:val="20"/>
          <w:szCs w:val="20"/>
          <w:color w:val="auto"/>
        </w:rPr>
      </w:pPr>
    </w:p>
    <w:p>
      <w:pPr>
        <w:ind w:left="440"/>
        <w:spacing w:after="0"/>
        <w:tabs>
          <w:tab w:leader="none" w:pos="2180" w:val="left"/>
        </w:tabs>
        <w:rPr>
          <w:sz w:val="20"/>
          <w:szCs w:val="20"/>
          <w:color w:val="auto"/>
        </w:rPr>
      </w:pPr>
      <w:r>
        <w:rPr>
          <w:rFonts w:ascii="Times New Roman" w:cs="Times New Roman" w:eastAsia="Times New Roman" w:hAnsi="Times New Roman"/>
          <w:sz w:val="18"/>
          <w:szCs w:val="18"/>
          <w:b w:val="1"/>
          <w:bCs w:val="1"/>
          <w:color w:val="auto"/>
        </w:rPr>
        <w:t>SHIPPING COSTS:</w:t>
      </w:r>
      <w:r>
        <w:rPr>
          <w:sz w:val="20"/>
          <w:szCs w:val="20"/>
          <w:color w:val="auto"/>
        </w:rPr>
        <w:tab/>
      </w:r>
      <w:r>
        <w:rPr>
          <w:rFonts w:ascii="Times New Roman" w:cs="Times New Roman" w:eastAsia="Times New Roman" w:hAnsi="Times New Roman"/>
          <w:sz w:val="17"/>
          <w:szCs w:val="17"/>
          <w:color w:val="auto"/>
        </w:rPr>
        <w:t>Sales are increased for freight billed to customers and freight costs are charged to cost of products sold.</w:t>
      </w:r>
    </w:p>
    <w:p>
      <w:pPr>
        <w:spacing w:after="0" w:line="225"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SUPPLEMENTAL CASH FLOW INFORMATION: </w:t>
      </w:r>
      <w:r>
        <w:rPr>
          <w:rFonts w:ascii="Times New Roman" w:cs="Times New Roman" w:eastAsia="Times New Roman" w:hAnsi="Times New Roman"/>
          <w:sz w:val="18"/>
          <w:szCs w:val="18"/>
          <w:color w:val="auto"/>
        </w:rPr>
        <w:t>The Company paid interest of approximately $213,000 and $8,000 in fiscal 2022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2021, respectively. The Company paid income taxes of approximately $8,347,000, net of a tax refund of approximately $423,000, in fiscal 2022 and paid income taxes of approximately $10,000 in fiscal 2021. At March 31, 2022, the "Construction in process" balance of $15,925,306 consisted of $8,081,524 in accrued capital expenditures related to the Sinton facility for which cash outlay had not occurred.</w:t>
      </w:r>
    </w:p>
    <w:p>
      <w:pPr>
        <w:spacing w:after="0" w:line="176"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accounts for income taxes under the liability method, whereby the Company recognizes deferred tax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which represent differences between the financial and income tax reporting bases of its assets and liabilities. Deferred tax assets and liabilities are determined based on temporary differences between income and expenses reported for financial reporting and tax reporting. The Company has assessed, using all available positive and negative evidences, the likelihood that the deferred tax assets will be recovered from future taxable income.</w:t>
      </w:r>
    </w:p>
    <w:p>
      <w:pPr>
        <w:spacing w:after="0" w:line="18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has also analyzed tax positions taken on tax returns filed and does not believe that any are more likely than not to be overturned by the respective tax jurisdiction. Therefore, no liability for uncertain tax positions has been recognized.</w:t>
      </w:r>
    </w:p>
    <w:p>
      <w:pPr>
        <w:spacing w:after="0" w:line="158"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generally accepted accounting principles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to make estimates and assumptions that affect the amounts reported in the consolidated financial statements and accompanying notes. The more significant estimates and judgements include forecasted purchases of hot-rolled coil and forecasted sales of prime coil inventory and manufactured pipe inventory in relation to hedging activities and the fair value of the pipe finishing facility, when impaired. From time to time, the Company hedges forecasted purchases and sales and may designate those transactions for hedge accounting. If the original forecasts are subsequently reduced, it could result in the Company’s hedged positions exceeding revised forecasts, thus warranting immediate recognition in earnings of previously deferred hedge income or losses associated with excess hedges. A pattern of missed forecasts could call into question the Company’s ability to accurately predict forecasted transactions and the propriety of using hedge accounting in the future for similar forecasted transactions. To mitigate against the negative consequences of missing forecasts we have set an internal policy to designate hedging instruments for accounting purposes only up to 75% of forecasted sales or purchases. Determination of forecasted purchases of hot-rolled coil and forecasted sales of prime coil inventory and manufactured pipe inventory require the Company to make assumptions related to customer demand and the volume and timing of inventory purchases. If impairment indicators are present, the pipe-finishing facility impairment analysis requires assumptions related to future operations of the facility and estimates related to the replacement cost and value in exchange for the assets. Actual results could differ from these estimates.</w:t>
      </w:r>
    </w:p>
    <w:p>
      <w:pPr>
        <w:spacing w:after="0" w:line="187" w:lineRule="exact"/>
        <w:rPr>
          <w:sz w:val="20"/>
          <w:szCs w:val="20"/>
          <w:color w:val="auto"/>
        </w:rPr>
      </w:pPr>
    </w:p>
    <w:p>
      <w:pPr>
        <w:jc w:val="both"/>
        <w:ind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color w:val="auto"/>
        </w:rPr>
        <w:t>Since the Company’s financial instruments are considered short-term in nature, their carrying values approximate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25" w:name="page626"/>
    <w:bookmarkEnd w:id="625"/>
    <w:p>
      <w:pPr>
        <w:jc w:val="both"/>
        <w:ind w:firstLine="44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EARNINGS PER SHARE: </w:t>
      </w:r>
      <w:r>
        <w:rPr>
          <w:rFonts w:ascii="Times New Roman" w:cs="Times New Roman" w:eastAsia="Times New Roman" w:hAnsi="Times New Roman"/>
          <w:sz w:val="18"/>
          <w:szCs w:val="18"/>
          <w:color w:val="auto"/>
        </w:rPr>
        <w:t>The Company uses the two-class method of calculating earnings per share, which determines earnings per share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class of common stock and participating security as if all earnings of the period had been distributed. As the holders of restricted stock are entitled to receive non-forfeitable dividends during the restriction period, unvested shares of restricted stock qualify as participating securities. Unvested restricted shares participate on an equal basis with common shares; therefore, there is no difference in undistributed earnings allocated to each participating security. Unvested restricted stock is forfeitable until earned and therefore not considered outstanding for basic earnings per share. Net income per basic common share is computed using the weighted average number of common shares outstanding during the period and net income attributable to common stockholders is adjusted to allocate dividends paid to unvested shares as well as undistributed earnings. Net income per diluted common share is computed using the weighted average number of common shares and participating securities outstanding during the period.</w:t>
      </w:r>
    </w:p>
    <w:p>
      <w:pPr>
        <w:spacing w:after="0" w:line="185"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ECONOMIC RELATIONSHIP: </w:t>
      </w:r>
      <w:r>
        <w:rPr>
          <w:rFonts w:ascii="Times New Roman" w:cs="Times New Roman" w:eastAsia="Times New Roman" w:hAnsi="Times New Roman"/>
          <w:sz w:val="18"/>
          <w:szCs w:val="18"/>
          <w:color w:val="auto"/>
        </w:rPr>
        <w:t>The Company purchases its inventory from a limited number of suppliers. Loss of any of these suppliers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material adverse effect on the Company. In March 2020, U.S. Steel announced the idling of their Lone Star Tubular Operations which was the sole supplier of mill reject pipe to the Company. U.S. Steel's facility was idled as announced and the Company's receipts of mill reject pipe ceased in August 2020. At March 31, 2022, we had approximately 1,200 tons of mill reject inventory with substantially all of this material expected to sell in the following quarter. For the fiscal year ended March 31, 2022, sales of mill reject pipe totaled approximately $10,312,000 and accounted for approximately $3,824,000 of the tubular segment's operating profit for the period with approximately $1,280,000 of allocated operating, administrative and selling expenses included in the calculation of operating profit related to mill reject pipe. For the fiscal year ended March 31, 2021, sales of mill reject pipe totaled approximately $5,284,000 and accounted for approximately $1,313,000 of the tubular segment's operating profit for the period with approximately $802,000 of allocated operating, administrative and selling expenses included in the calculation of operating profit related to mill reject pipe. The Company is expanding its manufactured pipe sales to counteract the impact of mill reject sales ending in the near future.</w:t>
      </w:r>
    </w:p>
    <w:p>
      <w:pPr>
        <w:spacing w:after="0" w:line="18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Coil segment sales to O'Neal Steel accounted for approximately 11% of total Company sales in fiscal 2022. No other customers accounted for 10% or more of total Company sales in fiscal 2022. For fiscal year 2021, no individual customer accounted for 10% or more of total Company sales.</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Company’s sales are concentrated primarily in the midwestern, southwestern, and southeastern regions of the United States and are primarily to customers in the steel distributing and fabricating industries. The Company performs periodic credit evaluations of the financial conditions of its customers and generally does not require collateral. Generally, receivables are due within 30 days.</w:t>
      </w:r>
    </w:p>
    <w:p>
      <w:pPr>
        <w:spacing w:after="0" w:line="172"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ACCOUNTING PRONOUNCEMENTS: </w:t>
      </w:r>
      <w:r>
        <w:rPr>
          <w:rFonts w:ascii="Times New Roman" w:cs="Times New Roman" w:eastAsia="Times New Roman" w:hAnsi="Times New Roman"/>
          <w:sz w:val="18"/>
          <w:szCs w:val="18"/>
          <w:color w:val="auto"/>
        </w:rPr>
        <w:t>In December 2019, the FASB issued Accounting Standards Update 2019-12, Income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(Topic 740): Simplifying the Accounting for Income Taxes (“ASU 2019-12”), which simplifies accounting for income taxes by revising or clarifying existing guidance in ASC 740, as well as removing certain exceptions within ASC 740. We adopted this guidance on April 1, 2021. The adoption of this guidance did not have a material impact on the Company's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26" w:name="page627"/>
    <w:bookmarkEnd w:id="626"/>
    <w:p>
      <w:pPr>
        <w:spacing w:after="0"/>
        <w:rPr>
          <w:sz w:val="20"/>
          <w:szCs w:val="20"/>
          <w:color w:val="auto"/>
        </w:rPr>
      </w:pPr>
      <w:r>
        <w:rPr>
          <w:rFonts w:ascii="Times New Roman" w:cs="Times New Roman" w:eastAsia="Times New Roman" w:hAnsi="Times New Roman"/>
          <w:sz w:val="18"/>
          <w:szCs w:val="18"/>
          <w:b w:val="1"/>
          <w:bCs w:val="1"/>
          <w:color w:val="auto"/>
        </w:rPr>
        <w:t>2. EQUITY COMPENSATION PLANS AND CAPITAL STOCK</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units ("RSUs") for the two years ended March 31, 2022:</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8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38"/>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Unvested at March 31, 2020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89,625(1)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Unvested at March 31, 2021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339,625</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(210,292)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Unvested at March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139,523</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50,000 shares were issued out of treasury stock</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measure compensation expense for RSUs at the market price of our common stock as of the grant date. Compensation expense is recognized over the requisite service period applicable to each award. The Company recorded compensation expense of $449,089 and $527,671 in fiscal 2022 and fiscal 2021, respectively, relating to the RSUs issued under the Plan.</w:t>
      </w:r>
    </w:p>
    <w:p>
      <w:pPr>
        <w:spacing w:after="0" w:line="176"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At March 31, 2022 and 2021 unrecognized compensation expense related to unvested RSUs was approximately $546,000 and $867,000, respectively, which is expected to be recognized over a weighted average period of approximately 2.2 years and 2.7 years,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2022, a total of 130,185 shares were still available to be issued under the Plan.</w:t>
      </w:r>
    </w:p>
    <w:p>
      <w:pPr>
        <w:spacing w:after="0" w:line="225"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 has 1,000,000 authorized shares of Cumulative Preferred Stock with a par value of $1 per share. The stock may be issued in one or more series, and the Board of Directors is authorized to fix the designations, preferences, rights, qualifications, limitations and restrictions of each series, except that any series must provide for cumulative dividends and must be convertible into Common Stock. There were no shares of Cumulative Preferred Stock issued as of March 31, 2022 or March 31, 2021.</w:t>
      </w:r>
    </w:p>
    <w:p>
      <w:pPr>
        <w:spacing w:after="0" w:line="180" w:lineRule="exact"/>
        <w:rPr>
          <w:sz w:val="20"/>
          <w:szCs w:val="20"/>
          <w:color w:val="auto"/>
        </w:rPr>
      </w:pPr>
    </w:p>
    <w:p>
      <w:pPr>
        <w:ind w:left="160" w:firstLine="414"/>
        <w:spacing w:after="0" w:line="282" w:lineRule="auto"/>
        <w:rPr>
          <w:sz w:val="20"/>
          <w:szCs w:val="20"/>
          <w:color w:val="auto"/>
        </w:rPr>
      </w:pPr>
      <w:r>
        <w:rPr>
          <w:rFonts w:ascii="Times New Roman" w:cs="Times New Roman" w:eastAsia="Times New Roman" w:hAnsi="Times New Roman"/>
          <w:sz w:val="18"/>
          <w:szCs w:val="18"/>
          <w:color w:val="auto"/>
        </w:rPr>
        <w:t>Effective June 25, 2020, our Board of Directors authorized the repurchase, for retirement, of up to 1,062,067 shares of our common stock in open-market transactions or otherwise.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fiscal year ended March 31, 2021, we repurchased 253,220 shares of our common stock for cash of approximately $1.7 million.</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Additionally, the Company acquired 6,312 shares as employee withholding taxes paid on vested restricted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627" w:name="page628"/>
    <w:bookmarkEnd w:id="627"/>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229" w:lineRule="exact"/>
        <w:rPr>
          <w:sz w:val="20"/>
          <w:szCs w:val="20"/>
          <w:color w:val="auto"/>
        </w:rPr>
      </w:pPr>
    </w:p>
    <w:p>
      <w:pPr>
        <w:jc w:val="both"/>
        <w:ind w:left="160" w:firstLine="486"/>
        <w:spacing w:after="0" w:line="253" w:lineRule="auto"/>
        <w:rPr>
          <w:sz w:val="20"/>
          <w:szCs w:val="20"/>
          <w:color w:val="auto"/>
        </w:rPr>
      </w:pPr>
      <w:r>
        <w:rPr>
          <w:rFonts w:ascii="Times New Roman" w:cs="Times New Roman" w:eastAsia="Times New Roman" w:hAnsi="Times New Roman"/>
          <w:sz w:val="18"/>
          <w:szCs w:val="18"/>
          <w:color w:val="auto"/>
        </w:rPr>
        <w:t>In April 2020, the Company received a $1,690,385 loan (the “PPP Loan”) from JPMorgan Chase Bank, N.A. (the “Bank”), under the Paycheck Protection Program, which was established under the Coronavirus Aid, Relief, and Economic Security Act (“CARES Act”), as modified by the Paycheck Protection Flexibility Act of 2020 (the “PPP Flexibility Act”). Pursuant to the terms of the CARES Act, the PPP Loan was eligible for forgiveness by the Small Business Administration ("SBA"), if and to the extent that the Company satisfied certain requirements. The term of the PPP Loan was two years from the funding date of the PPP Loan. The interest rate on the PPP Loan was 0.98%. Under the terms of the PPP Loan, interest accrued from the funding date of the PPP Loan but payment of both principal and interest was initially deferred for six months and then deferred further while forgiveness was considered. At March 31, 2021, the principal balance of the loan and accrued interest payable were recorded as liabilities on the Company’s Consolidated Balance Sheet. The Company submitted an application for forgiveness of the PPP Loan on April 21, 2021 and received notification on June 22, 2021 that full forgiveness of the loan was authorized by the SBA. The gain of $1,706,614 from this extinguishment of debt included both principal and interest and is recorded as a component of "Other income (loss), net" on the Company's Consolidated Statement of Operations for fiscal 2022.</w:t>
      </w:r>
    </w:p>
    <w:p>
      <w:pPr>
        <w:spacing w:after="0" w:line="194" w:lineRule="exact"/>
        <w:rPr>
          <w:sz w:val="20"/>
          <w:szCs w:val="20"/>
          <w:color w:val="auto"/>
        </w:rPr>
      </w:pPr>
    </w:p>
    <w:p>
      <w:pPr>
        <w:jc w:val="both"/>
        <w:ind w:left="160" w:firstLine="450"/>
        <w:spacing w:after="0" w:line="252"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providing for a $10 million revolving line of credit facility (the "Interim Credit Facility) with JPMorgan Chase Bank, N.A. (the "Bank"). The term of the Interim Credit Facility had an expiration date of July 15, 2021 because the Company was evaluating options for longer term credit arrangements. On April 12, 2021, the Company executed a first amendment to the Interim Credit Facility that increased the size of the facility from $10 million to $20 million. On May 19, 2021, the Company entered into an Amended and Restated Credit Agreement ("ABL Facility") with the Bank that amends and restates the Interim Credit Facility and provides for asset-based revolving loans in an aggregate principal amount up to $40 million. On March 11, 2022, the Company executed a first amendment to the ABL Facility which increased the size of the facility from $40 million to $75 million. The ABL Facility matures on May 19, 2026 and is secured by substantially all of the assets of the Company. The Company can elect borrowing on a floating rate basis or a term basis. Floating rate borrowings accrue interest at a rate equal to the prime rate per annum. Term rate borrowings accrue interest at a rate equal to the SOFR rate applicable to the selected term plus 1.8% per annum. Availability of funds under the ABL Facility is subject to a borrowing base calculation determined as the sum of (a) 85% of eligible accounts receivable, plus (b) the product of 85% multiplied by the net orderly liquidating value percentage identified in the most recent inventory appraisal multiplied by eligible inventory. The ABL Facility contains a financial covenant restricting the Company from allowing its fixed charge coverage ratio to be, as of the end of any calendar month, less than 1.10 to 1.00 for the trailing twelve month period then ending. The fixed charge coverage ratio is calculated as the ratio of</w:t>
      </w:r>
    </w:p>
    <w:p>
      <w:pPr>
        <w:spacing w:after="0" w:line="1" w:lineRule="exact"/>
        <w:rPr>
          <w:sz w:val="20"/>
          <w:szCs w:val="20"/>
          <w:color w:val="auto"/>
        </w:rPr>
      </w:pPr>
    </w:p>
    <w:p>
      <w:pPr>
        <w:jc w:val="both"/>
        <w:ind w:left="160" w:hanging="8"/>
        <w:spacing w:after="0" w:line="251" w:lineRule="auto"/>
        <w:tabs>
          <w:tab w:leader="none" w:pos="419"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$10 million, in minimum increments of $5 million. At March 31, 2022, the Company had a balance of $18,436,457 under the ABL Facility with an applicable interest rate of 2.72%. At March 31, 2022, the Company's borrowing base calculation provided access to approximately $68.4 million of the ABL Facility and the Company was in compliance with all covenants related to the ABL Facility. The ABL Facility was amended subsequent to fiscal year-end with additional information about the amendments located in Note 15.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28" w:name="page629"/>
    <w:bookmarkEnd w:id="628"/>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Company’s lease of its office space in Longview, Texas is the only operating lease included in the Company's right-of-use ("ROU") asset and lease liability. The lease calls for monthly rent payments of $4,878 and expires on April 30, 2024. The Company’s other operating leases for items such as IT equipment and storage space are either short-term in nature or immaterial.</w:t>
      </w:r>
    </w:p>
    <w:p>
      <w:pPr>
        <w:spacing w:after="0" w:line="176"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 October 2019, the Company received a new heavy-duty forklift under a 5-year finance lease arrangement with a financed amount of $518,616 and a monthly payment of $9,074.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expense related to leases were as follows for the twelve months ended March 31, 2022 and March 31, 2021,</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Twelve Months</w:t>
            </w: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Twelve Months</w:t>
            </w:r>
          </w:p>
        </w:tc>
      </w:tr>
      <w:tr>
        <w:trPr>
          <w:trHeight w:val="216"/>
        </w:trPr>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38"/>
        </w:trPr>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ROU asset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100,728</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liability</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8,164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58,536</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56,286</w:t>
            </w:r>
          </w:p>
        </w:tc>
      </w:tr>
      <w:tr>
        <w:trPr>
          <w:trHeight w:val="20"/>
        </w:trPr>
        <w:tc>
          <w:tcPr>
            <w:tcW w:w="5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167,427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165,178</w:t>
            </w:r>
          </w:p>
        </w:tc>
      </w:tr>
      <w:tr>
        <w:trPr>
          <w:trHeight w:val="20"/>
        </w:trPr>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illustrates the balance sheet classification for ROU assets and lease liabilities as of March 31, 2022 and March 31, 2021:</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Classification</w:t>
            </w: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r>
      <w:tr>
        <w:trPr>
          <w:trHeight w:val="216"/>
        </w:trPr>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113,168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4,850</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Other assets</w:t>
            </w:r>
          </w:p>
        </w:tc>
      </w:tr>
      <w:tr>
        <w:trPr>
          <w:trHeight w:val="216"/>
        </w:trPr>
        <w:tc>
          <w:tcPr>
            <w:tcW w:w="3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 right-of-use asset</w:t>
            </w:r>
          </w:p>
        </w:tc>
        <w:tc>
          <w:tcPr>
            <w:tcW w:w="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455,948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481,880</w:t>
            </w:r>
          </w:p>
        </w:tc>
        <w:tc>
          <w:tcPr>
            <w:tcW w:w="80" w:type="dxa"/>
            <w:vAlign w:val="bottom"/>
            <w:tcBorders>
              <w:bottom w:val="single" w:sz="8" w:color="CCEEFF"/>
            </w:tcBorders>
            <w:shd w:val="clear" w:color="auto" w:fill="CCEEFF"/>
          </w:tcPr>
          <w:p>
            <w:pPr>
              <w:spacing w:after="0"/>
              <w:rPr>
                <w:sz w:val="18"/>
                <w:szCs w:val="18"/>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Property, plant &amp; equipment</w:t>
            </w:r>
          </w:p>
        </w:tc>
      </w:tr>
      <w:tr>
        <w:trPr>
          <w:trHeight w:val="210"/>
        </w:trPr>
        <w:tc>
          <w:tcPr>
            <w:tcW w:w="36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right-of-use assets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569,116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486,730</w:t>
            </w:r>
          </w:p>
        </w:tc>
        <w:tc>
          <w:tcPr>
            <w:tcW w:w="254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3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shd w:val="clear" w:color="auto" w:fill="CCEEFF"/>
          </w:tcPr>
          <w:p>
            <w:pPr>
              <w:spacing w:after="0"/>
              <w:rPr>
                <w:sz w:val="17"/>
                <w:szCs w:val="17"/>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52,270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4,850</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r>
      <w:tr>
        <w:trPr>
          <w:trHeight w:val="216"/>
        </w:trPr>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102,689</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Current portion of finance lease</w:t>
            </w:r>
          </w:p>
        </w:tc>
      </w:tr>
      <w:tr>
        <w:trPr>
          <w:trHeight w:val="216"/>
        </w:trPr>
        <w:tc>
          <w:tcPr>
            <w:tcW w:w="3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60,898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216"/>
        </w:trPr>
        <w:tc>
          <w:tcPr>
            <w:tcW w:w="3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lease liability, non-current</w:t>
            </w: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160,869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265,557</w:t>
            </w:r>
          </w:p>
        </w:tc>
        <w:tc>
          <w:tcPr>
            <w:tcW w:w="8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non-current liabilities</w:t>
            </w:r>
          </w:p>
        </w:tc>
      </w:tr>
      <w:tr>
        <w:trPr>
          <w:trHeight w:val="230"/>
        </w:trPr>
        <w:tc>
          <w:tcPr>
            <w:tcW w:w="3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lease liabilities</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378,726</w:t>
            </w: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373,096</w:t>
            </w:r>
          </w:p>
        </w:tc>
        <w:tc>
          <w:tcPr>
            <w:tcW w:w="2540" w:type="dxa"/>
            <w:vAlign w:val="bottom"/>
            <w:shd w:val="clear" w:color="auto" w:fill="CCEEFF"/>
          </w:tcPr>
          <w:p>
            <w:pPr>
              <w:spacing w:after="0"/>
              <w:rPr>
                <w:sz w:val="19"/>
                <w:szCs w:val="19"/>
                <w:color w:val="auto"/>
              </w:rPr>
            </w:pPr>
          </w:p>
        </w:tc>
      </w:tr>
      <w:tr>
        <w:trPr>
          <w:trHeight w:val="20"/>
        </w:trPr>
        <w:tc>
          <w:tcPr>
            <w:tcW w:w="3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As of March 31, 2022, the weighted-average remaining lease term was 2.1 years for operating leases and 2.5 years for finance leases. The weighted average discount rate was 7% for operating leases and 1.9% for finance leases.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Maturities of lease liabilities as of March 31, 2022were as follows:</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8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560" w:type="dxa"/>
            <w:vAlign w:val="bottom"/>
          </w:tcPr>
          <w:p>
            <w:pPr>
              <w:spacing w:after="0"/>
              <w:rPr>
                <w:sz w:val="24"/>
                <w:szCs w:val="24"/>
                <w:color w:val="auto"/>
              </w:rPr>
            </w:pPr>
          </w:p>
        </w:tc>
      </w:tr>
      <w:tr>
        <w:trPr>
          <w:trHeight w:val="238"/>
        </w:trPr>
        <w:tc>
          <w:tcPr>
            <w:tcW w:w="11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11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58,536</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108,892</w:t>
            </w:r>
          </w:p>
        </w:tc>
        <w:tc>
          <w:tcPr>
            <w:tcW w:w="5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Fiscal 2024</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58,536</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108,892</w:t>
            </w:r>
          </w:p>
        </w:tc>
        <w:tc>
          <w:tcPr>
            <w:tcW w:w="5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2025</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4,878</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54,445</w:t>
            </w:r>
          </w:p>
        </w:tc>
        <w:tc>
          <w:tcPr>
            <w:tcW w:w="56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2027</w:t>
            </w:r>
          </w:p>
        </w:tc>
        <w:tc>
          <w:tcPr>
            <w:tcW w:w="1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121,950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272,229</w:t>
            </w:r>
          </w:p>
        </w:tc>
        <w:tc>
          <w:tcPr>
            <w:tcW w:w="5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Less: imputed interest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(8,782)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(6,671)</w:t>
            </w:r>
          </w:p>
        </w:tc>
        <w:tc>
          <w:tcPr>
            <w:tcW w:w="5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113,168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265,558</w:t>
            </w:r>
          </w:p>
        </w:tc>
        <w:tc>
          <w:tcPr>
            <w:tcW w:w="560" w:type="dxa"/>
            <w:vAlign w:val="bottom"/>
          </w:tcPr>
          <w:p>
            <w:pPr>
              <w:spacing w:after="0"/>
              <w:rPr>
                <w:sz w:val="19"/>
                <w:szCs w:val="19"/>
                <w:color w:val="auto"/>
              </w:rPr>
            </w:pPr>
          </w:p>
        </w:tc>
      </w:tr>
      <w:tr>
        <w:trPr>
          <w:trHeight w:val="414"/>
        </w:trPr>
        <w:tc>
          <w:tcPr>
            <w:tcW w:w="1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96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42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0" w:right="339" w:bottom="1440" w:gutter="0" w:footer="0" w:header="0"/>
        </w:sectPr>
      </w:pPr>
    </w:p>
    <w:bookmarkStart w:id="629" w:name="page630"/>
    <w:bookmarkEnd w:id="629"/>
    <w:p>
      <w:pPr>
        <w:spacing w:after="0"/>
        <w:rPr>
          <w:sz w:val="20"/>
          <w:szCs w:val="20"/>
          <w:color w:val="auto"/>
        </w:rPr>
      </w:pPr>
      <w:r>
        <w:rPr>
          <w:rFonts w:ascii="Times New Roman" w:cs="Times New Roman" w:eastAsia="Times New Roman" w:hAnsi="Times New Roman"/>
          <w:sz w:val="18"/>
          <w:szCs w:val="18"/>
          <w:b w:val="1"/>
          <w:bCs w:val="1"/>
          <w:color w:val="auto"/>
        </w:rPr>
        <w:t>5.  PROPERTY, PLANT AND EQUIPMENT</w:t>
      </w:r>
    </w:p>
    <w:p>
      <w:pPr>
        <w:spacing w:after="0" w:line="229" w:lineRule="exact"/>
        <w:rPr>
          <w:sz w:val="20"/>
          <w:szCs w:val="20"/>
          <w:color w:val="auto"/>
        </w:rPr>
      </w:pPr>
    </w:p>
    <w:p>
      <w:pPr>
        <w:ind w:left="160" w:right="80" w:firstLine="324"/>
        <w:spacing w:after="0" w:line="254" w:lineRule="auto"/>
        <w:rPr>
          <w:sz w:val="20"/>
          <w:szCs w:val="20"/>
          <w:color w:val="auto"/>
        </w:rPr>
      </w:pPr>
      <w:r>
        <w:rPr>
          <w:rFonts w:ascii="Times New Roman" w:cs="Times New Roman" w:eastAsia="Times New Roman" w:hAnsi="Times New Roman"/>
          <w:sz w:val="18"/>
          <w:szCs w:val="18"/>
          <w:color w:val="auto"/>
        </w:rPr>
        <w:t>On May 25, 2021, the Company announced plans for a new facility in Sinton, Texas that will be part of the coil product segment. The new facility is on the campus of Steel Dynamics, Inc.'s ("SDI") new flat roll steel mill in Sinton, Texas. The Company's new location consists of an approximately 70,000 square foot building located on approximately 26.5 acres leased from SDI under a 99-year agreement with an annual rental payment of $1. The Company contracted Red Bud Industries to build a stretcher leveler cut-to-length line for the facility that is capable of handling material up to 1” thick, widths up to 96” and yields exceeding 100,000 psi. The Company expects the equipment commissioning to occur during August 2022 and September 2022 and then expects expanded production levels beginning in October 2022. The total cost of the project is estimated to be $21 million. At March 31, 2022, the Company's construction in process related to the Sinton project was $15,925,306 consisting of $7,843,782 in cash payments and $8,081,524 of accrued capital expenditures.</w:t>
      </w:r>
    </w:p>
    <w:p>
      <w:pPr>
        <w:spacing w:after="0" w:line="192" w:lineRule="exact"/>
        <w:rPr>
          <w:sz w:val="20"/>
          <w:szCs w:val="20"/>
          <w:color w:val="auto"/>
        </w:rPr>
      </w:pPr>
    </w:p>
    <w:p>
      <w:pPr>
        <w:ind w:left="160" w:right="120" w:firstLine="324"/>
        <w:spacing w:after="0" w:line="261" w:lineRule="auto"/>
        <w:rPr>
          <w:sz w:val="20"/>
          <w:szCs w:val="20"/>
          <w:color w:val="auto"/>
        </w:rPr>
      </w:pPr>
      <w:r>
        <w:rPr>
          <w:rFonts w:ascii="Times New Roman" w:cs="Times New Roman" w:eastAsia="Times New Roman" w:hAnsi="Times New Roman"/>
          <w:sz w:val="18"/>
          <w:szCs w:val="18"/>
          <w:color w:val="auto"/>
        </w:rPr>
        <w:t>During the twelve months ended March 31, 2022, the Company wrote off fully depreciated fixed assets that were no longer in use with an original cost and accumulated depreciation of approximately $2,060,226. During the twelve months ended March 31, 2022, the Company disposed of equipment that was removed from its Decatur facility and received $160,542 in proceeds from the disposal of the equipment which had an original cost of $3,604,209 and accumulated depreciation of $3,447,465.</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Depreciation Expense was $1,320,434 and $1,012,917 for fiscal 2022 and fiscal 2021,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 FINANCIAL INSTRUMENTS</w:t>
      </w:r>
    </w:p>
    <w:p>
      <w:pPr>
        <w:spacing w:after="0" w:line="229" w:lineRule="exact"/>
        <w:rPr>
          <w:sz w:val="20"/>
          <w:szCs w:val="20"/>
          <w:color w:val="auto"/>
        </w:rPr>
      </w:pPr>
    </w:p>
    <w:p>
      <w:pPr>
        <w:ind w:right="180" w:firstLine="486"/>
        <w:spacing w:after="0" w:line="253" w:lineRule="auto"/>
        <w:rPr>
          <w:sz w:val="20"/>
          <w:szCs w:val="20"/>
          <w:color w:val="auto"/>
        </w:rPr>
      </w:pPr>
      <w:r>
        <w:rPr>
          <w:rFonts w:ascii="Times New Roman" w:cs="Times New Roman" w:eastAsia="Times New Roman" w:hAnsi="Times New Roman"/>
          <w:sz w:val="18"/>
          <w:szCs w:val="18"/>
          <w:color w:val="auto"/>
        </w:rPr>
        <w:t>From time to time, we expect to utilize derivative financial instruments to minimize our exposure to commodity price risk that is inherent in our business. At the time derivative contracts are entered into, we assess whether the nature of the instrument qualifies for hedge accounting treatment according to the requirements of ASC 815 – Derivatives and Hedging (“ASC 815”).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those transactions designated as hedging instruments,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94"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From time to time, derivatives designated for hedge accounting may be closed prior to contract expiration. The accounting treatment of closed positions depends on whether the closure occurred due to the hedged transaction occurring early or if the hedged transaction is still expected to occur as originally forecasted. For hedged transactions that occur early, the closure results in the realized gain or loss from closure being recognized in the same period the accelerated hedged transaction affects earnings. For hedged transactions that are still expected to occur as originally forecasted, the closure results in the realized gain or loss being deferred until the hedged transaction affects earnings.</w:t>
      </w:r>
    </w:p>
    <w:p>
      <w:pPr>
        <w:spacing w:after="0" w:line="183"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If it is determined that hedged transactions associated with cash flow hedges are no longer probable of occurring, the gain or loss associated with the instrument is recognized immediately into earnings.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time to time, we may have derivative financial instruments for which we do not elect hedge accounting.</w:t>
      </w:r>
    </w:p>
    <w:p>
      <w:pPr>
        <w:spacing w:after="0" w:line="22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has forward physical purchase supply agreements in place for a portion of its monthly physical steel needs. These supply agreements are not subject to mark-to-market accounting due to the Company electing the normal purchase normal sale exclusion provided in ASC 815.</w:t>
      </w:r>
    </w:p>
    <w:p>
      <w:pPr>
        <w:spacing w:after="0" w:line="162"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During fiscal 2022 and fiscal 2021, the Company entered into hot-rolled coil futures contracts which were designated as hedging instruments and classified as cash flow hedges, either as hedges of variable purchase prices or as hedges of variable sales prices. Accordingly, realized and unrealized gains and losses associated with the instruments are reported as a component of other comprehensive income and reclassified into earnings during the period in which the hedged transaction affects earnings. During fiscal 2022 and fiscal 2021, some of the Company's cash flow hedges were closed prior to expiration but the hedged transactions were still expected to occur as originally forecasted resulting in the realized gain or loss being deferred in other comprehensive income until the hedged transactions occur and affect earnings. At September 30, 2021, the Company removed some derivative instruments from hedge accounting due to the hedged transactions no longer being expected to occur. This was the result of the Company reducing its forecasted sales for the quarter ending December 31, 2021 due to anticipated customer reaction to a historic increase in steel prices reaching its peak and then starting to decline. Since these hedged sales were no longer expected to occur, a loss of $9,930,720 associated with these instruments was immediately recognized into earnings for the September 30, 2021 quarter and reported as a component of “Other income (loss), net”. During fiscal 2022 and fiscal 2021, the Company also entered into hot-rolled coil futures contracts that were not designated as hedging instruments for accounting purposes. Accordingly, the change in fair value related to these instruments was immediately recognized in earnings.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30" w:name="page631"/>
    <w:bookmarkEnd w:id="630"/>
    <w:p>
      <w:pPr>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March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94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120" w:type="dxa"/>
            <w:vAlign w:val="bottom"/>
          </w:tcPr>
          <w:p>
            <w:pPr>
              <w:spacing w:after="0"/>
              <w:rPr>
                <w:sz w:val="20"/>
                <w:szCs w:val="20"/>
                <w:color w:val="auto"/>
              </w:rPr>
            </w:pPr>
          </w:p>
        </w:tc>
        <w:tc>
          <w:tcPr>
            <w:tcW w:w="3000" w:type="dxa"/>
            <w:vAlign w:val="bottom"/>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r>
      <w:tr>
        <w:trPr>
          <w:trHeight w:val="187"/>
        </w:trPr>
        <w:tc>
          <w:tcPr>
            <w:tcW w:w="5180" w:type="dxa"/>
            <w:vAlign w:val="bottom"/>
          </w:tcPr>
          <w:p>
            <w:pPr>
              <w:spacing w:after="0"/>
              <w:rPr>
                <w:sz w:val="16"/>
                <w:szCs w:val="16"/>
                <w:color w:val="auto"/>
              </w:rPr>
            </w:pPr>
          </w:p>
        </w:tc>
        <w:tc>
          <w:tcPr>
            <w:tcW w:w="13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0"/>
                <w:szCs w:val="20"/>
                <w:color w:val="auto"/>
              </w:rPr>
            </w:pP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20"/>
                <w:szCs w:val="20"/>
                <w:color w:val="auto"/>
              </w:rPr>
            </w:pP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1"/>
        </w:trPr>
        <w:tc>
          <w:tcPr>
            <w:tcW w:w="518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w:t>
            </w:r>
          </w:p>
        </w:tc>
        <w:tc>
          <w:tcPr>
            <w:tcW w:w="100" w:type="dxa"/>
            <w:vAlign w:val="bottom"/>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 hedging sales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derivative liability</w:t>
            </w:r>
          </w:p>
        </w:tc>
        <w:tc>
          <w:tcPr>
            <w:tcW w:w="1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$8,905,500</w:t>
            </w:r>
          </w:p>
        </w:tc>
        <w:tc>
          <w:tcPr>
            <w:tcW w:w="100" w:type="dxa"/>
            <w:vAlign w:val="bottom"/>
            <w:shd w:val="clear" w:color="auto" w:fill="CCEEFF"/>
          </w:tcPr>
          <w:p>
            <w:pPr>
              <w:spacing w:after="0"/>
              <w:rPr>
                <w:sz w:val="20"/>
                <w:szCs w:val="20"/>
                <w:color w:val="auto"/>
              </w:rPr>
            </w:pPr>
          </w:p>
        </w:tc>
      </w:tr>
      <w:tr>
        <w:trPr>
          <w:trHeight w:val="216"/>
        </w:trPr>
        <w:tc>
          <w:tcPr>
            <w:tcW w:w="5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18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Current portion of</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Current portion of</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1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$4,240,740</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derivative liability</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$5,524,020</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derivatives are presented on a gross basis on the Consolidated Balance Sheet.</w:t>
      </w:r>
    </w:p>
    <w:p>
      <w:pPr>
        <w:spacing w:after="0" w:line="225"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financial instruments and the respective line in which they were recorded in the Consolidated Balance Sheet as of March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30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0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r>
      <w:tr>
        <w:trPr>
          <w:trHeight w:val="187"/>
        </w:trPr>
        <w:tc>
          <w:tcPr>
            <w:tcW w:w="5180" w:type="dxa"/>
            <w:vAlign w:val="bottom"/>
          </w:tcPr>
          <w:p>
            <w:pPr>
              <w:spacing w:after="0"/>
              <w:rPr>
                <w:sz w:val="16"/>
                <w:szCs w:val="16"/>
                <w:color w:val="auto"/>
              </w:rPr>
            </w:pPr>
          </w:p>
        </w:tc>
        <w:tc>
          <w:tcPr>
            <w:tcW w:w="13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Balance Sheet</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1"/>
        </w:trPr>
        <w:tc>
          <w:tcPr>
            <w:tcW w:w="518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Current portion of</w:t>
            </w: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 hedging purchases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530,640</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518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Current portion of</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Current portion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 hedging sales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91,760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derivative liability</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7,890,700</w:t>
            </w:r>
          </w:p>
        </w:tc>
      </w:tr>
      <w:tr>
        <w:trPr>
          <w:trHeight w:val="198"/>
        </w:trPr>
        <w:tc>
          <w:tcPr>
            <w:tcW w:w="5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Other non-current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 hedging sales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50,420</w:t>
            </w:r>
          </w:p>
        </w:tc>
      </w:tr>
      <w:tr>
        <w:trPr>
          <w:trHeight w:val="216"/>
        </w:trPr>
        <w:tc>
          <w:tcPr>
            <w:tcW w:w="5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Current portion of</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derivative liability</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88,680</w:t>
            </w: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derivatives are presented on a gross basis on the Consolidated Balance Sheet.</w:t>
      </w:r>
    </w:p>
    <w:p>
      <w:pPr>
        <w:spacing w:after="0" w:line="22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At March 31, 2022, the Company reported $933,200 in "Other current assets" on its Consolidated Balance Sheet related to futures contracts for the month of March 2022 that had reached expiration but were pending cash settlement. At March 31, 2021, the Company reported $501,360 in "Accounts payable and accrued expenses" on its Consolidated Balance Sheet related to futures contracts for the month of March 2021 that had reached expiration but were pending cash settlement.</w:t>
      </w:r>
    </w:p>
    <w:p>
      <w:pPr>
        <w:spacing w:after="0" w:line="180"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The notional amounts (quantities) of our cash flow hedges outstanding at March 31, 2022 consisted of 24,880 tons hedging sales with maturity dates ranging from April 2022 to September 2022.</w:t>
      </w:r>
    </w:p>
    <w:p>
      <w:pPr>
        <w:spacing w:after="0" w:line="16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pre-tax gain (loss) recognized in other comprehensive income and the gain (loss) reclassified from accumulated other comprehensive income into earnings for derivative financial instruments designated as cash flow hedges for the twelve months ended March 31, 2022 and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Gain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Pre- Tax Gain</w:t>
            </w:r>
          </w:p>
        </w:tc>
        <w:tc>
          <w:tcPr>
            <w:tcW w:w="0" w:type="dxa"/>
            <w:vAlign w:val="bottom"/>
          </w:tcPr>
          <w:p>
            <w:pPr>
              <w:spacing w:after="0"/>
              <w:rPr>
                <w:sz w:val="1"/>
                <w:szCs w:val="1"/>
                <w:color w:val="auto"/>
              </w:rPr>
            </w:pPr>
          </w:p>
        </w:tc>
      </w:tr>
      <w:tr>
        <w:trPr>
          <w:trHeight w:val="194"/>
        </w:trPr>
        <w:tc>
          <w:tcPr>
            <w:tcW w:w="6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Pre-Tax Gain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(Loss) Reclassified</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Reclassified from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from AOCI</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AOCI into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Recognized in OCI</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20"/>
                <w:szCs w:val="20"/>
                <w:color w:val="auto"/>
              </w:rPr>
            </w:pPr>
          </w:p>
        </w:tc>
        <w:tc>
          <w:tcPr>
            <w:tcW w:w="15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into Net Earnings</w:t>
            </w:r>
          </w:p>
        </w:tc>
        <w:tc>
          <w:tcPr>
            <w:tcW w:w="0" w:type="dxa"/>
            <w:vAlign w:val="bottom"/>
          </w:tcPr>
          <w:p>
            <w:pPr>
              <w:spacing w:after="0"/>
              <w:rPr>
                <w:sz w:val="1"/>
                <w:szCs w:val="1"/>
                <w:color w:val="auto"/>
              </w:rPr>
            </w:pPr>
          </w:p>
        </w:tc>
      </w:tr>
      <w:tr>
        <w:trPr>
          <w:trHeight w:val="210"/>
        </w:trPr>
        <w:tc>
          <w:tcPr>
            <w:tcW w:w="6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twelve months ended March 31, 2022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(19,907,820)</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(31,752,920)</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Costs of goods sold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10,632,900</w:t>
            </w:r>
          </w:p>
        </w:tc>
        <w:tc>
          <w:tcPr>
            <w:tcW w:w="0" w:type="dxa"/>
            <w:vAlign w:val="bottom"/>
          </w:tcPr>
          <w:p>
            <w:pPr>
              <w:spacing w:after="0"/>
              <w:rPr>
                <w:sz w:val="1"/>
                <w:szCs w:val="1"/>
                <w:color w:val="auto"/>
              </w:rPr>
            </w:pPr>
          </w:p>
        </w:tc>
      </w:tr>
      <w:tr>
        <w:trPr>
          <w:trHeight w:val="21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2"/>
              </w:rPr>
              <w:t>(19,907,820)</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(21,120,020)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For the twelve months ended March 31, 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(14,751,900)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Costs of goods sold</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6,414,500</w:t>
            </w:r>
          </w:p>
        </w:tc>
        <w:tc>
          <w:tcPr>
            <w:tcW w:w="0" w:type="dxa"/>
            <w:vAlign w:val="bottom"/>
          </w:tcPr>
          <w:p>
            <w:pPr>
              <w:spacing w:after="0"/>
              <w:rPr>
                <w:sz w:val="1"/>
                <w:szCs w:val="1"/>
                <w:color w:val="auto"/>
              </w:rPr>
            </w:pPr>
          </w:p>
        </w:tc>
      </w:tr>
      <w:tr>
        <w:trPr>
          <w:trHeight w:val="21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2"/>
              </w:rPr>
              <w:t>(14,751,900)</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estimated amount of losses recognized in AOCI at March 31, 2022 expected to be reclassified into net earnings within the succeeding twelve months is $13,539,700. This amount consists of $5,500,620 in realized losses associated with closed hedges and $8,039,080 associated with open hedges that was computed using the fair value of the cash flow hedges as of March 31, 2022 and is subject to change before actual reclassification from AOCI to net earnings.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8" w:right="339" w:bottom="811" w:gutter="0" w:footer="0" w:header="0"/>
        </w:sectPr>
      </w:pPr>
    </w:p>
    <w:bookmarkStart w:id="631" w:name="page632"/>
    <w:bookmarkEnd w:id="631"/>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loss recognized in earnings for derivative instruments not designated as hedging instruments during fiscal 2022:</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Loss Recognized in</w:t>
            </w:r>
          </w:p>
        </w:tc>
      </w:tr>
      <w:tr>
        <w:trPr>
          <w:trHeight w:val="216"/>
        </w:trPr>
        <w:tc>
          <w:tcPr>
            <w:tcW w:w="39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39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for Fiscal Year</w:t>
            </w:r>
          </w:p>
        </w:tc>
      </w:tr>
      <w:tr>
        <w:trPr>
          <w:trHeight w:val="216"/>
        </w:trPr>
        <w:tc>
          <w:tcPr>
            <w:tcW w:w="3960" w:type="dxa"/>
            <w:vAlign w:val="bottom"/>
          </w:tcPr>
          <w:p>
            <w:pPr>
              <w:spacing w:after="0"/>
              <w:rPr>
                <w:sz w:val="18"/>
                <w:szCs w:val="18"/>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3960" w:type="dxa"/>
            <w:vAlign w:val="bottom"/>
          </w:tcPr>
          <w:p>
            <w:pPr>
              <w:spacing w:after="0"/>
              <w:rPr>
                <w:sz w:val="20"/>
                <w:szCs w:val="20"/>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 in Earnings</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3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income (loss), net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(11,636,120)</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loss recognized in earnings for derivative instruments not designated as hedging instruments during fiscal 2021:</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Loss Recognized in</w:t>
            </w:r>
          </w:p>
        </w:tc>
      </w:tr>
      <w:tr>
        <w:trPr>
          <w:trHeight w:val="216"/>
        </w:trPr>
        <w:tc>
          <w:tcPr>
            <w:tcW w:w="34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34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for Fiscal Year</w:t>
            </w:r>
          </w:p>
        </w:tc>
      </w:tr>
      <w:tr>
        <w:trPr>
          <w:trHeight w:val="216"/>
        </w:trPr>
        <w:tc>
          <w:tcPr>
            <w:tcW w:w="3420" w:type="dxa"/>
            <w:vAlign w:val="bottom"/>
          </w:tcPr>
          <w:p>
            <w:pPr>
              <w:spacing w:after="0"/>
              <w:rPr>
                <w:sz w:val="18"/>
                <w:szCs w:val="18"/>
                <w:color w:val="auto"/>
              </w:rPr>
            </w:pPr>
          </w:p>
        </w:tc>
        <w:tc>
          <w:tcPr>
            <w:tcW w:w="39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16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3420" w:type="dxa"/>
            <w:vAlign w:val="bottom"/>
          </w:tcPr>
          <w:p>
            <w:pPr>
              <w:spacing w:after="0"/>
              <w:rPr>
                <w:sz w:val="20"/>
                <w:szCs w:val="20"/>
                <w:color w:val="auto"/>
              </w:rPr>
            </w:pPr>
          </w:p>
        </w:tc>
        <w:tc>
          <w:tcPr>
            <w:tcW w:w="39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Recognized in Earnings</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80" w:type="dxa"/>
            <w:vAlign w:val="bottom"/>
          </w:tcPr>
          <w:p>
            <w:pPr>
              <w:spacing w:after="0"/>
              <w:rPr>
                <w:sz w:val="20"/>
                <w:szCs w:val="20"/>
                <w:color w:val="auto"/>
              </w:rPr>
            </w:pPr>
          </w:p>
        </w:tc>
      </w:tr>
      <w:tr>
        <w:trPr>
          <w:trHeight w:val="20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Hot-rolled coil steel contracts</w:t>
            </w:r>
          </w:p>
        </w:tc>
        <w:tc>
          <w:tcPr>
            <w:tcW w:w="396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Other income (loss), net</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(515,160)</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notional amount (quantity) of our derivative instruments not designated as hedging instruments at March 31, 2022 consisted of 14,640 tons of long positions with maturity dates ranging from April 2022 to December 2022 and 13,920 tons of short positions with maturity dates ranging from May 2022 to February 2023.</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reflect the change in accumulated other comprehensive loss, net of tax, for the periods presented:</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 (Loss) on</w:t>
            </w:r>
          </w:p>
        </w:tc>
      </w:tr>
      <w:tr>
        <w:trPr>
          <w:trHeight w:val="238"/>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8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(11,187,841)</w:t>
            </w:r>
          </w:p>
        </w:tc>
      </w:tr>
      <w:tr>
        <w:trPr>
          <w:trHeight w:val="216"/>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 net of income,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(15,098,091)</w:t>
            </w:r>
          </w:p>
        </w:tc>
      </w:tr>
      <w:tr>
        <w:trPr>
          <w:trHeight w:val="216"/>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loss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16,017,423</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919,332</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(10,268,509)</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494"/>
        <w:spacing w:after="0" w:line="282" w:lineRule="auto"/>
        <w:tabs>
          <w:tab w:leader="none" w:pos="749"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reclassified from AOCI is presented net of taxes of $5,102,597 which are included in provision for (benefit from) income taxes on the Company's Consolidated Statement of Operations for the fiscal year ended March 31, 2022.</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 (Loss) on</w:t>
            </w:r>
          </w:p>
        </w:tc>
      </w:tr>
      <w:tr>
        <w:trPr>
          <w:trHeight w:val="238"/>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8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 net of income, before reclassification</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(6,323,084)</w:t>
            </w:r>
          </w:p>
        </w:tc>
      </w:tr>
      <w:tr>
        <w:trPr>
          <w:trHeight w:val="216"/>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gain reclassified from AOCI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(4,864,757)</w:t>
            </w:r>
          </w:p>
        </w:tc>
      </w:tr>
      <w:tr>
        <w:trPr>
          <w:trHeight w:val="20"/>
        </w:trPr>
        <w:tc>
          <w:tcPr>
            <w:tcW w:w="7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(11,187,841)</w:t>
            </w:r>
          </w:p>
        </w:tc>
      </w:tr>
      <w:tr>
        <w:trPr>
          <w:trHeight w:val="20"/>
        </w:trPr>
        <w:tc>
          <w:tcPr>
            <w:tcW w:w="7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(11,187,841)</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firstLine="656"/>
        <w:spacing w:after="0" w:line="282" w:lineRule="auto"/>
        <w:tabs>
          <w:tab w:leader="none" w:pos="903"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reclassified from AOCI is presented net of taxes of $1,549,743 which are included in provision for (benefit from) income taxes on the Company's Consolidated Statement of Operations for the fiscal year ended March 31, 2021.</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March 31, 2022 and March 31, 2021, cash of $13,523,416 and $12,001,485, respectively, was held by our clearing agent to collateralize our open derivative positions. These cash requirements are included in "Other current assets" on the Company's Consolidated Balance Sheet at March 31, 2022 and March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8" w:right="339" w:bottom="1440" w:gutter="0" w:footer="0" w:header="0"/>
        </w:sectPr>
      </w:pPr>
    </w:p>
    <w:bookmarkStart w:id="632" w:name="page633"/>
    <w:bookmarkEnd w:id="632"/>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76" w:lineRule="exact"/>
        <w:rPr>
          <w:sz w:val="20"/>
          <w:szCs w:val="20"/>
          <w:color w:val="auto"/>
        </w:rPr>
      </w:pPr>
    </w:p>
    <w:p>
      <w:pPr>
        <w:ind w:left="980" w:hanging="324"/>
        <w:spacing w:after="0"/>
        <w:tabs>
          <w:tab w:leader="none" w:pos="98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and liabilities in active markets.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assets and liabilities, either directly or indirectly.</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March 31, 2022, our financial liabilities,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(10,188,780)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(10,188,780)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(10,188,780)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(10,188,780)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March 31, 2021, our financial liabilities, net,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futures – financial liabilities,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(7,407,400)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(7,407,000)</w:t>
            </w: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(7,407,400)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(7,407,000)</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March 31, 2022 and March 31, 2021, the Company did not have any fair value measurements on a non-recurring basis.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Basic and dilutive net earnings per share is computed based on the following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72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 (basic and diluted)</w:t>
            </w:r>
          </w:p>
        </w:tc>
        <w:tc>
          <w:tcPr>
            <w:tcW w:w="2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56"/>
        </w:trPr>
        <w:tc>
          <w:tcPr>
            <w:tcW w:w="980" w:type="dxa"/>
            <w:vAlign w:val="bottom"/>
          </w:tcPr>
          <w:p>
            <w:pPr>
              <w:spacing w:after="0"/>
              <w:rPr>
                <w:sz w:val="22"/>
                <w:szCs w:val="22"/>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14,066,322</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11,424,475</w:t>
            </w:r>
          </w:p>
        </w:tc>
        <w:tc>
          <w:tcPr>
            <w:tcW w:w="720" w:type="dxa"/>
            <w:vAlign w:val="bottom"/>
          </w:tcPr>
          <w:p>
            <w:pPr>
              <w:spacing w:after="0"/>
              <w:rPr>
                <w:sz w:val="22"/>
                <w:szCs w:val="22"/>
                <w:color w:val="auto"/>
              </w:rPr>
            </w:pPr>
          </w:p>
        </w:tc>
      </w:tr>
      <w:tr>
        <w:trPr>
          <w:trHeight w:val="241"/>
        </w:trPr>
        <w:tc>
          <w:tcPr>
            <w:tcW w:w="98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Allocation to unvested restricted stock units</w:t>
            </w:r>
          </w:p>
        </w:tc>
        <w:tc>
          <w:tcPr>
            <w:tcW w:w="2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543,054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492,462</w:t>
            </w:r>
          </w:p>
        </w:tc>
        <w:tc>
          <w:tcPr>
            <w:tcW w:w="720" w:type="dxa"/>
            <w:vAlign w:val="bottom"/>
          </w:tcPr>
          <w:p>
            <w:pPr>
              <w:spacing w:after="0"/>
              <w:rPr>
                <w:sz w:val="20"/>
                <w:szCs w:val="20"/>
                <w:color w:val="auto"/>
              </w:rPr>
            </w:pPr>
          </w:p>
        </w:tc>
      </w:tr>
      <w:tr>
        <w:trPr>
          <w:trHeight w:val="20"/>
        </w:trPr>
        <w:tc>
          <w:tcPr>
            <w:tcW w:w="980" w:type="dxa"/>
            <w:vAlign w:val="bottom"/>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2"/>
        </w:trPr>
        <w:tc>
          <w:tcPr>
            <w:tcW w:w="9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common shareholders</w:t>
            </w: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13,523,268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10,932,013</w:t>
            </w:r>
          </w:p>
        </w:tc>
        <w:tc>
          <w:tcPr>
            <w:tcW w:w="72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9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 (basic and diluted)</w:t>
            </w: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6"/>
        </w:trPr>
        <w:tc>
          <w:tcPr>
            <w:tcW w:w="980" w:type="dxa"/>
            <w:vAlign w:val="bottom"/>
          </w:tcPr>
          <w:p>
            <w:pPr>
              <w:spacing w:after="0"/>
              <w:rPr>
                <w:sz w:val="22"/>
                <w:szCs w:val="22"/>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6,623,769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6,703,654</w:t>
            </w:r>
          </w:p>
        </w:tc>
        <w:tc>
          <w:tcPr>
            <w:tcW w:w="720" w:type="dxa"/>
            <w:vAlign w:val="bottom"/>
          </w:tcPr>
          <w:p>
            <w:pPr>
              <w:spacing w:after="0"/>
              <w:rPr>
                <w:sz w:val="22"/>
                <w:szCs w:val="22"/>
                <w:color w:val="auto"/>
              </w:rPr>
            </w:pPr>
          </w:p>
        </w:tc>
      </w:tr>
      <w:tr>
        <w:trPr>
          <w:trHeight w:val="412"/>
        </w:trPr>
        <w:tc>
          <w:tcPr>
            <w:tcW w:w="980" w:type="dxa"/>
            <w:vAlign w:val="bottom"/>
          </w:tcPr>
          <w:p>
            <w:pPr>
              <w:spacing w:after="0"/>
              <w:rPr>
                <w:sz w:val="24"/>
                <w:szCs w:val="24"/>
                <w:color w:val="auto"/>
              </w:rPr>
            </w:pPr>
          </w:p>
        </w:tc>
        <w:tc>
          <w:tcPr>
            <w:tcW w:w="408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jc w:val="right"/>
              <w:ind w:right="137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72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4" w:right="339" w:bottom="1440" w:gutter="0" w:footer="0" w:header="0"/>
        </w:sectPr>
      </w:pPr>
    </w:p>
    <w:bookmarkStart w:id="633" w:name="page634"/>
    <w:bookmarkEnd w:id="6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gridSpan w:val="2"/>
          </w:tcPr>
          <w:p>
            <w:pPr>
              <w:jc w:val="right"/>
              <w:ind w:right="6010"/>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60" w:type="dxa"/>
            <w:vAlign w:val="bottom"/>
            <w:gridSpan w:val="2"/>
          </w:tcPr>
          <w:p>
            <w:pPr>
              <w:jc w:val="right"/>
              <w:ind w:right="3470"/>
              <w:spacing w:after="0"/>
              <w:rPr>
                <w:sz w:val="20"/>
                <w:szCs w:val="20"/>
                <w:color w:val="auto"/>
              </w:rPr>
            </w:pPr>
            <w:r>
              <w:rPr>
                <w:rFonts w:ascii="Times New Roman" w:cs="Times New Roman" w:eastAsia="Times New Roman" w:hAnsi="Times New Roman"/>
                <w:sz w:val="18"/>
                <w:szCs w:val="18"/>
                <w:color w:val="auto"/>
              </w:rPr>
              <w:t>Components of tax expense (benefit) are as follows: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 March 31,</w:t>
            </w:r>
          </w:p>
        </w:tc>
      </w:tr>
      <w:tr>
        <w:trPr>
          <w:trHeight w:val="209"/>
        </w:trPr>
        <w:tc>
          <w:tcPr>
            <w:tcW w:w="9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09"/>
        </w:trPr>
        <w:tc>
          <w:tcPr>
            <w:tcW w:w="9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3,881,166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1,904,797</w:t>
            </w:r>
          </w:p>
        </w:tc>
      </w:t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(478,918)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1,100,368</w:t>
            </w:r>
          </w:p>
        </w:tc>
      </w:tr>
      <w:tr>
        <w:trPr>
          <w:trHeight w:val="20"/>
        </w:trPr>
        <w:tc>
          <w:tcPr>
            <w:tcW w:w="98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3,402,248</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3,005,165</w:t>
            </w:r>
          </w:p>
        </w:tc>
      </w:t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944,809</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554,212</w:t>
            </w:r>
          </w:p>
        </w:tc>
      </w:tr>
      <w:tr>
        <w:trPr>
          <w:trHeight w:val="216"/>
        </w:trPr>
        <w:tc>
          <w:tcPr>
            <w:tcW w:w="98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(82,821)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238,121</w:t>
            </w:r>
          </w:p>
        </w:tc>
      </w:tr>
      <w:tr>
        <w:trPr>
          <w:trHeight w:val="20"/>
        </w:trPr>
        <w:tc>
          <w:tcPr>
            <w:tcW w:w="98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861,988</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792,333</w:t>
            </w:r>
          </w:p>
        </w:tc>
      </w:tr>
      <w:tr>
        <w:trPr>
          <w:trHeight w:val="20"/>
        </w:trPr>
        <w:tc>
          <w:tcPr>
            <w:tcW w:w="9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6780" w:type="dxa"/>
            <w:vAlign w:val="bottom"/>
            <w:shd w:val="clear" w:color="auto" w:fill="CCEEFF"/>
          </w:tcPr>
          <w:p>
            <w:pPr>
              <w:jc w:val="right"/>
              <w:ind w:right="599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4,264,236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3,797,498</w:t>
            </w:r>
          </w:p>
        </w:tc>
      </w:tr>
      <w:tr>
        <w:trPr>
          <w:trHeight w:val="20"/>
        </w:trPr>
        <w:tc>
          <w:tcPr>
            <w:tcW w:w="98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U.S. federal statutory income tax rate is reconciled to the effective rate as follows:</w:t>
      </w:r>
    </w:p>
    <w:p>
      <w:pPr>
        <w:spacing w:after="0" w:line="221"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Year Ended March 31,</w:t>
      </w:r>
    </w:p>
    <w:p>
      <w:pPr>
        <w:spacing w:after="0" w:line="31" w:lineRule="exact"/>
        <w:rPr>
          <w:sz w:val="20"/>
          <w:szCs w:val="20"/>
          <w:color w:val="auto"/>
        </w:rPr>
      </w:pPr>
    </w:p>
    <w:tbl>
      <w:tblPr>
        <w:tblLayout w:type="fixed"/>
        <w:tblInd w:w="280" w:type="dxa"/>
        <w:tblCellMar>
          <w:top w:w="0" w:type="dxa"/>
          <w:left w:w="0" w:type="dxa"/>
          <w:bottom w:w="0" w:type="dxa"/>
          <w:right w:w="0" w:type="dxa"/>
        </w:tblCellMar>
      </w:tblPr>
      <w:tr>
        <w:trPr>
          <w:trHeight w:val="209"/>
        </w:trPr>
        <w:tc>
          <w:tcPr>
            <w:tcW w:w="7280" w:type="dxa"/>
            <w:vAlign w:val="bottom"/>
            <w:gridSpan w:val="2"/>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21.0%</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year state and local income taxes net of federal income tax benefit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20" w:type="dxa"/>
            <w:vAlign w:val="bottom"/>
          </w:tcPr>
          <w:p>
            <w:pPr>
              <w:spacing w:after="0" w:line="20" w:lineRule="exact"/>
              <w:rPr>
                <w:sz w:val="1"/>
                <w:szCs w:val="1"/>
                <w:color w:val="auto"/>
              </w:rPr>
            </w:pPr>
          </w:p>
        </w:tc>
        <w:tc>
          <w:tcPr>
            <w:tcW w:w="72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23.3%</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Company’s tax returns may be subject to examination by the Internal Revenue Service for the fiscal years ended March 31, 2019 through March 31, 2021. State and local returns may be subject to examination for fiscal years ended March 31, 2018 through March 31, 2021.</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Deferred income taxes are provided for temporary differences between the carrying amounts of assets and liabilities for financial reporting purposes and the amounts used for income tax purposes. Significant components of the Company’s consolidated deferred tax assets (liabilities) are as follows: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(1,788,033)</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(1,945,788)</w:t>
            </w: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LIFO to average cost Section 481(a) adjustment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(301,110)</w:t>
            </w:r>
          </w:p>
        </w:tc>
      </w:tr>
      <w:tr>
        <w:trPr>
          <w:trHeight w:val="20"/>
        </w:trPr>
        <w:tc>
          <w:tcPr>
            <w:tcW w:w="67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(1,788,033)</w:t>
            </w:r>
          </w:p>
        </w:tc>
        <w:tc>
          <w:tcPr>
            <w:tcW w:w="4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(2,246,898)</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derivative loss - OCI</w:t>
            </w: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3,271,192</w:t>
            </w: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3,564,059</w:t>
            </w: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capitalization</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98,227</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63,468</w:t>
            </w: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28,893</w:t>
            </w: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26,240</w:t>
            </w:r>
          </w:p>
        </w:tc>
      </w:tr>
      <w:tr>
        <w:trPr>
          <w:trHeight w:val="216"/>
        </w:trPr>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compensation</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69,122</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328,434</w:t>
            </w: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loss - mark to market derivatives</w:t>
            </w:r>
          </w:p>
        </w:tc>
        <w:tc>
          <w:tcPr>
            <w:tcW w:w="3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388,213</w:t>
            </w:r>
          </w:p>
        </w:tc>
        <w:tc>
          <w:tcPr>
            <w:tcW w:w="4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94,306</w:t>
            </w:r>
          </w:p>
        </w:tc>
      </w:tr>
      <w:tr>
        <w:trPr>
          <w:trHeight w:val="216"/>
        </w:trPr>
        <w:tc>
          <w:tcPr>
            <w:tcW w:w="6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65,681</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3,921,328</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4,111,322</w:t>
            </w:r>
          </w:p>
        </w:tc>
        <w:tc>
          <w:tcPr>
            <w:tcW w:w="100" w:type="dxa"/>
            <w:vAlign w:val="bottom"/>
          </w:tcPr>
          <w:p>
            <w:pPr>
              <w:spacing w:after="0"/>
              <w:rPr>
                <w:sz w:val="18"/>
                <w:szCs w:val="18"/>
                <w:color w:val="auto"/>
              </w:rPr>
            </w:pPr>
          </w:p>
        </w:tc>
      </w:tr>
      <w:tr>
        <w:trPr>
          <w:trHeight w:val="250"/>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2,133,295</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1,864,424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COMPREHENSIVE INCOME (LOSS)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tax effects on each component of Other Comprehensive Income (Loss)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720" w:type="dxa"/>
            <w:vAlign w:val="bottom"/>
            <w:gridSpan w:val="9"/>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Twelve Months Ended March 31, 2022</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14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Tax Provision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1,212,200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(292,868)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919,332</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1,212,200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(292,868)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919,332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Twelve Months Ended March 31, 2021</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Before-Tax</w:t>
            </w:r>
          </w:p>
        </w:tc>
        <w:tc>
          <w:tcPr>
            <w:tcW w:w="140" w:type="dxa"/>
            <w:vAlign w:val="bottom"/>
          </w:tcPr>
          <w:p>
            <w:pPr>
              <w:spacing w:after="0"/>
              <w:rPr>
                <w:sz w:val="20"/>
                <w:szCs w:val="20"/>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Tax Benefit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Net-of-Tax</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2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(14,751,900)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3,564,059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(11,187,841)</w:t>
            </w:r>
          </w:p>
        </w:tc>
        <w:tc>
          <w:tcPr>
            <w:tcW w:w="0" w:type="dxa"/>
            <w:vAlign w:val="bottom"/>
          </w:tcPr>
          <w:p>
            <w:pPr>
              <w:spacing w:after="0"/>
              <w:rPr>
                <w:sz w:val="1"/>
                <w:szCs w:val="1"/>
                <w:color w:val="auto"/>
              </w:rPr>
            </w:pPr>
          </w:p>
        </w:tc>
      </w:tr>
      <w:tr>
        <w:trPr>
          <w:trHeight w:val="20"/>
        </w:trPr>
        <w:tc>
          <w:tcPr>
            <w:tcW w:w="390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2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(14,751,900)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3,564,059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(11,187,841)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4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90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0" w:right="339" w:bottom="325" w:gutter="0" w:footer="0" w:header="0"/>
        </w:sectPr>
      </w:pPr>
    </w:p>
    <w:bookmarkStart w:id="634" w:name="page635"/>
    <w:bookmarkEnd w:id="634"/>
    <w:p>
      <w:pPr>
        <w:spacing w:after="0"/>
        <w:rPr>
          <w:sz w:val="20"/>
          <w:szCs w:val="20"/>
          <w:color w:val="auto"/>
        </w:rPr>
      </w:pPr>
      <w:r>
        <w:rPr>
          <w:rFonts w:ascii="Times New Roman" w:cs="Times New Roman" w:eastAsia="Times New Roman" w:hAnsi="Times New Roman"/>
          <w:sz w:val="18"/>
          <w:szCs w:val="18"/>
          <w:b w:val="1"/>
          <w:bCs w:val="1"/>
          <w:color w:val="auto"/>
        </w:rPr>
        <w:t>11.  RETIREMENT PLAN</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maintains the Friedman Industries, Inc. Employees’ Retirement and 401(k) Plan (the “Plan”). Employees fully vest in the Plan upon six years of service.</w:t>
      </w:r>
    </w:p>
    <w:p>
      <w:pPr>
        <w:spacing w:after="0" w:line="16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retirement portion of the Plan covers substantially all employees, including officers. The Company’s contribution expenses, which are determined at the discretion of the Board of Directors in an amount not to exceed 15% of the total compensation paid during the year to all eligible employees, were $200,000 for the year ended March 31, 2022 and $200,000 for the year ended March 31, 2021. Contributions, plan earnings and forfeitures of non-vested accounts of terminated participants are allocated to the remaining individual accounts determined by a point schedule based on years of employment with the Company.</w:t>
      </w:r>
    </w:p>
    <w:p>
      <w:pPr>
        <w:spacing w:after="0" w:line="18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Employees may participate in the 401(k) portion of the Plan. Employees are eligible to participate in the Plan when the employee has completed six months of service. Under the Plan, participating employees may defer a portion of their earnings up to certain limits prescribed by the Internal Revenue Service. The Company provides matching contributions under the provisions of the Plan. Contribution expense related to the 401(k) portion of the Plan was approximately $96,500 and $49,500 for the years ended March 31, 2022 and 2021,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Company has engaged Metal Edge Partners, LLC (“Metal Edge”) to provide services that include strategic advisory services, risk management services, procurement advisory services, steel market analytics and macro-economic analytics. Tim Stevenson serves as a member of our Board of Directors and serves as Chief Executive Officer of Metal Edge. For the fiscal year ended March 31, 2021, we paid Metal Edge $144,000 related to these services. Our agreement with Metal Edge may be terminated by either party, without cause, upon ninety days prior written notice. The Company did not have any related party transactions during fiscal year ended March 31, 2022 that exceeded the $120,000 disclosure threshold.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35" w:name="page636"/>
    <w:bookmarkEnd w:id="635"/>
    <w:p>
      <w:pPr>
        <w:spacing w:after="0"/>
        <w:rPr>
          <w:sz w:val="20"/>
          <w:szCs w:val="20"/>
          <w:color w:val="auto"/>
        </w:rPr>
      </w:pPr>
      <w:r>
        <w:rPr>
          <w:rFonts w:ascii="Times New Roman" w:cs="Times New Roman" w:eastAsia="Times New Roman" w:hAnsi="Times New Roman"/>
          <w:sz w:val="18"/>
          <w:szCs w:val="18"/>
          <w:b w:val="1"/>
          <w:bCs w:val="1"/>
          <w:color w:val="auto"/>
        </w:rPr>
        <w:t>13.  INDUSTRY SEGMENT DATA</w:t>
      </w:r>
    </w:p>
    <w:p>
      <w:pPr>
        <w:spacing w:after="0" w:line="22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Company is engaged in the steel processing, pipe manufacturing and processing and steel and pipe distribution business. Within the Company, there are two product groups: coil and tubular. The Company’s coil operations involve converting steel coils into flat sheet and plate steel cut to customer specifications and reselling steel coils. Through its tubular operations, the Company purchases, processes, manufactures and markets tubular products. The following is a summary of significant financial information relating to the product groups:</w:t>
      </w:r>
    </w:p>
    <w:p>
      <w:pPr>
        <w:spacing w:after="0" w:line="176"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 March 31,</w:t>
            </w:r>
          </w:p>
        </w:tc>
      </w:tr>
      <w:tr>
        <w:trPr>
          <w:trHeight w:val="209"/>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Coil</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230,438,149</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95,264,555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Tubular</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54,796,603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30,837,978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285,234,752</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126,102,533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PROFIT:</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Coil</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31,790,710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16,466,713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Tubular</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2,423,655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2,923,399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PROFIT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34,214,365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19,390,112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(5,694,453</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(3,640,098)</w:t>
            </w: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(255,320</w:t>
            </w: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(24,619)</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(9,934,034</w:t>
            </w: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(503,422)</w:t>
            </w:r>
          </w:p>
        </w:tc>
      </w:tr>
      <w:tr>
        <w:trPr>
          <w:trHeight w:val="20"/>
        </w:trPr>
        <w:tc>
          <w:tcPr>
            <w:tcW w:w="2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EARNINGS BEFORE INCOME TAXES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18,330,558</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15,221,973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IDENTIFIABLE ASSETS: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Coil</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115,232,245</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56,670,109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Tubular</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24,016,816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17,883,612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139,249,061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74,553,721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corporate assets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20,026,009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20,455,088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159,275,070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95,008,809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Coil</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974,119</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653,708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Tubular</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330,652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3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1,320,434</w:t>
            </w:r>
          </w:p>
        </w:tc>
        <w:tc>
          <w:tcPr>
            <w:tcW w:w="1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1,012,917</w:t>
            </w:r>
          </w:p>
        </w:tc>
        <w:tc>
          <w:tcPr>
            <w:tcW w:w="100" w:type="dxa"/>
            <w:vAlign w:val="bottom"/>
            <w:shd w:val="clear" w:color="auto" w:fill="CCEEFF"/>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736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Coil</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8,005,370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4,505,589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Tubular</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and other</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38,520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8,064,599</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4,609,617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Operating profit is total net sales less operating expenses, excluding general corporate expenses, interest expense and interest and other income (loss).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Other income (loss) for fiscal 2022 consisted primarily of a loss of $11,636,120 on derivative instruments not designated for hedge accounting partially offset by a $1,706,614 gain associated with the forgiveness of the Company's Paycheck Protection Program loan. Other income (loss) for fiscal 2021 consisted primarily of a $515,160 loss related to derivatives not designated for hedge accounting. At March 31, 2022 and March 31, 2021, corporate assets consisted primarily of cash, restricted cash, net deferred tax asset, income taxes recoverable and the cash value of officers’ life insurance. Although inventory is transferred at cost between product groups, there are no sales between product groups.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36" w:name="page637"/>
    <w:bookmarkEnd w:id="636"/>
    <w:p>
      <w:pPr>
        <w:spacing w:after="0"/>
        <w:rPr>
          <w:sz w:val="20"/>
          <w:szCs w:val="20"/>
          <w:color w:val="auto"/>
        </w:rPr>
      </w:pPr>
      <w:r>
        <w:rPr>
          <w:rFonts w:ascii="Times New Roman" w:cs="Times New Roman" w:eastAsia="Times New Roman" w:hAnsi="Times New Roman"/>
          <w:sz w:val="18"/>
          <w:szCs w:val="18"/>
          <w:b w:val="1"/>
          <w:bCs w:val="1"/>
          <w:color w:val="auto"/>
        </w:rPr>
        <w:t>14.  REVENUE</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Revenue is generated primarily from contracts to manufacture or process steel products. Most of the Company’s revenue is generated by sales of material out of the Company’s inventory but a portion of the Company’s revenue is derived from processing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8"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The Company has two reportable segments: Coil and Tubular. Coil primarily generates revenue from cutting to length hot-rolled steel coils. Coil segment revenue consists of three main product types: Prime Coil, Non-Standard Coil and Customer Owned Coil. Tubular primarily generates revenue from the manufacture, distribution and processing of steel pipe. Tubular segment revenue consists of three main product or service types: Manufactured Pipe, Mill Reject Pipe and Pipe Finishing Services. The Company did not generate any revenue from pipe finishing services in the fiscal years ended March 31, 2022 and March 31, 2021. The pipe finishing facility is currently idled. The following table disaggregates our revenue by product for each of our reportable business segments for the fiscal years ended March 31, 2022 and 2021, respectively:</w:t>
      </w:r>
    </w:p>
    <w:p>
      <w:pPr>
        <w:spacing w:after="0" w:line="183"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Fiscal Year Ended March 31,</w:t>
            </w:r>
          </w:p>
        </w:tc>
      </w:tr>
      <w:tr>
        <w:trPr>
          <w:trHeight w:val="209"/>
        </w:trPr>
        <w:tc>
          <w:tcPr>
            <w:tcW w:w="67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Coil Segment: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Prime Coil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219,483,437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85,933,199</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Non-standard Coil</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9,596,821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8,414,060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Customer Owned Coil</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1,357,891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917,296</w:t>
            </w:r>
          </w:p>
        </w:tc>
        <w:tc>
          <w:tcPr>
            <w:tcW w:w="100" w:type="dxa"/>
            <w:vAlign w:val="bottom"/>
          </w:tcPr>
          <w:p>
            <w:pPr>
              <w:spacing w:after="0"/>
              <w:rPr>
                <w:sz w:val="18"/>
                <w:szCs w:val="18"/>
                <w:color w:val="auto"/>
              </w:rPr>
            </w:pPr>
          </w:p>
        </w:tc>
      </w:tr>
      <w:tr>
        <w:trPr>
          <w:trHeight w:val="250"/>
        </w:trPr>
        <w:tc>
          <w:tcPr>
            <w:tcW w:w="67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230,438,149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95,264,555</w:t>
            </w:r>
          </w:p>
        </w:tc>
      </w:tr>
      <w:tr>
        <w:trPr>
          <w:trHeight w:val="196"/>
        </w:trPr>
        <w:tc>
          <w:tcPr>
            <w:tcW w:w="67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Tubular Segment:</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Manufactured Pipe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44,484,652</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25,554,333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Mill Reject Pipe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10,311,951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5,283,645</w:t>
            </w:r>
          </w:p>
        </w:tc>
        <w:tc>
          <w:tcPr>
            <w:tcW w:w="100" w:type="dxa"/>
            <w:vAlign w:val="bottom"/>
          </w:tcPr>
          <w:p>
            <w:pPr>
              <w:spacing w:after="0"/>
              <w:rPr>
                <w:sz w:val="18"/>
                <w:szCs w:val="18"/>
                <w:color w:val="auto"/>
              </w:rPr>
            </w:pPr>
          </w:p>
        </w:tc>
      </w:tr>
      <w:tr>
        <w:trPr>
          <w:trHeight w:val="250"/>
        </w:trPr>
        <w:tc>
          <w:tcPr>
            <w:tcW w:w="6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54,796,603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30,837,978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On April 26, 2022, the Company entered into a definitive agreement with Plateplus Inc. (“Plateplus”) whereby the Company acquired the real estate, buildings, equipment, inventory, and other assets of Plateplus’ East Chicago, IN and Granite City, IL facilities and certain steel inventory and client relationships at Plateplus’ Loudon, TN and Houston, TX facilities (the “Acquisition”). The addition of the East Chicago and Granite City locations to the Company's coil segment expands the Company's competitive footprint. Plateplus' relationships that were historically serviced out of Plateplus' Loudon and Houston locations will be transitioned to Friedman’s facilities in Decatur, AL and Sinton, TX, respectively, providing immediate and meaningful operating efficiencies and cost synergies. The Acquisition closed effective as of midnight on April 30, 2022. Under the terms of the agreement, the Company acquired the assets for approximately $63.8 million in cash and 516,041 shares of the Company’s common stock. All of the $63.8 million cash portion was financed by the Company's ABL facility. The Company's accounting and purchase price allocation for the acquisition is not yet complete. The final purchase price is subject to adjustment based on final net working capital levels. The shares issued to Plateplus in connection with the Acquisition are subject to a six-month lock-up period during which period the shares will be subject to certain restrictions on transfer.</w:t>
      </w:r>
    </w:p>
    <w:p>
      <w:pPr>
        <w:spacing w:after="0" w:line="194"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Company financed the transaction through the expansion of its existing $75 million asset-based lending facility provided by JPMorgan Chase Bank to $150 million. On April 29, 2022, the Company entered into a Second Amendment to the ABL Facility. The Second Amendment amends the ABL facility in order to increase the asset-based revolving loans available thereunder from an aggregate principal amount of up to $75 million to an aggregate principal amount of up to $150 million. Subject to the conditions set forth in the ABL Facility (as amended by the Second Amendment), the ABL Facility may be increased by up to an aggregate of $25 million, in minimum increments of $5 million. The Second Amendment also changed the interest rate applicable to floating rate borrowings from the prime rate to the prime rate minus 1%, increased the account receivable borrowing base component from 85% of eligible accounts receivable to 90% of eligible accounts receivable, and added covenant trigger provisions whereby the fixed charge coverage ratio covenant is only tested when availability falls below the greater of 15% of the revolving commitment or $22.5 million.</w:t>
      </w:r>
    </w:p>
    <w:p>
      <w:pPr>
        <w:spacing w:after="0" w:line="192"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On July 6, 2022, the Company entered into a Third Amendment to the ABL Facility. The Third Amendment amends the ABL Facility in order to provide for the syndication of the asset-based revolving loans available thereunder with BMO Harris Bank, N.A. The Third Amendment also amends provisions of the ABL Facility authorizing the Agent to make protective advances under the ABL Facility and adds a covenant requiring each of the Company and its subsidiaries to maintain the Agent as its principal depository bank. In connection with the Third Amendment, the Company also entered into a new Revolving Note payable to BMO Harris Bank, N.A. in a principal amount of up to $50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37" w:name="page638"/>
    <w:bookmarkEnd w:id="637"/>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SCHEDULE II — VALUATION AND QUALIFYING ACCOUNTS</w:t>
      </w:r>
    </w:p>
    <w:p>
      <w:pPr>
        <w:spacing w:after="0" w:line="4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ectPr>
          <w:pgSz w:w="11900" w:h="16838" w:orient="portrait"/>
          <w:cols w:equalWidth="0" w:num="1">
            <w:col w:w="11100"/>
          </w:cols>
          <w:pgMar w:left="320" w:top="847" w:right="479" w:bottom="1440" w:gutter="0" w:footer="0" w:header="0"/>
        </w:sectPr>
      </w:pPr>
    </w:p>
    <w:p>
      <w:pPr>
        <w:spacing w:after="0" w:line="203"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54901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March 31, 2022</w:t>
      </w:r>
    </w:p>
    <w:p>
      <w:pPr>
        <w:spacing w:after="0" w:line="27"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18"/>
          <w:szCs w:val="18"/>
          <w:color w:val="auto"/>
        </w:rPr>
        <w:t>Allowance for doubtful accounts receivable (deducted from related asset account)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March 31, 2021</w:t>
      </w:r>
    </w:p>
    <w:p>
      <w:pPr>
        <w:spacing w:after="0" w:line="9" w:lineRule="exact"/>
        <w:rPr>
          <w:sz w:val="20"/>
          <w:szCs w:val="20"/>
          <w:color w:val="auto"/>
        </w:rPr>
      </w:pPr>
    </w:p>
    <w:p>
      <w:pPr>
        <w:ind w:left="180"/>
        <w:spacing w:after="0" w:line="260" w:lineRule="auto"/>
        <w:rPr>
          <w:sz w:val="20"/>
          <w:szCs w:val="20"/>
          <w:color w:val="auto"/>
        </w:rPr>
      </w:pPr>
      <w:r>
        <w:rPr>
          <w:rFonts w:ascii="Times New Roman" w:cs="Times New Roman" w:eastAsia="Times New Roman" w:hAnsi="Times New Roman"/>
          <w:sz w:val="18"/>
          <w:szCs w:val="18"/>
          <w:color w:val="auto"/>
        </w:rPr>
        <w:t>Allowance for doubtful accounts receivable (deducted from related asset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12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Additions (A)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0" w:type="dxa"/>
            <w:vAlign w:val="bottom"/>
          </w:tcPr>
          <w:p>
            <w:pPr>
              <w:spacing w:after="0"/>
              <w:rPr>
                <w:sz w:val="1"/>
                <w:szCs w:val="1"/>
                <w:color w:val="auto"/>
              </w:rPr>
            </w:pPr>
          </w:p>
        </w:tc>
      </w:tr>
      <w:tr>
        <w:trPr>
          <w:trHeight w:val="601"/>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84,819</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67,417</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17,834</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-822325</wp:posOffset>
            </wp:positionV>
            <wp:extent cx="7132320" cy="13716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-410845</wp:posOffset>
            </wp:positionV>
            <wp:extent cx="7132320" cy="13716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5400" w:space="320"/>
            <w:col w:w="5380"/>
          </w:cols>
          <w:pgMar w:left="320" w:top="847" w:right="479" w:bottom="1440" w:gutter="0" w:footer="0" w:header="0"/>
          <w:type w:val="continuous"/>
        </w:sectPr>
      </w:pPr>
    </w:p>
    <w:p>
      <w:pPr>
        <w:spacing w:after="0" w:line="103" w:lineRule="exact"/>
        <w:rPr>
          <w:sz w:val="20"/>
          <w:szCs w:val="20"/>
          <w:color w:val="auto"/>
        </w:rPr>
      </w:pPr>
    </w:p>
    <w:p>
      <w:pPr>
        <w:ind w:left="340" w:hanging="332"/>
        <w:spacing w:after="0"/>
        <w:tabs>
          <w:tab w:leader="none" w:pos="34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consist of charges to bad debt expense of $66,985 and $0 during fiscal years 2022 and 2021, respectively.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Deductions consist of accounts receivable written off of $0 and $49,583 during fiscal years 2022 and 2021, respectively.</w:t>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847" w:right="479" w:bottom="1440" w:gutter="0" w:footer="0" w:header="0"/>
          <w:type w:val="continuous"/>
        </w:sectPr>
      </w:pPr>
    </w:p>
    <w:bookmarkStart w:id="638" w:name="page639"/>
    <w:bookmarkEnd w:id="638"/>
    <w:p>
      <w:pPr>
        <w:spacing w:after="0"/>
        <w:rPr>
          <w:sz w:val="20"/>
          <w:szCs w:val="20"/>
          <w:color w:val="auto"/>
        </w:rPr>
      </w:pPr>
      <w:r>
        <w:rPr>
          <w:rFonts w:ascii="Times New Roman" w:cs="Times New Roman" w:eastAsia="Times New Roman" w:hAnsi="Times New Roman"/>
          <w:sz w:val="32"/>
          <w:szCs w:val="32"/>
          <w:b w:val="1"/>
          <w:bCs w:val="1"/>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lef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Friedman Industries, Incorporated and subsidiary (the “Company”) as of March 31, 2022 and 2021, the related consolidated statements of operations, comprehensive income, stockholders’ equity and cash flows for the years then ended, and the related notes and schedule (collectively referred to as the “consolidated financial statements”). In our opinion, the consolidated financial statements present fairly, in all material respects, the consolidated financial position of the Company as of March 31, 2022 and 2021, and the consolidated results of its operations and its cash flows for the years then ended, in conformity with accounting principles generally accepted in the United States of America.</w:t>
      </w:r>
    </w:p>
    <w:p>
      <w:pPr>
        <w:spacing w:after="0" w:line="187" w:lineRule="exact"/>
        <w:rPr>
          <w:sz w:val="20"/>
          <w:szCs w:val="20"/>
          <w:color w:val="auto"/>
        </w:rPr>
      </w:pPr>
    </w:p>
    <w:p>
      <w:pPr>
        <w:ind w:left="160" w:right="6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March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August 2, 2022 expressed an adverse opinion on the Company’s internal control over financial reporting due to material weaknesses.</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left="1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60" w:right="8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left="160" w:right="12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3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August 2, 2022</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639" w:name="page640"/>
    <w:bookmarkEnd w:id="639"/>
    <w:p>
      <w:pPr>
        <w:ind w:left="160" w:right="940"/>
        <w:spacing w:after="0" w:line="277" w:lineRule="auto"/>
        <w:rPr>
          <w:sz w:val="20"/>
          <w:szCs w:val="20"/>
          <w:color w:val="auto"/>
        </w:rPr>
      </w:pPr>
      <w:r>
        <w:rPr>
          <w:rFonts w:ascii="Times New Roman" w:cs="Times New Roman" w:eastAsia="Times New Roman" w:hAnsi="Times New Roman"/>
          <w:sz w:val="32"/>
          <w:szCs w:val="32"/>
          <w:b w:val="1"/>
          <w:bCs w:val="1"/>
          <w:color w:val="auto"/>
        </w:rPr>
        <w:t>REPORT OF INDEPENDENT REGISTERED PUBLIC ACCOUNTING FIRM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Friedman Industries, Incorporated</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229" w:lineRule="exact"/>
        <w:rPr>
          <w:sz w:val="20"/>
          <w:szCs w:val="20"/>
          <w:color w:val="auto"/>
        </w:rPr>
      </w:pPr>
    </w:p>
    <w:p>
      <w:pPr>
        <w:ind w:left="1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Friedman Industries, Incorporated and subsidiary (the “Company”) internal control over financial reporting as of March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because of the effect of the material weaknesses identified below on the achievement of the objectives of the control criteria, the Company has not maintained effective internal control over financial reporting as of March 31, 2022, based on criteria established in </w:t>
      </w:r>
      <w:r>
        <w:rPr>
          <w:rFonts w:ascii="Times New Roman" w:cs="Times New Roman" w:eastAsia="Times New Roman" w:hAnsi="Times New Roman"/>
          <w:sz w:val="18"/>
          <w:szCs w:val="18"/>
          <w:i w:val="1"/>
          <w:iCs w:val="1"/>
          <w:color w:val="auto"/>
        </w:rPr>
        <w:t xml:space="preserve">Internal Control - Integrated Framework (2013) </w:t>
      </w:r>
      <w:r>
        <w:rPr>
          <w:rFonts w:ascii="Times New Roman" w:cs="Times New Roman" w:eastAsia="Times New Roman" w:hAnsi="Times New Roman"/>
          <w:sz w:val="18"/>
          <w:szCs w:val="18"/>
          <w:color w:val="auto"/>
        </w:rPr>
        <w:t>issued by COSO.</w:t>
      </w:r>
    </w:p>
    <w:p>
      <w:pPr>
        <w:spacing w:after="0" w:line="183" w:lineRule="exact"/>
        <w:rPr>
          <w:sz w:val="20"/>
          <w:szCs w:val="20"/>
          <w:color w:val="auto"/>
        </w:rPr>
      </w:pPr>
    </w:p>
    <w:p>
      <w:pPr>
        <w:ind w:left="160" w:right="4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Friedman Industries, Incorporated and subsidiary as of March 31, 2022 and 2021, the related consolidated statements of operations, comprehensive income, stockholders’ equity and cash flows for the years then ended, and the related notes and schedule (collectively referred to as the “consolidated financial statements”) and our report dated August 2, 2022 expressed an unqualified opinion on those consolidated financial statements</w:t>
      </w:r>
      <w:r>
        <w:rPr>
          <w:rFonts w:ascii="Times New Roman" w:cs="Times New Roman" w:eastAsia="Times New Roman" w:hAnsi="Times New Roman"/>
          <w:sz w:val="18"/>
          <w:szCs w:val="18"/>
          <w:i w:val="1"/>
          <w:iCs w:val="1"/>
          <w:color w:val="auto"/>
        </w:rPr>
        <w:t>.</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left="160" w:right="16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left="160" w:right="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160" w:right="140"/>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in Management's Report on Internal Control over Financial Reporting:</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u w:val="single" w:color="auto"/>
          <w:color w:val="auto"/>
        </w:rPr>
        <w:t>Ineffective control activities to support the financial reporting process.</w:t>
      </w:r>
    </w:p>
    <w:p>
      <w:pPr>
        <w:spacing w:after="0" w:line="227"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The Company did not design and implement appropriate control activities necessary to provide reasonable assurance regarding the reliability of financial reporting and the preparation of the financial statements. Specifically:</w:t>
      </w:r>
    </w:p>
    <w:p>
      <w:pPr>
        <w:spacing w:after="0" w:line="162" w:lineRule="exact"/>
        <w:rPr>
          <w:sz w:val="20"/>
          <w:szCs w:val="20"/>
          <w:color w:val="auto"/>
        </w:rPr>
      </w:pPr>
    </w:p>
    <w:p>
      <w:pPr>
        <w:jc w:val="both"/>
        <w:ind w:left="980" w:right="360" w:hanging="324"/>
        <w:spacing w:after="0" w:line="282" w:lineRule="auto"/>
        <w:tabs>
          <w:tab w:leader="none" w:pos="98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relevant control activities necessary to address all identified risks of material misstatement. Additionally, in certain cases, controls were designed and implemented without a sufficient period of time remaining to evidence operating effectiveness.</w:t>
      </w:r>
    </w:p>
    <w:p>
      <w:pPr>
        <w:spacing w:after="0" w:line="161" w:lineRule="exact"/>
        <w:rPr>
          <w:rFonts w:ascii="Times New Roman" w:cs="Times New Roman" w:eastAsia="Times New Roman" w:hAnsi="Times New Roman"/>
          <w:sz w:val="18"/>
          <w:szCs w:val="18"/>
          <w:color w:val="auto"/>
        </w:rPr>
      </w:pPr>
    </w:p>
    <w:p>
      <w:pPr>
        <w:ind w:left="980" w:right="880" w:hanging="324"/>
        <w:spacing w:after="0" w:line="282" w:lineRule="auto"/>
        <w:tabs>
          <w:tab w:leader="none" w:pos="98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design and implement control activities to ensure completeness and accuracy of the data and reports used in performance of controls.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review controls were not designed to operate at a level of precision sufficient to identify all potential material errors.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controls were not executed as designed or were performed without sufficient documentation supporting the execution of the controls.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inadequate segregation of duties for certain transaction cycles.</w:t>
      </w:r>
    </w:p>
    <w:p>
      <w:pPr>
        <w:spacing w:after="0" w:line="252" w:lineRule="exact"/>
        <w:rPr>
          <w:sz w:val="20"/>
          <w:szCs w:val="20"/>
          <w:color w:val="auto"/>
        </w:rPr>
      </w:pPr>
    </w:p>
    <w:p>
      <w:pPr>
        <w:ind w:left="160"/>
        <w:spacing w:after="0" w:line="282" w:lineRule="auto"/>
        <w:rPr>
          <w:sz w:val="20"/>
          <w:szCs w:val="20"/>
          <w:color w:val="auto"/>
        </w:rPr>
      </w:pPr>
      <w:r>
        <w:rPr>
          <w:rFonts w:ascii="Times New Roman" w:cs="Times New Roman" w:eastAsia="Times New Roman" w:hAnsi="Times New Roman"/>
          <w:sz w:val="18"/>
          <w:szCs w:val="18"/>
          <w:color w:val="auto"/>
        </w:rPr>
        <w:t>We considered the material weaknesses in determining the nature, timing, and extent of audit tests applied in our audit of the Company’s consolidated financial statements as of and for the year ended March 31, 2022, and our opinion on such consolidated financial statements was not affected.</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left="160"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left="160" w:right="140"/>
        <w:spacing w:after="0" w:line="31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w:t>
      </w:r>
    </w:p>
    <w:p>
      <w:pPr>
        <w:sectPr>
          <w:pgSz w:w="11900" w:h="16838" w:orient="portrait"/>
          <w:cols w:equalWidth="0" w:num="1">
            <w:col w:w="11240"/>
          </w:cols>
          <w:pgMar w:left="320" w:top="552" w:right="339" w:bottom="0" w:gutter="0" w:footer="0" w:header="0"/>
        </w:sectPr>
      </w:pPr>
    </w:p>
    <w:bookmarkStart w:id="640" w:name="page641"/>
    <w:bookmarkEnd w:id="640"/>
    <w:p>
      <w:pPr>
        <w:spacing w:after="0"/>
        <w:rPr>
          <w:sz w:val="20"/>
          <w:szCs w:val="20"/>
          <w:color w:val="auto"/>
        </w:rPr>
      </w:pPr>
      <w:r>
        <w:rPr>
          <w:rFonts w:ascii="Times New Roman" w:cs="Times New Roman" w:eastAsia="Times New Roman" w:hAnsi="Times New Roman"/>
          <w:sz w:val="18"/>
          <w:szCs w:val="18"/>
          <w:color w:val="auto"/>
        </w:rPr>
        <w:t>compliance with the policies or procedures may deteriorate.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79"/>
          </w:cols>
          <w:pgMar w:left="480" w:top="122" w:right="1440" w:bottom="1440" w:gutter="0" w:footer="0" w:header="0"/>
        </w:sectPr>
      </w:pPr>
    </w:p>
    <w:bookmarkStart w:id="641" w:name="page642"/>
    <w:bookmarkEnd w:id="641"/>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August 2, 2022</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1" w:right="1440" w:bottom="1440" w:gutter="0" w:footer="0" w:header="0"/>
        </w:sectPr>
      </w:pPr>
    </w:p>
    <w:bookmarkStart w:id="642" w:name="page643"/>
    <w:bookmarkEnd w:id="642"/>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20" w:right="20" w:firstLine="324"/>
        <w:spacing w:after="0" w:line="256" w:lineRule="auto"/>
        <w:rPr>
          <w:sz w:val="20"/>
          <w:szCs w:val="20"/>
          <w:color w:val="auto"/>
        </w:rPr>
      </w:pPr>
      <w:r>
        <w:rPr>
          <w:rFonts w:ascii="Times New Roman" w:cs="Times New Roman" w:eastAsia="Times New Roman" w:hAnsi="Times New Roman"/>
          <w:sz w:val="18"/>
          <w:szCs w:val="18"/>
          <w:color w:val="auto"/>
        </w:rPr>
        <w:t>As of March 31, 2022, we performed an evaluation under the supervision and with the participation of management, including our Chief Executive Officer and our Chief Financial Officer, of the design and effectiveness of our disclosure controls and procedures (as defined in Rules 13a-15(e) or 15d-15(e) under the Securities Exchange Act of 1934 as amended (the “Exchange Act”). Based upon that evaluation, our Chief Executive Officer and Chief Financial Officer concluded, as of the end of the period covered by this Annual Report that our disclosure controls and procedures were not effective due to material weaknesses in internal control over financial reporting as discussed in Management's Report on Internal Control over Financial Reporting provided below.</w:t>
      </w:r>
    </w:p>
    <w:p>
      <w:pPr>
        <w:spacing w:after="0" w:line="187" w:lineRule="exact"/>
        <w:rPr>
          <w:sz w:val="20"/>
          <w:szCs w:val="20"/>
          <w:color w:val="auto"/>
        </w:rPr>
      </w:pPr>
    </w:p>
    <w:p>
      <w:pPr>
        <w:ind w:left="20" w:right="500"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material weaknesses described in Management's Report on Internal Control Over Financial Reporting, our management has concluded that our consolidated financial statements for the periods covered by and included in this Annual Report are prepared in accordance with accounting principles generally accepted in the United States (“GAAP”) and fairly present, in all material respects, our financial position, results of operations and cash flows for each of the periods presented herein.</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20" w:right="140" w:firstLine="32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is defined in the Exchange Act. Internal control over financial reporting is a process designed to provide reasonable assurance regarding the reliability of our financial reporting and the preparation of financial statements for external reporting purposes in accordance with GAAP.</w:t>
      </w:r>
    </w:p>
    <w:p>
      <w:pPr>
        <w:spacing w:after="0" w:line="176" w:lineRule="exact"/>
        <w:rPr>
          <w:sz w:val="20"/>
          <w:szCs w:val="20"/>
          <w:color w:val="auto"/>
        </w:rPr>
      </w:pPr>
    </w:p>
    <w:p>
      <w:pPr>
        <w:ind w:left="2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20"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management conducted an evaluation, under the supervision and with the participation of our Chief Executive Officer and Chief Financial Officer,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this evaluation, our management concluded that our internal control over financial reporting was not effective at March 31, 2022 because of the material weaknesses described below.</w:t>
      </w:r>
    </w:p>
    <w:p>
      <w:pPr>
        <w:spacing w:after="0" w:line="180" w:lineRule="exact"/>
        <w:rPr>
          <w:sz w:val="20"/>
          <w:szCs w:val="20"/>
          <w:color w:val="auto"/>
        </w:rPr>
      </w:pPr>
    </w:p>
    <w:p>
      <w:pPr>
        <w:ind w:left="20" w:right="60" w:firstLine="324"/>
        <w:spacing w:after="0" w:line="266" w:lineRule="auto"/>
        <w:rPr>
          <w:sz w:val="20"/>
          <w:szCs w:val="20"/>
          <w:color w:val="auto"/>
        </w:rPr>
      </w:pPr>
      <w:r>
        <w:rPr>
          <w:rFonts w:ascii="Times New Roman" w:cs="Times New Roman" w:eastAsia="Times New Roman" w:hAnsi="Times New Roman"/>
          <w:sz w:val="18"/>
          <w:szCs w:val="18"/>
          <w:color w:val="auto"/>
        </w:rPr>
        <w:t>Based on the COSO criteria, management identified control deficiencies that constitute material weaknesses.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were identified:</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related to financial closing and reporting process</w:t>
      </w:r>
    </w:p>
    <w:p>
      <w:pPr>
        <w:spacing w:after="0" w:line="229" w:lineRule="exact"/>
        <w:rPr>
          <w:sz w:val="20"/>
          <w:szCs w:val="20"/>
          <w:color w:val="auto"/>
        </w:rPr>
      </w:pPr>
    </w:p>
    <w:p>
      <w:pPr>
        <w:ind w:left="20" w:right="80" w:firstLine="324"/>
        <w:spacing w:after="0" w:line="255" w:lineRule="auto"/>
        <w:rPr>
          <w:sz w:val="20"/>
          <w:szCs w:val="20"/>
          <w:color w:val="auto"/>
        </w:rPr>
      </w:pPr>
      <w:r>
        <w:rPr>
          <w:rFonts w:ascii="Times New Roman" w:cs="Times New Roman" w:eastAsia="Times New Roman" w:hAnsi="Times New Roman"/>
          <w:sz w:val="18"/>
          <w:szCs w:val="18"/>
          <w:color w:val="auto"/>
        </w:rPr>
        <w:t>During its assessment of internal control over financial reporting, management concluded that the Company did not design and implement appropriate control activities necessary to provide reasonable assurance regarding the reliability of financial reporting and the preparation of the financial statements. In certain cases, controls were designed and implemented late in the fiscal year, thus did not have sufficient time to evidence their operating effectiveness. Certain management review controls were not designed to operate at an appropriate level of precision to detect potential material errors. In addition, for certain controls, segregation of duties was not adequate. For a number of controls, documentation of completeness and accuracy of key reports was not adequately maintained as well as support for evidence of performance was insufficient. Management also identified instances of certain controls missing that would be necessary to address risks of material misstatement in some transaction cycles.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Plan for Remediation</w:t>
      </w:r>
    </w:p>
    <w:p>
      <w:pPr>
        <w:spacing w:after="0" w:line="229" w:lineRule="exact"/>
        <w:rPr>
          <w:sz w:val="20"/>
          <w:szCs w:val="20"/>
          <w:color w:val="auto"/>
        </w:rPr>
      </w:pPr>
    </w:p>
    <w:p>
      <w:pPr>
        <w:ind w:left="20"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will continue to engage third party consultants to assist the Company with further evaluation, design, precision and documentation supporting execution of its internal controls over financial reporting. The Company has determined that the number of accounting personnel and the limited utilization of information technology in its control structure are the primary contributing factors to the material weaknesses identified. As a part of the transaction with Plateplus, the Company expects to have eight additional accounting personnel convert from Plateplus employment to Friedman employment in the September 2022 to October 2022 timeframe. Additionally, as part of the Plateplus transaction, the Company expects to transfer the enterprise resource planning (“ERP”) system that was in place at Plateplus to Friedman at the end of August 2022. The Company will then work to integrate all of its operations into the transferred ERP system. The Company expects the additional accounting personnel to allow for improved segregation of duties and consistent execution of controls. The Company expects the new ERP system to allow for many of the Company’s current manual controls and missing controls to be performed by the design and capabilities of the ERP system rather than relying on manual human execution.</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229" w:lineRule="exact"/>
        <w:rPr>
          <w:sz w:val="20"/>
          <w:szCs w:val="20"/>
          <w:color w:val="auto"/>
        </w:rPr>
      </w:pPr>
    </w:p>
    <w:p>
      <w:pPr>
        <w:ind w:left="20" w:right="360" w:firstLine="324"/>
        <w:spacing w:after="0" w:line="282" w:lineRule="auto"/>
        <w:rPr>
          <w:sz w:val="20"/>
          <w:szCs w:val="20"/>
          <w:color w:val="auto"/>
        </w:rPr>
      </w:pPr>
      <w:r>
        <w:rPr>
          <w:rFonts w:ascii="Times New Roman" w:cs="Times New Roman" w:eastAsia="Times New Roman" w:hAnsi="Times New Roman"/>
          <w:sz w:val="18"/>
          <w:szCs w:val="18"/>
          <w:color w:val="auto"/>
        </w:rPr>
        <w:t>The Company’s registered public accounting firm’s attestation report on our internal control over financial reporting is set forth on page 26 of this Annual Report to Shareholders for the Fiscal year ended March 31, 2022.</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180" w:right="240" w:firstLine="324"/>
        <w:spacing w:after="0" w:line="282" w:lineRule="auto"/>
        <w:rPr>
          <w:sz w:val="20"/>
          <w:szCs w:val="20"/>
          <w:color w:val="auto"/>
        </w:rPr>
      </w:pPr>
      <w:r>
        <w:rPr>
          <w:rFonts w:ascii="Times New Roman" w:cs="Times New Roman" w:eastAsia="Times New Roman" w:hAnsi="Times New Roman"/>
          <w:sz w:val="18"/>
          <w:szCs w:val="18"/>
          <w:color w:val="auto"/>
        </w:rPr>
        <w:t>Except for the matters discussed above, 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7" w:right="339" w:bottom="1440" w:gutter="0" w:footer="0" w:header="0"/>
        </w:sectPr>
      </w:pPr>
    </w:p>
    <w:bookmarkStart w:id="643" w:name="page644"/>
    <w:bookmarkEnd w:id="643"/>
    <w:p>
      <w:pPr>
        <w:jc w:val="both"/>
        <w:spacing w:after="0" w:line="277" w:lineRule="auto"/>
        <w:rPr>
          <w:sz w:val="20"/>
          <w:szCs w:val="20"/>
          <w:color w:val="auto"/>
        </w:rPr>
      </w:pPr>
      <w:r>
        <w:rPr>
          <w:rFonts w:ascii="Times New Roman" w:cs="Times New Roman" w:eastAsia="Times New Roman" w:hAnsi="Times New Roman"/>
          <w:sz w:val="32"/>
          <w:szCs w:val="32"/>
          <w:b w:val="1"/>
          <w:bCs w:val="1"/>
          <w:color w:val="auto"/>
        </w:rPr>
        <w:t>MANAGEMENT’S DISCUSSION AND ANALYSIS OF FINANCIAL CONDITION AND RESULTS OF OPERATIONS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Friedman Industries, Incorporated is a manufacturer and processor of steel products and operates in two reportable segments: coil products and tubular products.</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coil product segment consists of the operation of two hot-rolled coil processing facilities; one in Hickman, Arkansas (“Hickman”) and the other in Decatur, Alabama (“Decatur”). The Hickman facility operates a temper mill and a cut-to-length line and the Decatur facility operates a stretcher leveler cut-to-length line. The equipment at both facilities improves the flatness and surface qualities of the coils and cuts the coils into sheet and plate of prescribed lengths. The Hickman facility is capable of cutting sheet and plate with thicknesses ranging from 14 gauge to ½” thick in widths ranging from 36” wide to 72” wide. The Decatur facility is capable of cutting sheet and plate with thicknesses ranging from 14 guage to ½” thick in widths ranging from 36" wide to 96" wide. The coil product segment sells its prime grade inventory under the Friedman Industries name but also maintains an inventory of non-standard coil products, consisting primarily of mill secondary and excess prime coils, which are sold through the Company’s XSCP division. The coil product segment also processes customer-owned coils on a fee basis.</w:t>
      </w:r>
    </w:p>
    <w:p>
      <w:pPr>
        <w:spacing w:after="0" w:line="192"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On May 25, 2021, the Company announced plans for a new facility in Sinton, Texas that will be part of the coil product segment. The new facility is on the campus of Steel Dynamics, Inc.'s ("SDI") new flat roll steel mill in Sinton, Texas. The Company's new location consists of an approximately 70,000 square foot building located on approximately 26.5 acres leased from SDI under a 99-year agreement. The Company contracted with Red Bud Industries to build one of the world’s largest stretcher leveler cut-to-length lines, capable of handling material up to 1” thick, widths up to 96” and yields exceeding 100,000 psi. The Company expects the equipment commissioning to occur during August 2022 and September 2022 and then expects expanded production levels beginning in October 2022. The total cost of the project is estimated to be $21 million. At March 31, 2022, the Company's construction in process related to the Sinton project was $15,925,306 consisting of $7,843,782 in cash payments and $8,081,524 of accrued capital expenditures. The Company expects to fund the remainder of the Sinton capital expenditure through a combination of cash generated from operations and funds drawn under the ABL Facility. After an initial ramp up period, the Company expects the facility’s annual shipments could be in the range of 110,000 tons to 140,000 tons for fiscal 2024.</w:t>
      </w:r>
    </w:p>
    <w:p>
      <w:pPr>
        <w:spacing w:after="0" w:line="194" w:lineRule="exact"/>
        <w:rPr>
          <w:sz w:val="20"/>
          <w:szCs w:val="20"/>
          <w:color w:val="auto"/>
        </w:rPr>
      </w:pPr>
    </w:p>
    <w:p>
      <w:pPr>
        <w:jc w:val="both"/>
        <w:ind w:firstLine="441"/>
        <w:spacing w:after="0" w:line="257" w:lineRule="auto"/>
        <w:rPr>
          <w:sz w:val="20"/>
          <w:szCs w:val="20"/>
          <w:color w:val="auto"/>
        </w:rPr>
      </w:pPr>
      <w:r>
        <w:rPr>
          <w:rFonts w:ascii="Times New Roman" w:cs="Times New Roman" w:eastAsia="Times New Roman" w:hAnsi="Times New Roman"/>
          <w:sz w:val="18"/>
          <w:szCs w:val="18"/>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licensed to manufacture line pipe and oil country pipe and also manufacture pipe for structural purposes that meets other recognized industry standards. TTP has a pipe finishing facility capable of applying threads and couplings to oil country tubular goods and performing other services that are customary in the pipe finishing process. The pipe finishing facility is currently idled. TTP’s inventory consists of raw materials and finished goods. Raw material inventory consists of hot-rolled steel coils that TTP will manufacture into pipe. Finished goods inventory consists of pipe TTP has manufactured and new mill reject pipe that TTP purchased from U.S. Steel Tubular Products,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March 31, 2022 compared to year ended March 31, 2021</w:t>
      </w:r>
    </w:p>
    <w:p>
      <w:pPr>
        <w:spacing w:after="0" w:line="22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During the year ended March 31, 2022 ("fiscal 2022"), sales, costs of goods sold and gross profit increased $159,132,219, $141,730,139 and $17,402,080, respectively, from the comparable amounts recorded during the year ended March 31, 2021 (“fiscal 2021”). The increase in sales was related to both an increase in sales volume and an increase in the average selling price. Sales volume increased from approximately 173,000 tons in fiscal 2021 to approximately 200,000 tons in fiscal 2022. Discussion of the changes in sales volume and average selling price is expanded upon at the segment level in the following paragraphs. Gross profit as a percentage of sales decreased from approximately 18.7% in fiscal 2021 to approximately 14.4% in fiscal 2022. Gross profit for fiscal 2022 included $21,120,020 in recognized losses related to hedging activities while gross profit for fiscal 2021 included $6,414,500 in recognized gains related to hedging activities. Excluding the recognized hedging gains and losses, gross profit related to physical material as a percentage of sales was approximately 19.6% for fiscal 2022 compared to approximately 13.6% for fiscal 2021.</w:t>
      </w:r>
    </w:p>
    <w:p>
      <w:pPr>
        <w:spacing w:after="0" w:line="19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Our operating results are significantly impacted by the market price of hot-rolled steel coil. The Company experienced significant volatility in steel price during both fiscal 2022 and fiscal 2021. The start of fiscal 2021 coincided with the COVID-19 virus starting to have a broad impact across the United States. From March 2020 to August 2020 steel prices declined approximately 25% in response to the initial impacts of COVID-19 on steel industry demand. In August 2020, steel prices began a historic run up, increasing approximately 350% through September 2021. From October 2021 through February 2022, steel prices declined approximately 50% until starting to increase in March 2022 in response to the Russian invasion of Ukraine. With the volatility of steel prices, the Company saw periods of both expanding and contracting margins in fiscal 2022 and fiscal 2021. The overall results for both years is characterized by higher-than-average margins with fiscal 2022 being the most profitable year in Company history and fiscal 2021 being the third most profitable year.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644" w:name="page645"/>
    <w:bookmarkEnd w:id="644"/>
    <w:p>
      <w:pPr>
        <w:spacing w:after="0"/>
        <w:rPr>
          <w:sz w:val="20"/>
          <w:szCs w:val="20"/>
          <w:color w:val="auto"/>
        </w:rPr>
      </w:pPr>
      <w:r>
        <w:rPr>
          <w:rFonts w:ascii="Times New Roman" w:cs="Times New Roman" w:eastAsia="Times New Roman" w:hAnsi="Times New Roman"/>
          <w:sz w:val="18"/>
          <w:szCs w:val="18"/>
          <w:b w:val="1"/>
          <w:bCs w:val="1"/>
          <w:color w:val="auto"/>
        </w:rPr>
        <w:t>Coil Segment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Coil product segment sales for fiscal 2022 totaled $230,438,149 compared to $95,264,555 for fiscal 2021. For a more complete understanding of the average selling prices of goods sold, it is helpful to exclude any hedging related gains or losses that are captured in sales and any sales generated from processing of customer owned material. Coil segment sales for fiscal 2022 were reduced by $28,441,660 for the recognition of hedging related losses. Coil segment sales for fiscal 2021 were not impacted by any hedging related gains or losses. Sales generated from processing of customer owned material totaled $1,357,891 for fiscal 2022 compared to $917,296 for fiscal 2021. Sales generated from coil segment inventory, excluding the impact of any hedging related gains or losses, totaled $257,521,918 for fiscal 2022 compared to $94,347,259 for fiscal 2021. The increase in coil segment sales was driven by both an increase in sales volume and an increase in the average selling price of tons shipped from inventory. Inventory tons sold increased from approximately 130,500 tons in fiscal 2021 to approximately 152,000 tons in fiscal 2022. The average per ton selling price related to these shipments increased from approximately $722 per ton in fiscal 2021 to approximately $1,693 per ton in fiscal 2022. Coil segment operations recorded operating profits of approximately $31,791,000 and $16,467,000 in fiscal 2022 and fiscal 2021, respectively. Operating profit for fiscal 2022 includes net recognized losses on hedging activities of $18,032,080 while fiscal 2021 operating profit included recognized gains on hedging activities of $5,500,000.</w:t>
      </w:r>
    </w:p>
    <w:p>
      <w:pPr>
        <w:spacing w:after="0" w:line="192"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Company’s coil segment purchases its inventory from a limited number of suppliers. Loss of any of these suppliers could have a material adverse effect on the Company’s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Tubular Segment</w:t>
      </w:r>
    </w:p>
    <w:p>
      <w:pPr>
        <w:spacing w:after="0" w:line="229"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Tubular product segment sales for fiscal 2022 totaled $54,796,603 compared to $30,837,978 for fiscal 2021. Sales increased due to both an increase in the volume sold and an increase in the average selling price per ton. For a more complete understanding of the average selling prices of goods sold, it is helpful to exclude any hedging related gains or losses that are captured in sales. Tubular segment sales for fiscal 2022 were reduced by $3,311,260 for the recognition of hedging related losses. Tubular segment sales for fiscal 2021 were not impacted by any hedging related gains or losses. Sales generated from tubular segment inventory, excluding the impact of any hedging related gains or losses, totaled $58,107,863 for fiscal 2022 compared to $30,837,978 for fiscal 2021. The average per ton selling price related to these shipments increased from approximately $730 per ton for fiscal 2021 to approximately $1,221 per ton for fiscal 2022. Tons sold increased from approximately 42,000 tons in fiscal 2021 to approximately 47,500 tons in fiscal 2022. Tubular segment operations recorded an operating profit of approximately $2,424,000 for fiscal 2022 compared to an operating profit of approximately $2,923,000 for fiscal 2021. Operating profit for fiscal 2022 includes net recognized losses on hedging activities of $3,087,940 while fiscal 2021 operating profit included recognized gains on hedging activities of $914,500.</w:t>
      </w:r>
    </w:p>
    <w:p>
      <w:pPr>
        <w:spacing w:after="0" w:line="194"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The tubular segment purchases its inventory from a limited number of suppliers. Loss of any of these suppliers could have a material adverse effect on the Company’s business. In March 2020, U.S. Steel announced the idling of their Lone Star Tubular Operations which was our sole supplier of mill reject pipe. U.S. Steel's facility was idled as announced and the Company's receipts of mill reject pipe ceased in August 2020. At March 31, 2022, we had approximately 1,200 tons of mill reject inventory with substantially all of this material expected to sell in the following quarter. For the fiscal year ended March 31, 2022, sales of mill reject pipe totaled approximately $10,312,000 and accounted for approximately $3,824,000 of the tubular segment's operating profit for the period with approximately $1,280,000 of allocated operating, administrative and selling expenses included in the calculation of operating profit related to mill reject pipe. For the fiscal year ended March 31, 2021, sales of mill reject pipe totaled approximately $5,284,000 and accounted for approximately $1,313,000 of the tubular segment's operating profit for the period with approximately $802,000 of allocated operating, administrative and selling expenses included in the calculation of operating profit related to mill reject pipe. The Company is expanding its manufactured pipe sales to counteract the impact of mill reject sales ending in the near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645" w:name="page646"/>
    <w:bookmarkEnd w:id="645"/>
    <w:p>
      <w:pPr>
        <w:spacing w:after="0"/>
        <w:rPr>
          <w:sz w:val="20"/>
          <w:szCs w:val="20"/>
          <w:color w:val="auto"/>
        </w:rPr>
      </w:pPr>
      <w:r>
        <w:rPr>
          <w:rFonts w:ascii="Times New Roman" w:cs="Times New Roman" w:eastAsia="Times New Roman" w:hAnsi="Times New Roman"/>
          <w:sz w:val="18"/>
          <w:szCs w:val="18"/>
          <w:b w:val="1"/>
          <w:bCs w:val="1"/>
          <w:color w:val="auto"/>
        </w:rPr>
        <w:t>General, Selling and Administrative Costs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During fiscal 2022, general, selling and administrative costs increased approximately $4,632,000 compared to fiscal 2021. This increase was related primarily to payroll and professional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(Loss)</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For fiscal 2022, the Company reported other loss of approximately $9,934,000. This loss consists primarily of a loss of approximately $11,636,000 on derivative instruments not designated for hedge accounting partially offset by a gain of approximately $1,707,000 associated with the forgiveness of the Company's Paycheck Protection Program loan. For fiscal 2021, the Company reported an other loss of approximately $503,500 which was the result of a loss of approximately $515,000 on derivative instruments not designated for hedge accounting partially offset by other income of approximately $11,500 for the increase in cash surrender value of life insurance policies the Company holds on its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Income taxes increased from a provision for fiscal 2021 of $3,797,498 to a provision for fiscal 2022 of $4,264,236. This increase was related primarily to the increased earnings before tax for fiscal 2022 compared to fiscal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SOURCES OF CAPITAL</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Company's current ratio was 2.1 and 2.7 at March 31, 2022 and March 31, 2021, respectively. Working capital was $64,551,208 at March 31, 2022 and $48,462,364 at March 31, 2021.</w:t>
      </w:r>
    </w:p>
    <w:p>
      <w:pPr>
        <w:spacing w:after="0" w:line="16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During the year ended March 31, 2022, the Company maintained assets and liabilities at levels it believed were commensurate with operations. Changes in balance sheet amounts occurred in the ordinary course of business. Accounts receivable, inventories and accounts payable increased significantly due primarily to the significant increase in steel prices. Inventories and accounts payable also increased due to the Decatur facility's higher operating level post equipment replacement, the tubular segment's plans to expand manufactured pipe production and overall timing and volume of inventory shipments around fiscal year-end. The accounts payable balance also increased due to approximately $8,082,000 of accrued capital expenditures related to the Sinton facility construction. Cash decreased primarily from the Company's operating activities and from the purchase of property, plant and equipment partially offset by cash provided from the Company's credit facility. The Company expects to continue to monitor, evaluate and manage balance sheet components depending on changes in market conditions and the Company’s operations.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June 2021, the Small Business Administration authorized full forgiveness of the Company's Paycheck Protection Program loan.</w:t>
      </w:r>
    </w:p>
    <w:p>
      <w:pPr>
        <w:spacing w:after="0" w:line="225"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providing for a $10 million revolving line of credit facility (the "Interim Credit Facility) with JPMorgan Chase Bank, N.A. (the "Bank"). The term of the Interim Credit Facility had an expiration date of July 15, 2021 because the Company was evaluating options for longer term credit arrangements. On April 12, 2021, the Company executed a first amendment to the Interim Credit Facility that increased the size of the facility from $10 million to $20 million. On May 19, 2021, the Company entered into an Amended and Restated Credit Agreement ("ABL Facility") with the Bank that amends and restates the Interim Credit Facility and provided for asset-based revolving loans in an aggregate principal amount up to $40 million. On March 11, 2022, the Company executed a first amendment to the ABL Facility which increased the size of the facility from $40 million to $75 million. On April 29, 2022, the Company executed a second amendment to the ABL Facility which increased the size of the facility from $75 million to $150 million. On July 6, 2022, the Company executed a third amendment to the ABL Facility in order to provide for the syndication of the asset-based revolving loans available thereunder with BMO Harris Bank, N.A. ("BMO") and also entered into a new Revolving Note payable to BMO in a principal amount of up to $50 million. The ABL Facility matures on May 19, 2026 and is secured by substantially all of the assets of the Company. The Company can elect borrowing on a floating rate basis or a term basis. Floating rate borrowings accrue interest at a rate equal to the prime rate minus 1% per annum. Term rate borrowings accrue interest at a rate equal to the SOFR rate applicable to the selected term plus 1.8% per annum. More details regarding the ABL Facility may be found in Note 15. As of the filing date of this Form 10-K, the Company had borrowings of approximately $75 million outstanding under the ABL Facility and the Company had full access to the ABL Facility.</w:t>
      </w:r>
    </w:p>
    <w:p>
      <w:pPr>
        <w:spacing w:after="0" w:line="197"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believes that its cash flows from operations and credit availability are adequate to fund its expected cash requirements for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CONTRACTS</w:t>
      </w:r>
    </w:p>
    <w:p>
      <w:pPr>
        <w:spacing w:after="0" w:line="22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From time to time, the Company may use futures contracts to partially manage exposure to commodity price risk. The Company elects hedge accounting for some of its derivatives and classifies the transactions as either cash flow hedges or fair value hedges. The Company may also transact futures contracts where hedge accounting is not elected. For fiscal 2022, the Company recognized net losses of $21,120,020 related to derivatives designated for hedge accounting and classified as cash flow hedges and recognized losses of $11,636,120 related to derivatives not designated for hedge accounting. For fiscal 2021, the Company recognized gains of $6,414,500 related to derivatives designated for hedge accounting and classified as cash flow hedges and recognized losses of $515,160 related to derivatives not designated for hedge accounting. See Note 6 for further information related to the Company's derivative financial instruments.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646" w:name="page647"/>
    <w:bookmarkEnd w:id="646"/>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left="40" w:firstLine="441"/>
        <w:spacing w:after="0" w:line="258" w:lineRule="auto"/>
        <w:rPr>
          <w:sz w:val="20"/>
          <w:szCs w:val="20"/>
          <w:color w:val="auto"/>
        </w:rPr>
      </w:pPr>
      <w:r>
        <w:rPr>
          <w:rFonts w:ascii="Times New Roman" w:cs="Times New Roman" w:eastAsia="Times New Roman" w:hAnsi="Times New Roman"/>
          <w:sz w:val="18"/>
          <w:szCs w:val="18"/>
          <w:color w:val="auto"/>
        </w:rPr>
        <w:t>On April 30, 2022, the Company acquired two coil processing facilities located in East Chicago, Indiana and Granite City, Illinois from Plateplus, Inc. ("Plateplus"). The facilities operate temper mills and cut-to-length lines and became part of the Company's coil segment. Additionally, the Company purchased all of the steel inventory from two other Plateplus locations in Loudon, Tennessee and Houston, Texas. Plateplus has provided us toll processing services of this inventory as we work to transition customer business that was typically handled in Loudon and Houston to our Decatur, Alabama and Sinton, Texas locations. We expect the transaction will be transformative for the future of the Company.</w:t>
      </w:r>
    </w:p>
    <w:p>
      <w:pPr>
        <w:spacing w:after="0" w:line="183" w:lineRule="exact"/>
        <w:rPr>
          <w:sz w:val="20"/>
          <w:szCs w:val="20"/>
          <w:color w:val="auto"/>
        </w:rPr>
      </w:pPr>
    </w:p>
    <w:p>
      <w:pPr>
        <w:jc w:val="both"/>
        <w:ind w:left="40" w:firstLine="441"/>
        <w:spacing w:after="0" w:line="258" w:lineRule="auto"/>
        <w:rPr>
          <w:sz w:val="20"/>
          <w:szCs w:val="20"/>
          <w:color w:val="auto"/>
        </w:rPr>
      </w:pPr>
      <w:r>
        <w:rPr>
          <w:rFonts w:ascii="Times New Roman" w:cs="Times New Roman" w:eastAsia="Times New Roman" w:hAnsi="Times New Roman"/>
          <w:sz w:val="18"/>
          <w:szCs w:val="18"/>
          <w:color w:val="auto"/>
        </w:rPr>
        <w:t>At the end of fiscal 2022 steel prices started increasing considerably after the Russian invasion of Ukraine. The increase in steel prices resulted in improved margins for the first quarter of fiscal 2023 compared to the fourth quarter of fiscal 2022. The Company expects the June 30, 2022 quarter to be one of the most profitable quarters in Company history due to the margin improvement and a substantial increase in sales volume after the Plateplus transaction. Sales volume for the first quarter of fiscal 2023 was approximately 104,500 tons compared to approximately 52,000 tons for the fourth quarter of fiscal 2022, a 100% increase.</w:t>
      </w:r>
    </w:p>
    <w:p>
      <w:pPr>
        <w:spacing w:after="0" w:line="183" w:lineRule="exact"/>
        <w:rPr>
          <w:sz w:val="20"/>
          <w:szCs w:val="20"/>
          <w:color w:val="auto"/>
        </w:rPr>
      </w:pPr>
    </w:p>
    <w:p>
      <w:pPr>
        <w:jc w:val="both"/>
        <w:ind w:left="40" w:firstLine="441"/>
        <w:spacing w:after="0" w:line="253" w:lineRule="auto"/>
        <w:rPr>
          <w:sz w:val="20"/>
          <w:szCs w:val="20"/>
          <w:color w:val="auto"/>
        </w:rPr>
      </w:pPr>
      <w:r>
        <w:rPr>
          <w:rFonts w:ascii="Times New Roman" w:cs="Times New Roman" w:eastAsia="Times New Roman" w:hAnsi="Times New Roman"/>
          <w:sz w:val="18"/>
          <w:szCs w:val="18"/>
          <w:color w:val="auto"/>
        </w:rPr>
        <w:t>As disclosed in Note 6, the estimated amount of hedging related losses recognized in accumulated other comprehensive income ("AOCI") and expected to be reclassified into net earnings within the succeeding twelve months was approximately $13.5 million at March 31, 2022. This amount consisted of approximately $5.5 million in realized losses associated with closed hedges and approximately $8 million associated with open hedges that was computed using the fair value of the hedge as of March 31, 2022 and subject to change before actual reclassification into earnings due to the positions being open. All of the open positions in AOCI at March 31, 2022 were short positions. During February 2022 and March 2022, hot-rolled coil futures traded up in a historic fashion in response to the Russian invasion of Ukraine resulting in the significant loss position on open hedges at March 31, 2022. Subsequent to March 2022, hot-rolled futures have traded down significantly resulting in substantial improvement to the fair value positions related to these open hedges. The $5.5 million realized loss is expected to be recognized as a $700,000 loss in the June 30, 2022 quarter, a $1.4 million loss in the September 30, 2022 quarter, a $2.3 million loss in the December 31, 2022 quarter and a $1.1 million loss in the March 31, 2023 quarter. The expectation for the June 30, 2022 quarter to be one of the most profitable quarters in Company history includes the anticipated hedging related impact for the quarter.</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no off-balance sheet arrangements.</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left="40" w:firstLine="441"/>
        <w:spacing w:after="0" w:line="282" w:lineRule="auto"/>
        <w:rPr>
          <w:sz w:val="20"/>
          <w:szCs w:val="20"/>
          <w:color w:val="auto"/>
        </w:rPr>
      </w:pPr>
      <w:r>
        <w:rPr>
          <w:rFonts w:ascii="Times New Roman" w:cs="Times New Roman" w:eastAsia="Times New Roman" w:hAnsi="Times New Roman"/>
          <w:sz w:val="18"/>
          <w:szCs w:val="18"/>
          <w:color w:val="auto"/>
        </w:rPr>
        <w:t>During fiscal 2022 and fiscal 2021, the Company believes that the general level of inflation did not have a material effect on the Company's operations.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40" w:firstLine="498"/>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include forecasted purchases of hot-rolled coil and forecasted sales of prime coil inventory and manufactured pipe inventory in relation to hedging activities and the fair value of the pipe finishing facility, when impaired. From time to time, the Company hedges forecasted purchases and sales and may designate those transactions for hedge accounting. If the original forecasts are subsequently reduced, it could result in the Company’s hedged positions exceeding revised forecasts, thus warranting immediate recognition in earnings of previously deferred hedge income or losses associated with excess hedges. A pattern of missed forecasts could call into question the Company’s ability to accurately predict forecasted transactions and the propriety of using hedge accounting in the future for similar forecasted transactions. To mitigate against the negative consequences of missing forecasts we have set an internal policy to designate hedging instruments for accounting purposes only up to 75% of forecasted sales or purchases. Determination of forecasted purchases of hot-rolled coil and forecasted sales of prime coil inventory and manufactured pipe inventory require the Company to make assumptions related to customer demand and the volume and timing of inventory purchases. If impairment indicators are present, the pipe-finishing facility impairment analysis requires assumptions related to future operations of the facility and estimates related to the replacement cost and value in exchange for the assets. Actual results could differ from these estimates.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40" w:firstLine="441"/>
        <w:spacing w:after="0" w:line="252" w:lineRule="auto"/>
        <w:rPr>
          <w:sz w:val="20"/>
          <w:szCs w:val="20"/>
          <w:color w:val="auto"/>
        </w:rPr>
      </w:pPr>
      <w:r>
        <w:rPr>
          <w:rFonts w:ascii="Times New Roman" w:cs="Times New Roman" w:eastAsia="Times New Roman" w:hAnsi="Times New Roman"/>
          <w:sz w:val="18"/>
          <w:szCs w:val="18"/>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U.S. Securities and Exchange Commission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and trends in the oil and natural gas industry.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w:t>
      </w:r>
    </w:p>
    <w:p>
      <w:pPr>
        <w:sectPr>
          <w:pgSz w:w="11900" w:h="16838" w:orient="portrait"/>
          <w:cols w:equalWidth="0" w:num="1">
            <w:col w:w="11280"/>
          </w:cols>
          <w:pgMar w:left="280" w:top="577" w:right="339" w:bottom="0" w:gutter="0" w:footer="0" w:header="0"/>
        </w:sectPr>
      </w:pPr>
    </w:p>
    <w:bookmarkStart w:id="647" w:name="page648"/>
    <w:bookmarkEnd w:id="647"/>
    <w:p>
      <w:pPr>
        <w:spacing w:after="0" w:line="282" w:lineRule="auto"/>
        <w:rPr>
          <w:sz w:val="20"/>
          <w:szCs w:val="20"/>
          <w:color w:val="auto"/>
        </w:rPr>
      </w:pPr>
      <w:r>
        <w:rPr>
          <w:rFonts w:ascii="Times New Roman" w:cs="Times New Roman" w:eastAsia="Times New Roman" w:hAnsi="Times New Roman"/>
          <w:sz w:val="18"/>
          <w:szCs w:val="18"/>
          <w:color w:val="auto"/>
        </w:rPr>
        <w:t>publicly update or revise any forward-looking statement, whether as a result of new information, future events, changed circumstances or otherwise, except to the extent law requires.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48" w:name="page649"/>
    <w:bookmarkEnd w:id="648"/>
    <w:p>
      <w:pPr>
        <w:spacing w:after="0"/>
        <w:rPr>
          <w:sz w:val="20"/>
          <w:szCs w:val="20"/>
          <w:color w:val="auto"/>
        </w:rPr>
      </w:pPr>
      <w:r>
        <w:rPr>
          <w:rFonts w:ascii="Times New Roman" w:cs="Times New Roman" w:eastAsia="Times New Roman" w:hAnsi="Times New Roman"/>
          <w:sz w:val="32"/>
          <w:szCs w:val="32"/>
          <w:b w:val="1"/>
          <w:bCs w:val="1"/>
          <w:color w:val="auto"/>
        </w:rPr>
        <w:t>TEN YEAR FINANCIAL SUMMARY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2021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2019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88"/>
              <w:spacing w:after="0" w:line="119" w:lineRule="exact"/>
              <w:rPr>
                <w:sz w:val="20"/>
                <w:szCs w:val="20"/>
                <w:color w:val="auto"/>
              </w:rPr>
            </w:pPr>
            <w:r>
              <w:rPr>
                <w:rFonts w:ascii="Times New Roman" w:cs="Times New Roman" w:eastAsia="Times New Roman" w:hAnsi="Times New Roman"/>
                <w:sz w:val="13"/>
                <w:szCs w:val="13"/>
                <w:color w:val="auto"/>
              </w:rPr>
              <w:t>2018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2014*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As Adjusted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sales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285,234,752</w:t>
            </w:r>
          </w:p>
        </w:tc>
        <w:tc>
          <w:tcPr>
            <w:tcW w:w="1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126,102,533</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w w:val="99"/>
              </w:rPr>
              <w:t>142,102,324</w:t>
            </w:r>
          </w:p>
        </w:tc>
        <w:tc>
          <w:tcPr>
            <w:tcW w:w="14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187,154,493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121,157,278</w:t>
            </w:r>
          </w:p>
        </w:tc>
        <w:tc>
          <w:tcPr>
            <w:tcW w:w="1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77,756,055</w:t>
            </w:r>
          </w:p>
        </w:tc>
        <w:tc>
          <w:tcPr>
            <w:tcW w:w="1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81,631,382</w:t>
            </w:r>
          </w:p>
        </w:tc>
        <w:tc>
          <w:tcPr>
            <w:tcW w:w="18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108,322,780</w:t>
            </w:r>
          </w:p>
        </w:tc>
        <w:tc>
          <w:tcPr>
            <w:tcW w:w="16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116,149,022</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136,448,786</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 (loss)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14,066,322</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11,424,475</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(5,249,210)</w:t>
            </w:r>
          </w:p>
        </w:tc>
        <w:tc>
          <w:tcPr>
            <w:tcW w:w="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5,099,924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3,934,101</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(2,678,684)</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294,000</w:t>
            </w:r>
          </w:p>
        </w:tc>
        <w:tc>
          <w:tcPr>
            <w:tcW w:w="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382,330</w:t>
            </w: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1,712,926</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6,135,812</w:t>
            </w: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125,361,815</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77,534,635</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65,211,517</w:t>
            </w:r>
          </w:p>
        </w:tc>
        <w:tc>
          <w:tcPr>
            <w:tcW w:w="1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74,456,207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67,269,406</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45,432,836</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49,701,656</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50,117,355</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59,846,668</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64,283,557</w:t>
            </w: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60,810,607</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29,072,271</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9,645,359</w:t>
            </w:r>
          </w:p>
        </w:tc>
        <w:tc>
          <w:tcPr>
            <w:tcW w:w="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12,364,902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11,030,635</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2,356,590</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2,865,750</w:t>
            </w:r>
          </w:p>
        </w:tc>
        <w:tc>
          <w:tcPr>
            <w:tcW w:w="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2,651,111</w:t>
            </w: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7,770,689</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12,312,082</w:t>
            </w: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Working capital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64,551,208</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48,462,364</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55,566,158</w:t>
            </w:r>
          </w:p>
        </w:tc>
        <w:tc>
          <w:tcPr>
            <w:tcW w:w="1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62,091,305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56,238,771</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43,076,246</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46,835,906</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47,466,244</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52,075,979</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51,971,475</w:t>
            </w: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159,275,070</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95,008,809</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77,344,088</w:t>
            </w:r>
          </w:p>
        </w:tc>
        <w:tc>
          <w:tcPr>
            <w:tcW w:w="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86,601,982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81,653,307</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63,263,297</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66,890,397</w:t>
            </w:r>
          </w:p>
        </w:tc>
        <w:tc>
          <w:tcPr>
            <w:tcW w:w="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66,958,024</w:t>
            </w: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72,284,399</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76,575,129</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79,686,648</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65,339,976</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66,865,367</w:t>
            </w:r>
          </w:p>
        </w:tc>
        <w:tc>
          <w:tcPr>
            <w:tcW w:w="1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72,481,577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68,575,450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60,356,425</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63,239,047</w:t>
            </w:r>
          </w:p>
        </w:tc>
        <w:tc>
          <w:tcPr>
            <w:tcW w:w="1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63,217,025</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63,310,656</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62,957,619</w:t>
            </w:r>
          </w:p>
        </w:tc>
        <w:tc>
          <w:tcPr>
            <w:tcW w:w="0" w:type="dxa"/>
            <w:vAlign w:val="bottom"/>
          </w:tcPr>
          <w:p>
            <w:pPr>
              <w:spacing w:after="0"/>
              <w:rPr>
                <w:sz w:val="1"/>
                <w:szCs w:val="1"/>
                <w:color w:val="auto"/>
              </w:rPr>
            </w:pPr>
          </w:p>
        </w:tc>
      </w:tr>
      <w:tr>
        <w:trPr>
          <w:trHeight w:val="126"/>
        </w:trPr>
        <w:tc>
          <w:tcPr>
            <w:tcW w:w="15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earnings (loss) as a</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percentage of Net</w:t>
            </w:r>
          </w:p>
        </w:tc>
        <w:tc>
          <w:tcPr>
            <w:tcW w:w="8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2"/>
                <w:szCs w:val="12"/>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1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Weighted average</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number of common</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outstanding:</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6,623,769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6,703,654</w:t>
            </w:r>
          </w:p>
        </w:tc>
        <w:tc>
          <w:tcPr>
            <w:tcW w:w="1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7,000,403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7,010,266</w:t>
            </w: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7,009,444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6,851,944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6,799,444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6,799,444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6,799,444</w:t>
            </w: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6,799,444</w:t>
            </w: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earnings (loss) per</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2.04</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0.73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0.56</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(0.39)</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0.04</w:t>
            </w:r>
          </w:p>
        </w:tc>
        <w:tc>
          <w:tcPr>
            <w:tcW w:w="1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0.06</w:t>
            </w:r>
          </w:p>
        </w:tc>
        <w:tc>
          <w:tcPr>
            <w:tcW w:w="1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0.90</w:t>
            </w:r>
          </w:p>
        </w:tc>
        <w:tc>
          <w:tcPr>
            <w:tcW w:w="0" w:type="dxa"/>
            <w:vAlign w:val="bottom"/>
          </w:tcPr>
          <w:p>
            <w:pPr>
              <w:spacing w:after="0"/>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per</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0.08</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0.10</w:t>
            </w:r>
          </w:p>
        </w:tc>
        <w:tc>
          <w:tcPr>
            <w:tcW w:w="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0.05</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0.04</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0.04</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share</w:t>
            </w:r>
          </w:p>
        </w:tc>
        <w:tc>
          <w:tcPr>
            <w:tcW w:w="8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right="180" w:firstLine="8"/>
        <w:spacing w:after="0" w:line="258" w:lineRule="auto"/>
        <w:tabs>
          <w:tab w:leader="none" w:pos="135"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figures for fiscal years 2013 to 2017 have not been adjusted for a change in accounting principle where the Company changed its valuation method for prime coil inventory from the LIFO method to the average cost method. The change in accounting principle was effective for fiscal 2019 and fiscal 2018 figures were adjusted to meet comparative financial statement reporting requirements. The impact of the change in accounting principle on fiscal years 2013 to 2017 has not been quantified by the Company and could be material, therefore, the figures may not be comparable to fiscal years 2018 to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552" w:right="339" w:bottom="1440" w:gutter="0" w:footer="0" w:header="0"/>
        </w:sectPr>
      </w:pPr>
    </w:p>
    <w:bookmarkStart w:id="649" w:name="page650"/>
    <w:bookmarkEnd w:id="649"/>
    <w:p>
      <w:pPr>
        <w:jc w:val="right"/>
        <w:spacing w:after="0"/>
        <w:rPr>
          <w:sz w:val="20"/>
          <w:szCs w:val="20"/>
          <w:color w:val="auto"/>
        </w:rPr>
      </w:pPr>
      <w:r>
        <w:rPr>
          <w:rFonts w:ascii="Times New Roman" w:cs="Times New Roman" w:eastAsia="Times New Roman" w:hAnsi="Times New Roman"/>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FRIEDMAN INDUSTRIES,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It is the policy of Friedman Industries, Incorporated (the “Company”) to endeavor to conduct business with the highest standards of honesty and integrity and in compliance with all applicable laws. In view thereof, the Company’s Board of Directors has adopted this Code of Conduct and Ethics (the “Code”).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to other Company policies, all Company employees, directors and officers are expected to:</w:t>
      </w:r>
    </w:p>
    <w:p>
      <w:pPr>
        <w:spacing w:after="0" w:line="225" w:lineRule="exact"/>
        <w:rPr>
          <w:sz w:val="20"/>
          <w:szCs w:val="20"/>
          <w:color w:val="auto"/>
        </w:rPr>
      </w:pPr>
    </w:p>
    <w:p>
      <w:pPr>
        <w:ind w:left="660" w:hanging="207"/>
        <w:spacing w:after="0"/>
        <w:tabs>
          <w:tab w:leader="none" w:pos="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their duties honestly and with the highest degree of integrity.</w:t>
      </w:r>
    </w:p>
    <w:p>
      <w:pPr>
        <w:spacing w:after="0" w:line="225" w:lineRule="exact"/>
        <w:rPr>
          <w:rFonts w:ascii="Times New Roman" w:cs="Times New Roman" w:eastAsia="Times New Roman" w:hAnsi="Times New Roman"/>
          <w:sz w:val="18"/>
          <w:szCs w:val="18"/>
          <w:color w:val="auto"/>
        </w:rPr>
      </w:pPr>
    </w:p>
    <w:p>
      <w:pPr>
        <w:ind w:left="660" w:hanging="207"/>
        <w:spacing w:after="0"/>
        <w:tabs>
          <w:tab w:leader="none" w:pos="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actual or apparent conflicts of interest between personal and professional relationships.</w:t>
      </w:r>
    </w:p>
    <w:p>
      <w:pPr>
        <w:spacing w:after="0" w:line="225" w:lineRule="exact"/>
        <w:rPr>
          <w:rFonts w:ascii="Times New Roman" w:cs="Times New Roman" w:eastAsia="Times New Roman" w:hAnsi="Times New Roman"/>
          <w:sz w:val="18"/>
          <w:szCs w:val="18"/>
          <w:color w:val="auto"/>
        </w:rPr>
      </w:pPr>
    </w:p>
    <w:p>
      <w:pPr>
        <w:ind w:left="660" w:right="20" w:hanging="207"/>
        <w:spacing w:after="0" w:line="282" w:lineRule="auto"/>
        <w:tabs>
          <w:tab w:leader="none" w:pos="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promptly any transaction or relationship that could compromise one’s ability to (i) adhere fully to the Code, other Company policies or applicable laws or (ii) make business decisions without regard to personal gain or benefit.</w:t>
      </w:r>
    </w:p>
    <w:p>
      <w:pPr>
        <w:spacing w:after="0" w:line="161" w:lineRule="exact"/>
        <w:rPr>
          <w:rFonts w:ascii="Times New Roman" w:cs="Times New Roman" w:eastAsia="Times New Roman" w:hAnsi="Times New Roman"/>
          <w:sz w:val="18"/>
          <w:szCs w:val="18"/>
          <w:color w:val="auto"/>
        </w:rPr>
      </w:pPr>
    </w:p>
    <w:p>
      <w:pPr>
        <w:ind w:left="660" w:hanging="207"/>
        <w:spacing w:after="0" w:line="282" w:lineRule="auto"/>
        <w:tabs>
          <w:tab w:leader="none" w:pos="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at all times, to provide information to Company officials and its outside professionals (e.g. accountants, counsel, insurance providers, etc.) that is accurate, relevant, complete, objective, timely and understandable, and encourage others within the Company to do the same.</w:t>
      </w:r>
    </w:p>
    <w:p>
      <w:pPr>
        <w:spacing w:after="0" w:line="161" w:lineRule="exact"/>
        <w:rPr>
          <w:rFonts w:ascii="Times New Roman" w:cs="Times New Roman" w:eastAsia="Times New Roman" w:hAnsi="Times New Roman"/>
          <w:sz w:val="18"/>
          <w:szCs w:val="18"/>
          <w:color w:val="auto"/>
        </w:rPr>
      </w:pPr>
    </w:p>
    <w:p>
      <w:pPr>
        <w:jc w:val="both"/>
        <w:ind w:left="660" w:right="20" w:hanging="207"/>
        <w:spacing w:after="0" w:line="266" w:lineRule="auto"/>
        <w:tabs>
          <w:tab w:leader="none" w:pos="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efforts to assure full, fair, accurate, timely and understandable disclosure of information related to the Company’s business and financial operations in Company reports and documents filed with the U.S. Securities and Exchange Commission (the “SEC”) or the NYSE – American or in other public communications made by the Company.</w:t>
      </w:r>
    </w:p>
    <w:p>
      <w:pPr>
        <w:spacing w:after="0" w:line="175" w:lineRule="exact"/>
        <w:rPr>
          <w:rFonts w:ascii="Times New Roman" w:cs="Times New Roman" w:eastAsia="Times New Roman" w:hAnsi="Times New Roman"/>
          <w:sz w:val="18"/>
          <w:szCs w:val="18"/>
          <w:color w:val="auto"/>
        </w:rPr>
      </w:pPr>
    </w:p>
    <w:p>
      <w:pPr>
        <w:ind w:left="660" w:hanging="207"/>
        <w:spacing w:after="0" w:line="282" w:lineRule="auto"/>
        <w:tabs>
          <w:tab w:leader="none" w:pos="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reasonable efforts to cause the Company to comply fully with the letter and spirit of all laws, rules and regulations applicable to the Company or its business.</w:t>
      </w:r>
    </w:p>
    <w:p>
      <w:pPr>
        <w:spacing w:after="0" w:line="161" w:lineRule="exact"/>
        <w:rPr>
          <w:rFonts w:ascii="Times New Roman" w:cs="Times New Roman" w:eastAsia="Times New Roman" w:hAnsi="Times New Roman"/>
          <w:sz w:val="18"/>
          <w:szCs w:val="18"/>
          <w:color w:val="auto"/>
        </w:rPr>
      </w:pPr>
    </w:p>
    <w:p>
      <w:pPr>
        <w:jc w:val="both"/>
        <w:ind w:left="660" w:hanging="207"/>
        <w:spacing w:after="0" w:line="266" w:lineRule="auto"/>
        <w:tabs>
          <w:tab w:leader="none" w:pos="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report to the Audit Committee of the Board of Directors (the “Audit Committee”) (i) any weakness or deficiency in the design or operation of the Company’s internal controls or (ii) any fraud involving Company management or other employees having significant roles in the Company’s operations, financial reporting, disclosures or internal controls.</w:t>
      </w:r>
    </w:p>
    <w:p>
      <w:pPr>
        <w:spacing w:after="0" w:line="176"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The Board of Directors is responsible for applying and interpreting the Code. Any questions relating to how the Code should be interpreted or applied should be addressed to a supervisor, the Chief Executive Officer, the President or the Chief Financial Officer. Any employee, officer or director who becomes aware of any existing or potential violation of laws, rules, regulations or the Code should promptly notify the Chief Executive Officer, the President, the Chief Financial Officer or the Chairman of the Audit Committee. Reports may be made orally or in writing and may be made anonymously and will be kept confidential to the extent permitted. Written reports should be sent to the attention of the Chief Executive Officer, the President or the Chief Financial Officer, at P.O. Box 2192, Longview, Texas 75606. In addition, reports may be made to the Chairman of the Audit Committee by calling (713) 622-7000 or sent to Three Greenway Plaza, Suite 1700, Houston, Texas 77046.</w:t>
      </w:r>
    </w:p>
    <w:p>
      <w:pPr>
        <w:spacing w:after="0" w:line="189"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Failure to notify the Chief Executive Officer, the President, the Chief Financial Officer or the Chairman of the Audit Committee of any violation or potential violation is in itself a violation of the Code. To encourage employees to report any violations, the Company will not allow retaliation for reports made hereunder in good faith. In addition, the Company may not retaliate against any employee for providing information or assisting in the investigation of any law enforcement agency, regulatory agency or other governmental body relating to the Company.</w:t>
      </w:r>
    </w:p>
    <w:p>
      <w:pPr>
        <w:spacing w:after="0" w:line="193"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Observance of the provisions of the Code is of extreme importance to the Company. A violation of the Code will be regarded as a serious offense and may constitute grounds for disciplinary action, including, but not limited to, demotion, suspension (with or without pay), discharge, or, in the case of directors, removal from the Board of Directors and legal proceedings.</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waive some provisions of the Code. Any employee, officer or director who believes that a waiver may be called for should contact the Chief Financial Officer. Any waiver of the Code for directors and executive officers of the Company must be approved by the Company’s Board of Directors and will be promptly reported in such manner as may be required by the SEC or NYSE - American.</w:t>
      </w:r>
    </w:p>
    <w:p>
      <w:pPr>
        <w:sectPr>
          <w:pgSz w:w="11900" w:h="16838" w:orient="portrait"/>
          <w:cols w:equalWidth="0" w:num="1">
            <w:col w:w="11240"/>
          </w:cols>
          <w:pgMar w:left="320" w:top="334" w:right="339" w:bottom="1440" w:gutter="0" w:footer="0" w:header="0"/>
        </w:sectPr>
      </w:pPr>
    </w:p>
    <w:bookmarkStart w:id="650" w:name="page651"/>
    <w:bookmarkEnd w:id="650"/>
    <w:p>
      <w:pPr>
        <w:ind w:left="10120"/>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29" w:lineRule="exact"/>
        <w:rPr>
          <w:sz w:val="20"/>
          <w:szCs w:val="20"/>
          <w:color w:val="auto"/>
        </w:rPr>
      </w:pPr>
    </w:p>
    <w:p>
      <w:pPr>
        <w:spacing w:after="0"/>
        <w:tabs>
          <w:tab w:leader="none" w:pos="4720" w:val="left"/>
          <w:tab w:leader="none" w:pos="10280" w:val="left"/>
        </w:tabs>
        <w:rPr>
          <w:sz w:val="20"/>
          <w:szCs w:val="20"/>
          <w:color w:val="auto"/>
        </w:rPr>
      </w:pPr>
      <w:r>
        <w:rPr>
          <w:rFonts w:ascii="Times New Roman" w:cs="Times New Roman" w:eastAsia="Times New Roman" w:hAnsi="Times New Roman"/>
          <w:sz w:val="18"/>
          <w:szCs w:val="18"/>
          <w:color w:val="auto"/>
        </w:rPr>
        <w:t>FRIEDMAN/DECATUR, L.L.C.</w:t>
      </w:r>
      <w:r>
        <w:rPr>
          <w:sz w:val="20"/>
          <w:szCs w:val="20"/>
          <w:color w:val="auto"/>
        </w:rPr>
        <w:tab/>
      </w:r>
      <w:r>
        <w:rPr>
          <w:rFonts w:ascii="Times New Roman" w:cs="Times New Roman" w:eastAsia="Times New Roman" w:hAnsi="Times New Roman"/>
          <w:sz w:val="18"/>
          <w:szCs w:val="18"/>
          <w:color w:val="auto"/>
        </w:rPr>
        <w:t>Alabama Limited Liability Company</w:t>
      </w:r>
      <w:r>
        <w:rPr>
          <w:sz w:val="20"/>
          <w:szCs w:val="20"/>
          <w:color w:val="auto"/>
        </w:rPr>
        <w:tab/>
      </w:r>
      <w:r>
        <w:rPr>
          <w:rFonts w:ascii="Times New Roman" w:cs="Times New Roman" w:eastAsia="Times New Roman" w:hAnsi="Times New Roman"/>
          <w:sz w:val="17"/>
          <w:szCs w:val="17"/>
          <w:color w:val="auto"/>
        </w:rPr>
        <w:t>100% owned</w:t>
      </w:r>
    </w:p>
    <w:p>
      <w:pPr>
        <w:sectPr>
          <w:pgSz w:w="11900" w:h="16838" w:orient="portrait"/>
          <w:cols w:equalWidth="0" w:num="1">
            <w:col w:w="11240"/>
          </w:cols>
          <w:pgMar w:left="320" w:top="347" w:right="339" w:bottom="1440" w:gutter="0" w:footer="0" w:header="0"/>
        </w:sectPr>
      </w:pPr>
    </w:p>
    <w:bookmarkStart w:id="651" w:name="page652"/>
    <w:bookmarkEnd w:id="65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333-215223) of Friedman Industries, Incorporated (the “Company”), of our reports dated August 2, 2022, relating to the consolidated financial statements and schedule of the Company and the effectiveness of internal control over financial reporting of the Company (which report expresses an adverse opinion due to material weaknesses), appearing in this Annual Report on Form 10-K of the Company for the year ended March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2022</w:t>
      </w:r>
    </w:p>
    <w:p>
      <w:pPr>
        <w:sectPr>
          <w:pgSz w:w="11900" w:h="16838" w:orient="portrait"/>
          <w:cols w:equalWidth="0" w:num="1">
            <w:col w:w="11080"/>
          </w:cols>
          <w:pgMar w:left="480" w:top="334" w:right="339" w:bottom="1440" w:gutter="0" w:footer="0" w:header="0"/>
        </w:sectPr>
      </w:pPr>
    </w:p>
    <w:bookmarkStart w:id="652" w:name="page653"/>
    <w:bookmarkEnd w:id="6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Taylor, certify that:</w:t>
      </w:r>
    </w:p>
    <w:p>
      <w:pPr>
        <w:spacing w:after="0" w:line="225" w:lineRule="exact"/>
        <w:rPr>
          <w:sz w:val="20"/>
          <w:szCs w:val="20"/>
          <w:color w:val="auto"/>
        </w:rPr>
      </w:pPr>
    </w:p>
    <w:p>
      <w:pPr>
        <w:ind w:left="680" w:hanging="231"/>
        <w:spacing w:after="0"/>
        <w:tabs>
          <w:tab w:leader="none" w:pos="68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Friedman Industries, Incorporated;</w:t>
      </w:r>
    </w:p>
    <w:p>
      <w:pPr>
        <w:spacing w:after="0" w:line="225" w:lineRule="exact"/>
        <w:rPr>
          <w:rFonts w:ascii="Times New Roman" w:cs="Times New Roman" w:eastAsia="Times New Roman" w:hAnsi="Times New Roman"/>
          <w:sz w:val="18"/>
          <w:szCs w:val="18"/>
          <w:color w:val="auto"/>
        </w:rPr>
      </w:pPr>
    </w:p>
    <w:p>
      <w:pPr>
        <w:ind w:firstLine="449"/>
        <w:spacing w:after="0" w:line="282" w:lineRule="auto"/>
        <w:tabs>
          <w:tab w:leader="none" w:pos="673"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449"/>
        <w:spacing w:after="0" w:line="282" w:lineRule="auto"/>
        <w:tabs>
          <w:tab w:leader="none" w:pos="67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449"/>
        <w:spacing w:after="0" w:line="266" w:lineRule="auto"/>
        <w:tabs>
          <w:tab w:leader="none" w:pos="672"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440" w:firstLine="449"/>
        <w:spacing w:after="0" w:line="266" w:lineRule="auto"/>
        <w:tabs>
          <w:tab w:leader="none" w:pos="1120"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40" w:firstLine="449"/>
        <w:spacing w:after="0" w:line="266" w:lineRule="auto"/>
        <w:tabs>
          <w:tab w:leader="none" w:pos="1149"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40" w:firstLine="449"/>
        <w:spacing w:after="0" w:line="282" w:lineRule="auto"/>
        <w:tabs>
          <w:tab w:leader="none" w:pos="1152"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40" w:firstLine="449"/>
        <w:spacing w:after="0" w:line="266" w:lineRule="auto"/>
        <w:tabs>
          <w:tab w:leader="none" w:pos="1157"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449"/>
        <w:spacing w:after="0" w:line="261" w:lineRule="auto"/>
        <w:tabs>
          <w:tab w:leader="none" w:pos="667"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persons performing the equivalent functions):</w:t>
      </w:r>
    </w:p>
    <w:p>
      <w:pPr>
        <w:spacing w:after="0" w:line="206" w:lineRule="exact"/>
        <w:rPr>
          <w:rFonts w:ascii="Times New Roman" w:cs="Times New Roman" w:eastAsia="Times New Roman" w:hAnsi="Times New Roman"/>
          <w:sz w:val="18"/>
          <w:szCs w:val="18"/>
          <w:color w:val="auto"/>
        </w:rPr>
      </w:pPr>
    </w:p>
    <w:p>
      <w:pPr>
        <w:ind w:left="440" w:firstLine="449"/>
        <w:spacing w:after="0" w:line="282" w:lineRule="auto"/>
        <w:tabs>
          <w:tab w:leader="none" w:pos="1165"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40" w:right="20" w:firstLine="449"/>
        <w:spacing w:after="0" w:line="282" w:lineRule="auto"/>
        <w:tabs>
          <w:tab w:leader="none" w:pos="1191" w:val="left"/>
        </w:tabs>
        <w:numPr>
          <w:ilvl w:val="1"/>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2022</w:t>
      </w:r>
    </w:p>
    <w:p>
      <w:pPr>
        <w:spacing w:after="0" w:line="252" w:lineRule="exact"/>
        <w:rPr>
          <w:sz w:val="20"/>
          <w:szCs w:val="20"/>
          <w:color w:val="auto"/>
        </w:rPr>
      </w:pPr>
    </w:p>
    <w:p>
      <w:pPr>
        <w:ind w:left="6880"/>
        <w:spacing w:after="0"/>
        <w:tabs>
          <w:tab w:leader="none" w:pos="72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240"/>
          </w:cols>
          <w:pgMar w:left="320" w:top="334" w:right="339" w:bottom="1440" w:gutter="0" w:footer="0" w:header="0"/>
        </w:sectPr>
      </w:pPr>
    </w:p>
    <w:bookmarkStart w:id="653" w:name="page654"/>
    <w:bookmarkEnd w:id="6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LaRue, certify that:</w:t>
      </w:r>
    </w:p>
    <w:p>
      <w:pPr>
        <w:spacing w:after="0" w:line="225" w:lineRule="exact"/>
        <w:rPr>
          <w:sz w:val="20"/>
          <w:szCs w:val="20"/>
          <w:color w:val="auto"/>
        </w:rPr>
      </w:pPr>
    </w:p>
    <w:p>
      <w:pPr>
        <w:ind w:left="680" w:hanging="231"/>
        <w:spacing w:after="0"/>
        <w:tabs>
          <w:tab w:leader="none" w:pos="68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Friedman Industries, Incorporated;</w:t>
      </w:r>
    </w:p>
    <w:p>
      <w:pPr>
        <w:spacing w:after="0" w:line="225" w:lineRule="exact"/>
        <w:rPr>
          <w:rFonts w:ascii="Times New Roman" w:cs="Times New Roman" w:eastAsia="Times New Roman" w:hAnsi="Times New Roman"/>
          <w:sz w:val="18"/>
          <w:szCs w:val="18"/>
          <w:color w:val="auto"/>
        </w:rPr>
      </w:pPr>
    </w:p>
    <w:p>
      <w:pPr>
        <w:ind w:firstLine="449"/>
        <w:spacing w:after="0" w:line="282" w:lineRule="auto"/>
        <w:tabs>
          <w:tab w:leader="none" w:pos="673"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449"/>
        <w:spacing w:after="0" w:line="282" w:lineRule="auto"/>
        <w:tabs>
          <w:tab w:leader="none" w:pos="67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449"/>
        <w:spacing w:after="0" w:line="266" w:lineRule="auto"/>
        <w:tabs>
          <w:tab w:leader="none" w:pos="672"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440" w:firstLine="449"/>
        <w:spacing w:after="0" w:line="266" w:lineRule="auto"/>
        <w:tabs>
          <w:tab w:leader="none" w:pos="112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40" w:firstLine="449"/>
        <w:spacing w:after="0" w:line="266" w:lineRule="auto"/>
        <w:tabs>
          <w:tab w:leader="none" w:pos="1149"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40" w:firstLine="449"/>
        <w:spacing w:after="0" w:line="282" w:lineRule="auto"/>
        <w:tabs>
          <w:tab w:leader="none" w:pos="1152"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440" w:firstLine="449"/>
        <w:spacing w:after="0" w:line="266" w:lineRule="auto"/>
        <w:tabs>
          <w:tab w:leader="none" w:pos="1157"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449"/>
        <w:spacing w:after="0" w:line="261" w:lineRule="auto"/>
        <w:tabs>
          <w:tab w:leader="none" w:pos="667"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persons performing the equivalent functions):</w:t>
      </w:r>
    </w:p>
    <w:p>
      <w:pPr>
        <w:spacing w:after="0" w:line="206" w:lineRule="exact"/>
        <w:rPr>
          <w:rFonts w:ascii="Times New Roman" w:cs="Times New Roman" w:eastAsia="Times New Roman" w:hAnsi="Times New Roman"/>
          <w:sz w:val="18"/>
          <w:szCs w:val="18"/>
          <w:color w:val="auto"/>
        </w:rPr>
      </w:pPr>
    </w:p>
    <w:p>
      <w:pPr>
        <w:ind w:left="440" w:firstLine="449"/>
        <w:spacing w:after="0" w:line="282" w:lineRule="auto"/>
        <w:tabs>
          <w:tab w:leader="none" w:pos="1165"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40" w:firstLine="449"/>
        <w:spacing w:after="0" w:line="282" w:lineRule="auto"/>
        <w:tabs>
          <w:tab w:leader="none" w:pos="1140"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2022</w:t>
      </w:r>
    </w:p>
    <w:p>
      <w:pPr>
        <w:spacing w:after="0" w:line="200" w:lineRule="exact"/>
        <w:rPr>
          <w:sz w:val="20"/>
          <w:szCs w:val="20"/>
          <w:color w:val="auto"/>
        </w:rPr>
      </w:pPr>
    </w:p>
    <w:p>
      <w:pPr>
        <w:spacing w:after="0" w:line="295" w:lineRule="exact"/>
        <w:rPr>
          <w:sz w:val="20"/>
          <w:szCs w:val="20"/>
          <w:color w:val="auto"/>
        </w:rPr>
      </w:pPr>
    </w:p>
    <w:p>
      <w:pPr>
        <w:ind w:left="6620"/>
        <w:spacing w:after="0"/>
        <w:tabs>
          <w:tab w:leader="none" w:pos="69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Chief Financial Officer — Secretary and Treasurer</w:t>
      </w:r>
    </w:p>
    <w:p>
      <w:pPr>
        <w:sectPr>
          <w:pgSz w:w="11900" w:h="16838" w:orient="portrait"/>
          <w:cols w:equalWidth="0" w:num="1">
            <w:col w:w="11240"/>
          </w:cols>
          <w:pgMar w:left="320" w:top="334" w:right="339" w:bottom="1440" w:gutter="0" w:footer="0" w:header="0"/>
        </w:sectPr>
      </w:pPr>
    </w:p>
    <w:bookmarkStart w:id="654" w:name="page655"/>
    <w:bookmarkEnd w:id="6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Friedman Industries, Incorporated (the “Company”) on Form 10-K for the fiscal year ended March 31, 2022,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76" w:lineRule="exact"/>
        <w:rPr>
          <w:sz w:val="20"/>
          <w:szCs w:val="20"/>
          <w:color w:val="auto"/>
        </w:rPr>
      </w:pPr>
    </w:p>
    <w:p>
      <w:pPr>
        <w:ind w:left="960" w:hanging="304"/>
        <w:spacing w:after="0"/>
        <w:tabs>
          <w:tab w:leader="none" w:pos="96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firstLine="316"/>
        <w:spacing w:after="0" w:line="282" w:lineRule="auto"/>
        <w:tabs>
          <w:tab w:leader="none" w:pos="1017"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10"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/S/  MICHAEL J. TAYLOR</w:t>
            </w:r>
          </w:p>
        </w:tc>
      </w:tr>
      <w:tr>
        <w:trPr>
          <w:trHeight w:val="230"/>
        </w:trPr>
        <w:tc>
          <w:tcPr>
            <w:tcW w:w="340" w:type="dxa"/>
            <w:vAlign w:val="bottom"/>
          </w:tcPr>
          <w:p>
            <w:pPr>
              <w:spacing w:after="0"/>
              <w:rPr>
                <w:sz w:val="19"/>
                <w:szCs w:val="19"/>
                <w:color w:val="auto"/>
              </w:rPr>
            </w:pPr>
          </w:p>
        </w:tc>
        <w:tc>
          <w:tcPr>
            <w:tcW w:w="392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2022</w:t>
      </w:r>
    </w:p>
    <w:p>
      <w:pPr>
        <w:sectPr>
          <w:pgSz w:w="11900" w:h="16838" w:orient="portrait"/>
          <w:cols w:equalWidth="0" w:num="1">
            <w:col w:w="11240"/>
          </w:cols>
          <w:pgMar w:left="320" w:top="334" w:right="339" w:bottom="1440" w:gutter="0" w:footer="0" w:header="0"/>
        </w:sectPr>
      </w:pPr>
    </w:p>
    <w:bookmarkStart w:id="655" w:name="page656"/>
    <w:bookmarkEnd w:id="6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Filed Pursuant to the Securities Exchange Act of 1934</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Friedman Industries, Incorporated (the “Company”) on Form 10-K for the fiscal year ended March 31, 2022, as filed with the U.S. Securities and Exchange Commission on the date hereof (the “Report”), I, Alex LaRue, Chief Financial Officer — Secretary &amp; Treasurer of the Company, certify, pursuant to 18 U.S.C. Section 1350, as adopted pursuant to Section 906 of the Sarbanes-Oxley Act of 2002, as amended, that:</w:t>
      </w:r>
    </w:p>
    <w:p>
      <w:pPr>
        <w:spacing w:after="0" w:line="180" w:lineRule="exact"/>
        <w:rPr>
          <w:sz w:val="20"/>
          <w:szCs w:val="20"/>
          <w:color w:val="auto"/>
        </w:rPr>
      </w:pPr>
    </w:p>
    <w:p>
      <w:pPr>
        <w:ind w:left="960" w:hanging="304"/>
        <w:spacing w:after="0"/>
        <w:tabs>
          <w:tab w:leader="none" w:pos="9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firstLine="316"/>
        <w:spacing w:after="0" w:line="282" w:lineRule="auto"/>
        <w:tabs>
          <w:tab w:leader="none" w:pos="1017"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10"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  ALEX LARUE</w:t>
            </w:r>
          </w:p>
        </w:tc>
      </w:tr>
      <w:tr>
        <w:trPr>
          <w:trHeight w:val="230"/>
        </w:trPr>
        <w:tc>
          <w:tcPr>
            <w:tcW w:w="340" w:type="dxa"/>
            <w:vAlign w:val="bottom"/>
          </w:tcPr>
          <w:p>
            <w:pPr>
              <w:spacing w:after="0"/>
              <w:rPr>
                <w:sz w:val="19"/>
                <w:szCs w:val="19"/>
                <w:color w:val="auto"/>
              </w:rPr>
            </w:pPr>
          </w:p>
        </w:tc>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 — Secretary and Treasurer</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2022</w:t>
      </w:r>
    </w:p>
    <w:sectPr>
      <w:pgSz w:w="11900" w:h="16838" w:orient="portrait"/>
      <w:cols w:equalWidth="0" w:num="1">
        <w:col w:w="11240"/>
      </w:cols>
      <w:pgMar w:left="320" w:top="3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A8FCA"/>
    <w:multiLevelType w:val="hybridMultilevel"/>
    <w:lvl w:ilvl="0">
      <w:lvlJc w:val="left"/>
      <w:lvlText w:val="☒"/>
      <w:numFmt w:val="bullet"/>
      <w:start w:val="1"/>
    </w:lvl>
  </w:abstractNum>
  <w:abstractNum w:abstractNumId="1">
    <w:nsid w:val="7835626C"/>
    <w:multiLevelType w:val="hybridMultilevel"/>
    <w:lvl w:ilvl="0">
      <w:lvlJc w:val="left"/>
      <w:lvlText w:val="☐"/>
      <w:numFmt w:val="bullet"/>
      <w:start w:val="1"/>
    </w:lvl>
  </w:abstractNum>
  <w:abstractNum w:abstractNumId="2">
    <w:nsid w:val="665ACA49"/>
    <w:multiLevelType w:val="hybridMultilevel"/>
    <w:lvl w:ilvl="0">
      <w:lvlJc w:val="left"/>
      <w:lvlText w:val="(%1)"/>
      <w:numFmt w:val="decimal"/>
      <w:start w:val="1"/>
    </w:lvl>
  </w:abstractNum>
  <w:abstractNum w:abstractNumId="3">
    <w:nsid w:val="6835B2AE"/>
    <w:multiLevelType w:val="hybridMultilevel"/>
    <w:lvl w:ilvl="0">
      <w:lvlJc w:val="left"/>
      <w:lvlText w:val="(%1)"/>
      <w:numFmt w:val="decimal"/>
      <w:start w:val="1"/>
    </w:lvl>
  </w:abstractNum>
  <w:abstractNum w:abstractNumId="4">
    <w:nsid w:val="4C187C90"/>
    <w:multiLevelType w:val="hybridMultilevel"/>
    <w:lvl w:ilvl="0">
      <w:lvlJc w:val="left"/>
      <w:lvlText w:val="(%1)"/>
      <w:numFmt w:val="decimal"/>
      <w:start w:val="1"/>
    </w:lvl>
  </w:abstractNum>
  <w:abstractNum w:abstractNumId="5">
    <w:nsid w:val="541F28CD"/>
    <w:multiLevelType w:val="hybridMultilevel"/>
    <w:lvl w:ilvl="0">
      <w:lvlJc w:val="left"/>
      <w:lvlText w:val="*"/>
      <w:numFmt w:val="bullet"/>
      <w:start w:val="1"/>
    </w:lvl>
  </w:abstractNum>
  <w:abstractNum w:abstractNumId="6">
    <w:nsid w:val="7F65FD16"/>
    <w:multiLevelType w:val="hybridMultilevel"/>
    <w:lvl w:ilvl="0">
      <w:lvlJc w:val="left"/>
      <w:lvlText w:val="(%1)"/>
      <w:numFmt w:val="lowerLetter"/>
      <w:start w:val="1"/>
    </w:lvl>
  </w:abstractNum>
  <w:abstractNum w:abstractNumId="7">
    <w:nsid w:val="77C9FD68"/>
    <w:multiLevelType w:val="hybridMultilevel"/>
    <w:lvl w:ilvl="0">
      <w:lvlJc w:val="left"/>
      <w:lvlText w:val="(%1)"/>
      <w:numFmt w:val="lowerRoman"/>
      <w:start w:val="1"/>
    </w:lvl>
  </w:abstractNum>
  <w:abstractNum w:abstractNumId="8">
    <w:nsid w:val="298A92BA"/>
    <w:multiLevelType w:val="hybridMultilevel"/>
    <w:lvl w:ilvl="0">
      <w:lvlJc w:val="left"/>
      <w:lvlText w:val="(%1)"/>
      <w:numFmt w:val="decimal"/>
      <w:start w:val="1"/>
    </w:lvl>
  </w:abstractNum>
  <w:abstractNum w:abstractNumId="9">
    <w:nsid w:val="6FE95EAC"/>
    <w:multiLevelType w:val="hybridMultilevel"/>
    <w:lvl w:ilvl="0">
      <w:lvlJc w:val="left"/>
      <w:lvlText w:val="(%1)"/>
      <w:numFmt w:val="lowerLetter"/>
      <w:start w:val="1"/>
    </w:lvl>
  </w:abstractNum>
  <w:abstractNum w:abstractNumId="10">
    <w:nsid w:val="4B697C7A"/>
    <w:multiLevelType w:val="hybridMultilevel"/>
    <w:lvl w:ilvl="0">
      <w:lvlJc w:val="left"/>
      <w:lvlText w:val="(%1)"/>
      <w:numFmt w:val="lowerLetter"/>
      <w:start w:val="1"/>
    </w:lvl>
  </w:abstractNum>
  <w:abstractNum w:abstractNumId="11">
    <w:nsid w:val="51A27AA6"/>
    <w:multiLevelType w:val="hybridMultilevel"/>
    <w:lvl w:ilvl="0">
      <w:lvlJc w:val="left"/>
      <w:lvlText w:val="(%1)"/>
      <w:numFmt w:val="lowerLetter"/>
      <w:start w:val="2"/>
    </w:lvl>
  </w:abstractNum>
  <w:abstractNum w:abstractNumId="12">
    <w:nsid w:val="613183F2"/>
    <w:multiLevelType w:val="hybridMultilevel"/>
    <w:lvl w:ilvl="0">
      <w:lvlJc w:val="left"/>
      <w:lvlText w:val="(%1)"/>
      <w:numFmt w:val="lowerLetter"/>
      <w:start w:val="1"/>
    </w:lvl>
    <w:lvl w:ilvl="1">
      <w:lvlJc w:val="left"/>
      <w:lvlText w:val="(%2)"/>
      <w:numFmt w:val="lowerRoman"/>
      <w:start w:val="1"/>
    </w:lvl>
  </w:abstractNum>
  <w:abstractNum w:abstractNumId="13">
    <w:nsid w:val="634102B4"/>
    <w:multiLevelType w:val="hybridMultilevel"/>
    <w:lvl w:ilvl="0">
      <w:lvlJc w:val="left"/>
      <w:lvlText w:val="(%1)"/>
      <w:numFmt w:val="lowerLetter"/>
      <w:start w:val="2"/>
    </w:lvl>
  </w:abstractNum>
  <w:abstractNum w:abstractNumId="14">
    <w:nsid w:val="65BF9DA8"/>
    <w:multiLevelType w:val="hybridMultilevel"/>
    <w:lvl w:ilvl="0">
      <w:lvlJc w:val="left"/>
      <w:lvlText w:val="(%1)"/>
      <w:numFmt w:val="lowerLetter"/>
      <w:start w:val="1"/>
    </w:lvl>
  </w:abstractNum>
  <w:abstractNum w:abstractNumId="15">
    <w:nsid w:val="21A2ECCA"/>
    <w:multiLevelType w:val="hybridMultilevel"/>
    <w:lvl w:ilvl="0">
      <w:lvlJc w:val="left"/>
      <w:lvlText w:val="(%1)"/>
      <w:numFmt w:val="lowerLetter"/>
      <w:start w:val="1"/>
    </w:lvl>
  </w:abstractNum>
  <w:abstractNum w:abstractNumId="16">
    <w:nsid w:val="4D5C4899"/>
    <w:multiLevelType w:val="hybridMultilevel"/>
    <w:lvl w:ilvl="0">
      <w:lvlJc w:val="left"/>
      <w:lvlText w:val="(%1)"/>
      <w:numFmt w:val="lowerLetter"/>
      <w:start w:val="4"/>
    </w:lvl>
  </w:abstractNum>
  <w:abstractNum w:abstractNumId="17">
    <w:nsid w:val="3C3B72B2"/>
    <w:multiLevelType w:val="hybridMultilevel"/>
    <w:lvl w:ilvl="0">
      <w:lvlJc w:val="left"/>
      <w:lvlText w:val="(%1)"/>
      <w:numFmt w:val="lowerLetter"/>
      <w:start w:val="1"/>
    </w:lvl>
  </w:abstractNum>
  <w:abstractNum w:abstractNumId="18">
    <w:nsid w:val="155EC4C2"/>
    <w:multiLevelType w:val="hybridMultilevel"/>
    <w:lvl w:ilvl="0">
      <w:lvlJc w:val="left"/>
      <w:lvlText w:val="(%1)"/>
      <w:numFmt w:val="decimal"/>
      <w:start w:val="1"/>
    </w:lvl>
  </w:abstractNum>
  <w:abstractNum w:abstractNumId="19">
    <w:nsid w:val="65D2A137"/>
    <w:multiLevelType w:val="hybridMultilevel"/>
    <w:lvl w:ilvl="0">
      <w:lvlJc w:val="left"/>
      <w:lvlText w:val="(%1)"/>
      <w:numFmt w:val="decimal"/>
      <w:start w:val="2"/>
    </w:lvl>
  </w:abstractNum>
  <w:abstractNum w:abstractNumId="20">
    <w:nsid w:val="6EBB1F2A"/>
    <w:multiLevelType w:val="hybridMultilevel"/>
    <w:lvl w:ilvl="0">
      <w:lvlJc w:val="left"/>
      <w:lvlText w:val="(%1)"/>
      <w:numFmt w:val="decimal"/>
      <w:start w:val="1"/>
    </w:lvl>
  </w:abstractNum>
  <w:abstractNum w:abstractNumId="21">
    <w:nsid w:val="6FBF29CB"/>
    <w:multiLevelType w:val="hybridMultilevel"/>
    <w:lvl w:ilvl="0">
      <w:lvlJc w:val="left"/>
      <w:lvlText w:val="(%1)"/>
      <w:numFmt w:val="decimal"/>
      <w:start w:val="1"/>
    </w:lvl>
  </w:abstractNum>
  <w:abstractNum w:abstractNumId="22">
    <w:nsid w:val="550B8808"/>
    <w:multiLevelType w:val="hybridMultilevel"/>
    <w:lvl w:ilvl="0">
      <w:lvlJc w:val="left"/>
      <w:lvlText w:val="(%1)"/>
      <w:numFmt w:val="lowerLetter"/>
      <w:start w:val="2"/>
    </w:lvl>
  </w:abstractNum>
  <w:abstractNum w:abstractNumId="23">
    <w:nsid w:val="34CC3ACF"/>
    <w:multiLevelType w:val="hybridMultilevel"/>
    <w:lvl w:ilvl="0">
      <w:lvlJc w:val="left"/>
      <w:lvlText w:val="(%1)"/>
      <w:numFmt w:val="lowerLetter"/>
      <w:start w:val="2"/>
    </w:lvl>
  </w:abstractNum>
  <w:abstractNum w:abstractNumId="24">
    <w:nsid w:val="4E556261"/>
    <w:multiLevelType w:val="hybridMultilevel"/>
    <w:lvl w:ilvl="0">
      <w:lvlJc w:val="left"/>
      <w:lvlText w:val="(%1)"/>
      <w:numFmt w:val="lowerRoman"/>
      <w:start w:val="1"/>
    </w:lvl>
  </w:abstractNum>
  <w:abstractNum w:abstractNumId="25">
    <w:nsid w:val="4C672FC9"/>
    <w:multiLevelType w:val="hybridMultilevel"/>
    <w:lvl w:ilvl="0">
      <w:lvlJc w:val="left"/>
      <w:lvlText w:val="(%1)"/>
      <w:numFmt w:val="lowerLetter"/>
      <w:start w:val="1"/>
    </w:lvl>
  </w:abstractNum>
  <w:abstractNum w:abstractNumId="26">
    <w:nsid w:val="52A311C3"/>
    <w:multiLevelType w:val="hybridMultilevel"/>
    <w:lvl w:ilvl="0">
      <w:lvlJc w:val="left"/>
      <w:lvlText w:val="(%1)"/>
      <w:numFmt w:val="lowerLetter"/>
      <w:start w:val="1"/>
    </w:lvl>
  </w:abstractNum>
  <w:abstractNum w:abstractNumId="27">
    <w:nsid w:val="44EF6B80"/>
    <w:multiLevelType w:val="hybridMultilevel"/>
    <w:lvl w:ilvl="0">
      <w:lvlJc w:val="left"/>
      <w:lvlText w:val="(%1)"/>
      <w:numFmt w:val="lowerLetter"/>
      <w:start w:val="11"/>
    </w:lvl>
  </w:abstractNum>
  <w:abstractNum w:abstractNumId="28">
    <w:nsid w:val="12FCDE5E"/>
    <w:multiLevelType w:val="hybridMultilevel"/>
    <w:lvl w:ilvl="0">
      <w:lvlJc w:val="left"/>
      <w:lvlText w:val="(%1)"/>
      <w:numFmt w:val="lowerLetter"/>
      <w:start w:val="22"/>
    </w:lvl>
  </w:abstractNum>
  <w:abstractNum w:abstractNumId="29">
    <w:nsid w:val="4A1D606E"/>
    <w:multiLevelType w:val="hybridMultilevel"/>
    <w:lvl w:ilvl="0">
      <w:lvlJc w:val="left"/>
      <w:lvlText w:val="(%1)"/>
      <w:numFmt w:val="lowerLetter"/>
      <w:start w:val="35"/>
    </w:lvl>
    <w:lvl w:ilvl="1">
      <w:lvlJc w:val="left"/>
      <w:lvlText w:val="(%2)"/>
      <w:numFmt w:val="lowerLetter"/>
      <w:start w:val="1"/>
    </w:lvl>
  </w:abstractNum>
  <w:abstractNum w:abstractNumId="30">
    <w:nsid w:val="4382503"/>
    <w:multiLevelType w:val="hybridMultilevel"/>
    <w:lvl w:ilvl="0">
      <w:lvlJc w:val="left"/>
      <w:lvlText w:val="(%1)"/>
      <w:numFmt w:val="lowerLetter"/>
      <w:start w:val="6"/>
    </w:lvl>
  </w:abstractNum>
  <w:abstractNum w:abstractNumId="31">
    <w:nsid w:val="59B76E28"/>
    <w:multiLevelType w:val="hybridMultilevel"/>
    <w:lvl w:ilvl="0">
      <w:lvlJc w:val="left"/>
      <w:lvlText w:val="(%1)"/>
      <w:numFmt w:val="lowerLetter"/>
      <w:start w:val="1"/>
    </w:lvl>
  </w:abstractNum>
  <w:abstractNum w:abstractNumId="32">
    <w:nsid w:val="4252C2DA"/>
    <w:multiLevelType w:val="hybridMultilevel"/>
    <w:lvl w:ilvl="0">
      <w:lvlJc w:val="left"/>
      <w:lvlText w:val="(%1)"/>
      <w:numFmt w:val="lowerLetter"/>
      <w:start w:val="7"/>
    </w:lvl>
  </w:abstractNum>
  <w:abstractNum w:abstractNumId="33">
    <w:nsid w:val="6A92EF4C"/>
    <w:multiLevelType w:val="hybridMultilevel"/>
    <w:lvl w:ilvl="0">
      <w:lvlJc w:val="left"/>
      <w:lvlText w:val="(%1)"/>
      <w:numFmt w:val="lowerLetter"/>
      <w:start w:val="9"/>
    </w:lvl>
  </w:abstractNum>
  <w:abstractNum w:abstractNumId="34">
    <w:nsid w:val="41ED20D7"/>
    <w:multiLevelType w:val="hybridMultilevel"/>
    <w:lvl w:ilvl="0">
      <w:lvlJc w:val="left"/>
      <w:lvlText w:val="(%1)"/>
      <w:numFmt w:val="lowerLetter"/>
      <w:start w:val="3"/>
    </w:lvl>
  </w:abstractNum>
  <w:abstractNum w:abstractNumId="35">
    <w:nsid w:val="E6B3F6A"/>
    <w:multiLevelType w:val="hybridMultilevel"/>
    <w:lvl w:ilvl="0">
      <w:lvlJc w:val="left"/>
      <w:lvlText w:val="(%1)"/>
      <w:numFmt w:val="lowerLetter"/>
      <w:start w:val="3"/>
    </w:lvl>
  </w:abstractNum>
  <w:abstractNum w:abstractNumId="36">
    <w:nsid w:val="3EB21819"/>
    <w:multiLevelType w:val="hybridMultilevel"/>
    <w:lvl w:ilvl="0">
      <w:lvlJc w:val="left"/>
      <w:lvlText w:val="(%1)"/>
      <w:numFmt w:val="lowerLetter"/>
      <w:start w:val="1"/>
    </w:lvl>
  </w:abstractNum>
  <w:abstractNum w:abstractNumId="37">
    <w:nsid w:val="41531DED"/>
    <w:multiLevelType w:val="hybridMultilevel"/>
    <w:lvl w:ilvl="0">
      <w:lvlJc w:val="left"/>
      <w:lvlText w:val="(%1)"/>
      <w:numFmt w:val="lowerLetter"/>
      <w:start w:val="1"/>
    </w:lvl>
  </w:abstractNum>
  <w:abstractNum w:abstractNumId="38">
    <w:nsid w:val="6353CD2"/>
    <w:multiLevelType w:val="hybridMultilevel"/>
    <w:lvl w:ilvl="0">
      <w:lvlJc w:val="left"/>
      <w:lvlText w:val="(%1)"/>
      <w:numFmt w:val="lowerLetter"/>
      <w:start w:val="11"/>
    </w:lvl>
  </w:abstractNum>
  <w:abstractNum w:abstractNumId="39">
    <w:nsid w:val="683CAAD3"/>
    <w:multiLevelType w:val="hybridMultilevel"/>
    <w:lvl w:ilvl="0">
      <w:lvlJc w:val="left"/>
      <w:lvlText w:val="(%1)"/>
      <w:numFmt w:val="lowerLetter"/>
      <w:start w:val="1"/>
    </w:lvl>
  </w:abstractNum>
  <w:abstractNum w:abstractNumId="40">
    <w:nsid w:val="313C7C99"/>
    <w:multiLevelType w:val="hybridMultilevel"/>
    <w:lvl w:ilvl="0">
      <w:lvlJc w:val="left"/>
      <w:lvlText w:val="(%1)"/>
      <w:numFmt w:val="lowerLetter"/>
      <w:start w:val="1"/>
    </w:lvl>
  </w:abstractNum>
  <w:abstractNum w:abstractNumId="41">
    <w:nsid w:val="519EB94C"/>
    <w:multiLevelType w:val="hybridMultilevel"/>
    <w:lvl w:ilvl="0">
      <w:lvlJc w:val="left"/>
      <w:lvlText w:val="(%1)"/>
      <w:numFmt w:val="lowerLetter"/>
      <w:start w:val="2"/>
    </w:lvl>
  </w:abstractNum>
  <w:abstractNum w:abstractNumId="42">
    <w:nsid w:val="39DF2579"/>
    <w:multiLevelType w:val="hybridMultilevel"/>
    <w:lvl w:ilvl="0">
      <w:lvlJc w:val="left"/>
      <w:lvlText w:val="(%1)"/>
      <w:numFmt w:val="lowerLetter"/>
      <w:start w:val="1"/>
    </w:lvl>
  </w:abstractNum>
  <w:abstractNum w:abstractNumId="43">
    <w:nsid w:val="126E008B"/>
    <w:multiLevelType w:val="hybridMultilevel"/>
    <w:lvl w:ilvl="0">
      <w:lvlJc w:val="left"/>
      <w:lvlText w:val="(%1)"/>
      <w:numFmt w:val="lowerLetter"/>
      <w:start w:val="2"/>
    </w:lvl>
  </w:abstractNum>
  <w:abstractNum w:abstractNumId="44">
    <w:nsid w:val="34DFBC00"/>
    <w:multiLevelType w:val="hybridMultilevel"/>
    <w:lvl w:ilvl="0">
      <w:lvlJc w:val="left"/>
      <w:lvlText w:val="(%1)"/>
      <w:numFmt w:val="lowerLetter"/>
      <w:start w:val="2"/>
    </w:lvl>
  </w:abstractNum>
  <w:abstractNum w:abstractNumId="45">
    <w:nsid w:val="1F9EC322"/>
    <w:multiLevelType w:val="hybridMultilevel"/>
    <w:lvl w:ilvl="0">
      <w:lvlJc w:val="left"/>
      <w:lvlText w:val="(%1)"/>
      <w:numFmt w:val="lowerLetter"/>
      <w:start w:val="3"/>
    </w:lvl>
  </w:abstractNum>
  <w:abstractNum w:abstractNumId="46">
    <w:nsid w:val="3410ED56"/>
    <w:multiLevelType w:val="hybridMultilevel"/>
    <w:lvl w:ilvl="0">
      <w:lvlJc w:val="left"/>
      <w:lvlText w:val="(%1)"/>
      <w:numFmt w:val="lowerRoman"/>
      <w:start w:val="1"/>
    </w:lvl>
  </w:abstractNum>
  <w:abstractNum w:abstractNumId="47">
    <w:nsid w:val="23C049A"/>
    <w:multiLevelType w:val="hybridMultilevel"/>
    <w:lvl w:ilvl="0">
      <w:lvlJc w:val="left"/>
      <w:lvlText w:val="(%1)"/>
      <w:numFmt w:val="lowerLetter"/>
      <w:start w:val="2"/>
    </w:lvl>
  </w:abstractNum>
  <w:abstractNum w:abstractNumId="48">
    <w:nsid w:val="5BDA35D4"/>
    <w:multiLevelType w:val="hybridMultilevel"/>
    <w:lvl w:ilvl="0">
      <w:lvlJc w:val="left"/>
      <w:lvlText w:val="(%1)"/>
      <w:numFmt w:val="lowerLetter"/>
      <w:start w:val="1"/>
    </w:lvl>
  </w:abstractNum>
  <w:abstractNum w:abstractNumId="49">
    <w:nsid w:val="496FB218"/>
    <w:multiLevelType w:val="hybridMultilevel"/>
    <w:lvl w:ilvl="0">
      <w:lvlJc w:val="left"/>
      <w:lvlText w:val="(%1)"/>
      <w:numFmt w:val="lowerLetter"/>
      <w:start w:val="2"/>
    </w:lvl>
  </w:abstractNum>
  <w:abstractNum w:abstractNumId="50">
    <w:nsid w:val="680EA5D1"/>
    <w:multiLevelType w:val="hybridMultilevel"/>
    <w:lvl w:ilvl="0">
      <w:lvlJc w:val="left"/>
      <w:lvlText w:val="(%1)"/>
      <w:numFmt w:val="lowerLetter"/>
      <w:start w:val="2"/>
    </w:lvl>
  </w:abstractNum>
  <w:abstractNum w:abstractNumId="51">
    <w:nsid w:val="4A9554F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2">
    <w:nsid w:val="392EDBE4"/>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53">
    <w:nsid w:val="3D1A2DD9"/>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54">
    <w:nsid w:val="7F618FCD"/>
    <w:multiLevelType w:val="hybridMultilevel"/>
    <w:lvl w:ilvl="0">
      <w:lvlJc w:val="left"/>
      <w:lvlText w:val="(%1)"/>
      <w:numFmt w:val="lowerLetter"/>
      <w:start w:val="6"/>
    </w:lvl>
  </w:abstractNum>
  <w:abstractNum w:abstractNumId="55">
    <w:nsid w:val="7843E45"/>
    <w:multiLevelType w:val="hybridMultilevel"/>
    <w:lvl w:ilvl="0">
      <w:lvlJc w:val="left"/>
      <w:lvlText w:val="(%1)"/>
      <w:numFmt w:val="lowerLetter"/>
      <w:start w:val="8"/>
    </w:lvl>
    <w:lvl w:ilvl="1">
      <w:lvlJc w:val="left"/>
      <w:lvlText w:val="(%2)"/>
      <w:numFmt w:val="lowerRoman"/>
      <w:start w:val="1"/>
    </w:lvl>
  </w:abstractNum>
  <w:abstractNum w:abstractNumId="56">
    <w:nsid w:val="9815DA3"/>
    <w:multiLevelType w:val="hybridMultilevel"/>
    <w:lvl w:ilvl="0">
      <w:lvlJc w:val="left"/>
      <w:lvlText w:val="%1"/>
      <w:numFmt w:val="lowerLetter"/>
      <w:start w:val="1"/>
    </w:lvl>
    <w:lvl w:ilvl="1">
      <w:lvlJc w:val="left"/>
      <w:lvlText w:val="(%2)"/>
      <w:numFmt w:val="lowerLetter"/>
      <w:start w:val="10"/>
    </w:lvl>
  </w:abstractNum>
  <w:abstractNum w:abstractNumId="57">
    <w:nsid w:val="5204A191"/>
    <w:multiLevelType w:val="hybridMultilevel"/>
    <w:lvl w:ilvl="0">
      <w:lvlJc w:val="left"/>
      <w:lvlText w:val="(%1)"/>
      <w:numFmt w:val="lowerLetter"/>
      <w:start w:val="9"/>
    </w:lvl>
    <w:lvl w:ilvl="1">
      <w:lvlJc w:val="left"/>
      <w:lvlText w:val="(%2)"/>
      <w:numFmt w:val="lowerLetter"/>
      <w:start w:val="11"/>
    </w:lvl>
  </w:abstractNum>
  <w:abstractNum w:abstractNumId="58">
    <w:nsid w:val="4C73A9C6"/>
    <w:multiLevelType w:val="hybridMultilevel"/>
    <w:lvl w:ilvl="0">
      <w:lvlJc w:val="left"/>
      <w:lvlText w:val="(%1)"/>
      <w:numFmt w:val="lowerLetter"/>
      <w:start w:val="2"/>
    </w:lvl>
  </w:abstractNum>
  <w:abstractNum w:abstractNumId="59">
    <w:nsid w:val="1C7E3C01"/>
    <w:multiLevelType w:val="hybridMultilevel"/>
    <w:lvl w:ilvl="0">
      <w:lvlJc w:val="left"/>
      <w:lvlText w:val="(%1)"/>
      <w:numFmt w:val="lowerLetter"/>
      <w:start w:val="2"/>
    </w:lvl>
  </w:abstractNum>
  <w:abstractNum w:abstractNumId="60">
    <w:nsid w:val="1C2201FF"/>
    <w:multiLevelType w:val="hybridMultilevel"/>
    <w:lvl w:ilvl="0">
      <w:lvlJc w:val="left"/>
      <w:lvlText w:val="(%1)"/>
      <w:numFmt w:val="lowerLetter"/>
      <w:start w:val="3"/>
    </w:lvl>
    <w:lvl w:ilvl="1">
      <w:lvlJc w:val="left"/>
      <w:lvlText w:val="(%2)"/>
      <w:numFmt w:val="lowerRoman"/>
      <w:start w:val="1"/>
    </w:lvl>
  </w:abstractNum>
  <w:abstractNum w:abstractNumId="61">
    <w:nsid w:val="50ABCEC9"/>
    <w:multiLevelType w:val="hybridMultilevel"/>
    <w:lvl w:ilvl="0">
      <w:lvlJc w:val="left"/>
      <w:lvlText w:val="(%1)"/>
      <w:numFmt w:val="lowerLetter"/>
      <w:start w:val="4"/>
    </w:lvl>
  </w:abstractNum>
  <w:abstractNum w:abstractNumId="62">
    <w:nsid w:val="7635AA2A"/>
    <w:multiLevelType w:val="hybridMultilevel"/>
    <w:lvl w:ilvl="0">
      <w:lvlJc w:val="left"/>
      <w:lvlText w:val="(%1)"/>
      <w:numFmt w:val="lowerLetter"/>
      <w:start w:val="2"/>
    </w:lvl>
  </w:abstractNum>
  <w:abstractNum w:abstractNumId="63">
    <w:nsid w:val="5E74C4D9"/>
    <w:multiLevelType w:val="hybridMultilevel"/>
    <w:lvl w:ilvl="0">
      <w:lvlJc w:val="left"/>
      <w:lvlText w:val="%1"/>
      <w:numFmt w:val="lowerLetter"/>
      <w:start w:val="1"/>
    </w:lvl>
    <w:lvl w:ilvl="1">
      <w:lvlJc w:val="left"/>
      <w:lvlText w:val="(%2)"/>
      <w:numFmt w:val="lowerLetter"/>
      <w:start w:val="4"/>
    </w:lvl>
  </w:abstractNum>
  <w:abstractNum w:abstractNumId="64">
    <w:nsid w:val="3B3EBE15"/>
    <w:multiLevelType w:val="hybridMultilevel"/>
    <w:lvl w:ilvl="0">
      <w:lvlJc w:val="left"/>
      <w:lvlText w:val="(%1)"/>
      <w:numFmt w:val="lowerLetter"/>
      <w:start w:val="35"/>
    </w:lvl>
    <w:lvl w:ilvl="1">
      <w:lvlJc w:val="left"/>
      <w:lvlText w:val="(%2)"/>
      <w:numFmt w:val="lowerLetter"/>
      <w:start w:val="5"/>
    </w:lvl>
  </w:abstractNum>
  <w:abstractNum w:abstractNumId="65">
    <w:nsid w:val="3822CB01"/>
    <w:multiLevelType w:val="hybridMultilevel"/>
    <w:lvl w:ilvl="0">
      <w:lvlJc w:val="left"/>
      <w:lvlText w:val="(%1)"/>
      <w:numFmt w:val="lowerLetter"/>
      <w:start w:val="2"/>
    </w:lvl>
  </w:abstractNum>
  <w:abstractNum w:abstractNumId="66">
    <w:nsid w:val="6CE00443"/>
    <w:multiLevelType w:val="hybridMultilevel"/>
    <w:lvl w:ilvl="0">
      <w:lvlJc w:val="left"/>
      <w:lvlText w:val="(%1)"/>
      <w:numFmt w:val="lowerLetter"/>
      <w:start w:val="2"/>
    </w:lvl>
  </w:abstractNum>
  <w:abstractNum w:abstractNumId="67">
    <w:nsid w:val="79F0D62F"/>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68">
    <w:nsid w:val="7975E8EE"/>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69">
    <w:nsid w:val="73154115"/>
    <w:multiLevelType w:val="hybridMultilevel"/>
    <w:lvl w:ilvl="0">
      <w:lvlJc w:val="left"/>
      <w:lvlText w:val="(%1)"/>
      <w:numFmt w:val="lowerLetter"/>
      <w:start w:val="4"/>
    </w:lvl>
  </w:abstractNum>
  <w:abstractNum w:abstractNumId="70">
    <w:nsid w:val="622D8102"/>
    <w:multiLevelType w:val="hybridMultilevel"/>
    <w:lvl w:ilvl="0">
      <w:lvlJc w:val="left"/>
      <w:lvlText w:val="(%1)"/>
      <w:numFmt w:val="lowerLetter"/>
      <w:start w:val="5"/>
    </w:lvl>
  </w:abstractNum>
  <w:abstractNum w:abstractNumId="71">
    <w:nsid w:val="2AB26587"/>
    <w:multiLevelType w:val="hybridMultilevel"/>
    <w:lvl w:ilvl="0">
      <w:lvlJc w:val="left"/>
      <w:lvlText w:val="(%1)"/>
      <w:numFmt w:val="lowerLetter"/>
      <w:start w:val="2"/>
    </w:lvl>
  </w:abstractNum>
  <w:abstractNum w:abstractNumId="72">
    <w:nsid w:val="44B3FA61"/>
    <w:multiLevelType w:val="hybridMultilevel"/>
    <w:lvl w:ilvl="0">
      <w:lvlJc w:val="left"/>
      <w:lvlText w:val="(%1)"/>
      <w:numFmt w:val="lowerLetter"/>
      <w:start w:val="5"/>
    </w:lvl>
  </w:abstractNum>
  <w:abstractNum w:abstractNumId="73">
    <w:nsid w:val="1C0CA67C"/>
    <w:multiLevelType w:val="hybridMultilevel"/>
    <w:lvl w:ilvl="0">
      <w:lvlJc w:val="left"/>
      <w:lvlText w:val="(%1)"/>
      <w:numFmt w:val="lowerLetter"/>
      <w:start w:val="1"/>
    </w:lvl>
  </w:abstractNum>
  <w:abstractNum w:abstractNumId="74">
    <w:nsid w:val="3D206613"/>
    <w:multiLevelType w:val="hybridMultilevel"/>
    <w:lvl w:ilvl="0">
      <w:lvlJc w:val="left"/>
      <w:lvlText w:val="(%1)"/>
      <w:numFmt w:val="lowerLetter"/>
      <w:start w:val="1"/>
    </w:lvl>
    <w:lvl w:ilvl="1">
      <w:lvlJc w:val="left"/>
      <w:lvlText w:val="(%2)"/>
      <w:numFmt w:val="lowerLetter"/>
      <w:start w:val="9"/>
    </w:lvl>
  </w:abstractNum>
  <w:abstractNum w:abstractNumId="75">
    <w:nsid w:val="7993B662"/>
    <w:multiLevelType w:val="hybridMultilevel"/>
    <w:lvl w:ilvl="0">
      <w:lvlJc w:val="left"/>
      <w:lvlText w:val="(%1)"/>
      <w:numFmt w:val="lowerRoman"/>
      <w:start w:val="2"/>
    </w:lvl>
  </w:abstractNum>
  <w:abstractNum w:abstractNumId="76">
    <w:nsid w:val="3BAB699E"/>
    <w:multiLevelType w:val="hybridMultilevel"/>
    <w:lvl w:ilvl="0">
      <w:lvlJc w:val="left"/>
      <w:lvlText w:val="%1"/>
      <w:numFmt w:val="decimal"/>
      <w:start w:val="1"/>
    </w:lvl>
    <w:lvl w:ilvl="1">
      <w:lvlJc w:val="left"/>
      <w:lvlText w:val="(%2)"/>
      <w:numFmt w:val="lowerLetter"/>
      <w:start w:val="2"/>
    </w:lvl>
  </w:abstractNum>
  <w:abstractNum w:abstractNumId="77">
    <w:nsid w:val="71315369"/>
    <w:multiLevelType w:val="hybridMultilevel"/>
    <w:lvl w:ilvl="0">
      <w:lvlJc w:val="left"/>
      <w:lvlText w:val="(%1)"/>
      <w:numFmt w:val="decimal"/>
      <w:start w:val="1"/>
    </w:lvl>
    <w:lvl w:ilvl="1">
      <w:lvlJc w:val="left"/>
      <w:lvlText w:val="(%2)"/>
      <w:numFmt w:val="lowerLetter"/>
      <w:start w:val="3"/>
    </w:lvl>
  </w:abstractNum>
  <w:abstractNum w:abstractNumId="78">
    <w:nsid w:val="7BCFBAFC"/>
    <w:multiLevelType w:val="hybridMultilevel"/>
    <w:lvl w:ilvl="0">
      <w:lvlJc w:val="left"/>
      <w:lvlText w:val="%1"/>
      <w:numFmt w:val="lowerRoman"/>
      <w:start w:val="1"/>
    </w:lvl>
    <w:lvl w:ilvl="1">
      <w:lvlJc w:val="left"/>
      <w:lvlText w:val="(%2)"/>
      <w:numFmt w:val="lowerLetter"/>
      <w:start w:val="4"/>
    </w:lvl>
  </w:abstractNum>
  <w:abstractNum w:abstractNumId="79">
    <w:nsid w:val="17859F72"/>
    <w:multiLevelType w:val="hybridMultilevel"/>
    <w:lvl w:ilvl="0">
      <w:lvlJc w:val="left"/>
      <w:lvlText w:val="(%1)"/>
      <w:numFmt w:val="lowerRoman"/>
      <w:start w:val="4"/>
    </w:lvl>
    <w:lvl w:ilvl="1">
      <w:lvlJc w:val="left"/>
      <w:lvlText w:val="(%2)"/>
      <w:numFmt w:val="lowerLetter"/>
      <w:start w:val="5"/>
    </w:lvl>
  </w:abstractNum>
  <w:abstractNum w:abstractNumId="80">
    <w:nsid w:val="3AA10581"/>
    <w:multiLevelType w:val="hybridMultilevel"/>
    <w:lvl w:ilvl="0">
      <w:lvlJc w:val="left"/>
      <w:lvlText w:val="(%1)"/>
      <w:numFmt w:val="lowerRoman"/>
      <w:start w:val="1"/>
    </w:lvl>
  </w:abstractNum>
  <w:abstractNum w:abstractNumId="81">
    <w:nsid w:val="63DE60CD"/>
    <w:multiLevelType w:val="hybridMultilevel"/>
    <w:lvl w:ilvl="0">
      <w:lvlJc w:val="left"/>
      <w:lvlText w:val="(%1)"/>
      <w:numFmt w:val="lowerLetter"/>
      <w:start w:val="2"/>
    </w:lvl>
  </w:abstractNum>
  <w:abstractNum w:abstractNumId="82">
    <w:nsid w:val="621AF471"/>
    <w:multiLevelType w:val="hybridMultilevel"/>
    <w:lvl w:ilvl="0">
      <w:lvlJc w:val="left"/>
      <w:lvlText w:val="(%1)"/>
      <w:numFmt w:val="lowerLetter"/>
      <w:start w:val="2"/>
    </w:lvl>
  </w:abstractNum>
  <w:abstractNum w:abstractNumId="83">
    <w:nsid w:val="73CFE165"/>
    <w:multiLevelType w:val="hybridMultilevel"/>
    <w:lvl w:ilvl="0">
      <w:lvlJc w:val="left"/>
      <w:lvlText w:val="(%1)"/>
      <w:numFmt w:val="lowerLetter"/>
      <w:start w:val="5"/>
    </w:lvl>
    <w:lvl w:ilvl="1">
      <w:lvlJc w:val="left"/>
      <w:lvlText w:val="(%2)"/>
      <w:numFmt w:val="lowerRoman"/>
      <w:start w:val="2"/>
    </w:lvl>
    <w:lvl w:ilvl="2">
      <w:lvlJc w:val="left"/>
      <w:lvlText w:val="(%3)"/>
      <w:numFmt w:val="upperLetter"/>
      <w:start w:val="1"/>
    </w:lvl>
    <w:lvl w:ilvl="3">
      <w:lvlJc w:val="left"/>
      <w:lvlText w:val="(%4)"/>
      <w:numFmt w:val="lowerRoman"/>
      <w:start w:val="9"/>
    </w:lvl>
    <w:lvl w:ilvl="4">
      <w:lvlJc w:val="left"/>
      <w:lvlText w:val="(%5)"/>
      <w:numFmt w:val="decimal"/>
      <w:start w:val="1"/>
    </w:lvl>
  </w:abstractNum>
  <w:abstractNum w:abstractNumId="84">
    <w:nsid w:val="20F88EA6"/>
    <w:multiLevelType w:val="hybridMultilevel"/>
    <w:lvl w:ilvl="0">
      <w:lvlJc w:val="left"/>
      <w:lvlText w:val="%1"/>
      <w:numFmt w:val="upperLetter"/>
      <w:start w:val="1"/>
    </w:lvl>
    <w:lvl w:ilvl="1">
      <w:lvlJc w:val="left"/>
      <w:lvlText w:val="(%2)"/>
      <w:numFmt w:val="decimal"/>
      <w:start w:val="2"/>
    </w:lvl>
  </w:abstractNum>
  <w:abstractNum w:abstractNumId="85">
    <w:nsid w:val="617C843E"/>
    <w:multiLevelType w:val="hybridMultilevel"/>
    <w:lvl w:ilvl="0">
      <w:lvlJc w:val="left"/>
      <w:lvlText w:val="(%1)"/>
      <w:numFmt w:val="upperLetter"/>
      <w:start w:val="3"/>
    </w:lvl>
    <w:lvl w:ilvl="1">
      <w:lvlJc w:val="left"/>
      <w:lvlText w:val="%2"/>
      <w:numFmt w:val="decimal"/>
      <w:start w:val="1"/>
    </w:lvl>
  </w:abstractNum>
  <w:abstractNum w:abstractNumId="86">
    <w:nsid w:val="7B541FAB"/>
    <w:multiLevelType w:val="hybridMultilevel"/>
    <w:lvl w:ilvl="0">
      <w:lvlJc w:val="left"/>
      <w:lvlText w:val="(%1)"/>
      <w:numFmt w:val="lowerLetter"/>
      <w:start w:val="7"/>
    </w:lvl>
  </w:abstractNum>
  <w:abstractNum w:abstractNumId="87">
    <w:nsid w:val="2A79EC49"/>
    <w:multiLevelType w:val="hybridMultilevel"/>
    <w:lvl w:ilvl="0">
      <w:lvlJc w:val="left"/>
      <w:lvlText w:val="(%1)"/>
      <w:numFmt w:val="lowerLetter"/>
      <w:start w:val="2"/>
    </w:lvl>
  </w:abstractNum>
  <w:abstractNum w:abstractNumId="88">
    <w:nsid w:val="338125CF"/>
    <w:multiLevelType w:val="hybridMultilevel"/>
    <w:lvl w:ilvl="0">
      <w:lvlJc w:val="left"/>
      <w:lvlText w:val="(%1)"/>
      <w:numFmt w:val="lowerLetter"/>
      <w:start w:val="4"/>
    </w:lvl>
  </w:abstractNum>
  <w:abstractNum w:abstractNumId="89">
    <w:nsid w:val="47C7C971"/>
    <w:multiLevelType w:val="hybridMultilevel"/>
    <w:lvl w:ilvl="0">
      <w:lvlJc w:val="left"/>
      <w:lvlText w:val="(%1)"/>
      <w:numFmt w:val="lowerLetter"/>
      <w:start w:val="1"/>
    </w:lvl>
  </w:abstractNum>
  <w:abstractNum w:abstractNumId="90">
    <w:nsid w:val="46F8284B"/>
    <w:multiLevelType w:val="hybridMultilevel"/>
    <w:lvl w:ilvl="0">
      <w:lvlJc w:val="left"/>
      <w:lvlText w:val="(%1)"/>
      <w:numFmt w:val="lowerLetter"/>
      <w:start w:val="2"/>
    </w:lvl>
  </w:abstractNum>
  <w:abstractNum w:abstractNumId="91">
    <w:nsid w:val="4FA327CE"/>
    <w:multiLevelType w:val="hybridMultilevel"/>
    <w:lvl w:ilvl="0">
      <w:lvlJc w:val="left"/>
      <w:lvlText w:val="(%1)"/>
      <w:numFmt w:val="lowerLetter"/>
      <w:start w:val="1"/>
    </w:lvl>
  </w:abstractNum>
  <w:abstractNum w:abstractNumId="92">
    <w:nsid w:val="1873983A"/>
    <w:multiLevelType w:val="hybridMultilevel"/>
    <w:lvl w:ilvl="0">
      <w:lvlJc w:val="left"/>
      <w:lvlText w:val="(%1)"/>
      <w:numFmt w:val="lowerLetter"/>
      <w:start w:val="2"/>
    </w:lvl>
    <w:lvl w:ilvl="1">
      <w:lvlJc w:val="left"/>
      <w:lvlText w:val="(%2)"/>
      <w:numFmt w:val="lowerRoman"/>
      <w:start w:val="1"/>
    </w:lvl>
  </w:abstractNum>
  <w:abstractNum w:abstractNumId="93">
    <w:nsid w:val="3D2DD275"/>
    <w:multiLevelType w:val="hybridMultilevel"/>
    <w:lvl w:ilvl="0">
      <w:lvlJc w:val="left"/>
      <w:lvlText w:val="%1"/>
      <w:numFmt w:val="lowerRoman"/>
      <w:start w:val="1"/>
    </w:lvl>
    <w:lvl w:ilvl="1">
      <w:lvlJc w:val="left"/>
      <w:lvlText w:val="(%2)"/>
      <w:numFmt w:val="lowerRoman"/>
      <w:start w:val="3"/>
    </w:lvl>
  </w:abstractNum>
  <w:abstractNum w:abstractNumId="94">
    <w:nsid w:val="2E17ECA7"/>
    <w:multiLevelType w:val="hybridMultilevel"/>
    <w:lvl w:ilvl="0">
      <w:lvlJc w:val="left"/>
      <w:lvlText w:val="(%1)"/>
      <w:numFmt w:val="lowerRoman"/>
      <w:start w:val="2"/>
    </w:lvl>
    <w:lvl w:ilvl="1">
      <w:lvlJc w:val="left"/>
      <w:lvlText w:val="%2"/>
      <w:numFmt w:val="lowerRoman"/>
      <w:start w:val="1"/>
    </w:lvl>
  </w:abstractNum>
  <w:abstractNum w:abstractNumId="95">
    <w:nsid w:val="53B2564F"/>
    <w:multiLevelType w:val="hybridMultilevel"/>
    <w:lvl w:ilvl="0">
      <w:lvlJc w:val="left"/>
      <w:lvlText w:val="(%1)"/>
      <w:numFmt w:val="lowerLetter"/>
      <w:start w:val="5"/>
    </w:lvl>
  </w:abstractNum>
  <w:abstractNum w:abstractNumId="96">
    <w:nsid w:val="75509D76"/>
    <w:multiLevelType w:val="hybridMultilevel"/>
    <w:lvl w:ilvl="0">
      <w:lvlJc w:val="left"/>
      <w:lvlText w:val="(%1)"/>
      <w:numFmt w:val="lowerLetter"/>
      <w:start w:val="2"/>
    </w:lvl>
  </w:abstractNum>
  <w:abstractNum w:abstractNumId="97">
    <w:nsid w:val="1AF7F0EA"/>
    <w:multiLevelType w:val="hybridMultilevel"/>
    <w:lvl w:ilvl="0">
      <w:lvlJc w:val="left"/>
      <w:lvlText w:val="(%1)"/>
      <w:numFmt w:val="lowerLetter"/>
      <w:start w:val="2"/>
    </w:lvl>
  </w:abstractNum>
  <w:abstractNum w:abstractNumId="98">
    <w:nsid w:val="4DA32C7E"/>
    <w:multiLevelType w:val="hybridMultilevel"/>
    <w:lvl w:ilvl="0">
      <w:lvlJc w:val="left"/>
      <w:lvlText w:val="(%1)"/>
      <w:numFmt w:val="lowerLetter"/>
      <w:start w:val="2"/>
    </w:lvl>
  </w:abstractNum>
  <w:abstractNum w:abstractNumId="99">
    <w:nsid w:val="6EC68664"/>
    <w:multiLevelType w:val="hybridMultilevel"/>
    <w:lvl w:ilvl="0">
      <w:lvlJc w:val="left"/>
      <w:lvlText w:val="(%1)"/>
      <w:numFmt w:val="lowerLetter"/>
      <w:start w:val="2"/>
    </w:lvl>
  </w:abstractNum>
  <w:abstractNum w:abstractNumId="100">
    <w:nsid w:val="E0D31FF"/>
    <w:multiLevelType w:val="hybridMultilevel"/>
    <w:lvl w:ilvl="0">
      <w:lvlJc w:val="left"/>
      <w:lvlText w:val="(%1)"/>
      <w:numFmt w:val="lowerLetter"/>
      <w:start w:val="2"/>
    </w:lvl>
  </w:abstractNum>
  <w:abstractNum w:abstractNumId="101">
    <w:nsid w:val="2FD0AD81"/>
    <w:multiLevelType w:val="hybridMultilevel"/>
    <w:lvl w:ilvl="0">
      <w:lvlJc w:val="left"/>
      <w:lvlText w:val="%1"/>
      <w:numFmt w:val="upperLetter"/>
      <w:start w:val="1"/>
    </w:lvl>
    <w:lvl w:ilvl="1">
      <w:lvlJc w:val="left"/>
      <w:lvlText w:val="(%2)"/>
      <w:numFmt w:val="lowerLetter"/>
      <w:start w:val="1"/>
    </w:lvl>
  </w:abstractNum>
  <w:abstractNum w:abstractNumId="102">
    <w:nsid w:val="1978EBEB"/>
    <w:multiLevelType w:val="hybridMultilevel"/>
    <w:lvl w:ilvl="0">
      <w:lvlJc w:val="left"/>
      <w:lvlText w:val="(%1)"/>
      <w:numFmt w:val="upperLetter"/>
      <w:start w:val="1"/>
    </w:lvl>
    <w:lvl w:ilvl="1">
      <w:lvlJc w:val="left"/>
      <w:lvlText w:val="(%2)"/>
      <w:numFmt w:val="lowerLetter"/>
      <w:start w:val="2"/>
    </w:lvl>
  </w:abstractNum>
  <w:abstractNum w:abstractNumId="103">
    <w:nsid w:val="52C12C61"/>
    <w:multiLevelType w:val="hybridMultilevel"/>
    <w:lvl w:ilvl="0">
      <w:lvlJc w:val="left"/>
      <w:lvlText w:val="(%1)"/>
      <w:numFmt w:val="lowerLetter"/>
      <w:start w:val="4"/>
    </w:lvl>
  </w:abstractNum>
  <w:abstractNum w:abstractNumId="104">
    <w:nsid w:val="4BDD53FD"/>
    <w:multiLevelType w:val="hybridMultilevel"/>
    <w:lvl w:ilvl="0">
      <w:lvlJc w:val="left"/>
      <w:lvlText w:val="(%1)"/>
      <w:numFmt w:val="lowerLetter"/>
      <w:start w:val="11"/>
    </w:lvl>
  </w:abstractNum>
  <w:abstractNum w:abstractNumId="105">
    <w:nsid w:val="569951FE"/>
    <w:multiLevelType w:val="hybridMultilevel"/>
    <w:lvl w:ilvl="0">
      <w:lvlJc w:val="left"/>
      <w:lvlText w:val="(%1)"/>
      <w:numFmt w:val="lowerLetter"/>
      <w:start w:val="12"/>
    </w:lvl>
  </w:abstractNum>
  <w:abstractNum w:abstractNumId="106">
    <w:nsid w:val="4C54E2C3"/>
    <w:multiLevelType w:val="hybridMultilevel"/>
    <w:lvl w:ilvl="0">
      <w:lvlJc w:val="left"/>
      <w:lvlText w:val="(%1)"/>
      <w:numFmt w:val="lowerLetter"/>
      <w:start w:val="21"/>
    </w:lvl>
  </w:abstractNum>
  <w:abstractNum w:abstractNumId="107">
    <w:nsid w:val="788BD9B"/>
    <w:multiLevelType w:val="hybridMultilevel"/>
    <w:lvl w:ilvl="0">
      <w:lvlJc w:val="left"/>
      <w:lvlText w:val="(%1)"/>
      <w:numFmt w:val="lowerLetter"/>
      <w:start w:val="1"/>
    </w:lvl>
  </w:abstractNum>
  <w:abstractNum w:abstractNumId="108">
    <w:nsid w:val="47CAA567"/>
    <w:multiLevelType w:val="hybridMultilevel"/>
    <w:lvl w:ilvl="0">
      <w:lvlJc w:val="left"/>
      <w:lvlText w:val="(%1)"/>
      <w:numFmt w:val="lowerLetter"/>
      <w:start w:val="4"/>
    </w:lvl>
  </w:abstractNum>
  <w:abstractNum w:abstractNumId="109">
    <w:nsid w:val="48249DBF"/>
    <w:multiLevelType w:val="hybridMultilevel"/>
    <w:lvl w:ilvl="0">
      <w:lvlJc w:val="left"/>
      <w:lvlText w:val="(%1)"/>
      <w:numFmt w:val="lowerLetter"/>
      <w:start w:val="1"/>
    </w:lvl>
  </w:abstractNum>
  <w:abstractNum w:abstractNumId="110">
    <w:nsid w:val="1F0E5D0D"/>
    <w:multiLevelType w:val="hybridMultilevel"/>
    <w:lvl w:ilvl="0">
      <w:lvlJc w:val="left"/>
      <w:lvlText w:val="(%1)"/>
      <w:numFmt w:val="lowerLetter"/>
      <w:start w:val="3"/>
    </w:lvl>
  </w:abstractNum>
  <w:abstractNum w:abstractNumId="111">
    <w:nsid w:val="26BAAE9"/>
    <w:multiLevelType w:val="hybridMultilevel"/>
    <w:lvl w:ilvl="0">
      <w:lvlJc w:val="left"/>
      <w:lvlText w:val="(%1)"/>
      <w:numFmt w:val="lowerRoman"/>
      <w:start w:val="1"/>
    </w:lvl>
  </w:abstractNum>
  <w:abstractNum w:abstractNumId="112">
    <w:nsid w:val="2C02FE8C"/>
    <w:multiLevelType w:val="hybridMultilevel"/>
    <w:lvl w:ilvl="0">
      <w:lvlJc w:val="left"/>
      <w:lvlText w:val="%1"/>
      <w:numFmt w:val="lowerLetter"/>
      <w:start w:val="1"/>
    </w:lvl>
    <w:lvl w:ilvl="1">
      <w:lvlJc w:val="left"/>
      <w:lvlText w:val="(%2)"/>
      <w:numFmt w:val="lowerRoman"/>
      <w:start w:val="2"/>
    </w:lvl>
  </w:abstractNum>
  <w:abstractNum w:abstractNumId="113">
    <w:nsid w:val="129517E"/>
    <w:multiLevelType w:val="hybridMultilevel"/>
    <w:lvl w:ilvl="0">
      <w:lvlJc w:val="left"/>
      <w:lvlText w:val="(%1)"/>
      <w:numFmt w:val="lowerLetter"/>
      <w:start w:val="9"/>
    </w:lvl>
    <w:lvl w:ilvl="1">
      <w:lvlJc w:val="left"/>
      <w:lvlText w:val="(%2)"/>
      <w:numFmt w:val="lowerRoman"/>
      <w:start w:val="1"/>
    </w:lvl>
  </w:abstractNum>
  <w:abstractNum w:abstractNumId="114">
    <w:nsid w:val="763B8C4E"/>
    <w:multiLevelType w:val="hybridMultilevel"/>
    <w:lvl w:ilvl="0">
      <w:lvlJc w:val="left"/>
      <w:lvlText w:val="(%1)"/>
      <w:numFmt w:val="lowerLetter"/>
      <w:start w:val="12"/>
    </w:lvl>
  </w:abstractNum>
  <w:abstractNum w:abstractNumId="115">
    <w:nsid w:val="4CFB8D32"/>
    <w:multiLevelType w:val="hybridMultilevel"/>
    <w:lvl w:ilvl="0">
      <w:lvlJc w:val="left"/>
      <w:lvlText w:val="(%1)"/>
      <w:numFmt w:val="upperLetter"/>
      <w:start w:val="2"/>
    </w:lvl>
  </w:abstractNum>
  <w:abstractNum w:abstractNumId="116">
    <w:nsid w:val="62A5D5BD"/>
    <w:multiLevelType w:val="hybridMultilevel"/>
    <w:lvl w:ilvl="0">
      <w:lvlJc w:val="left"/>
      <w:lvlText w:val="%1"/>
      <w:numFmt w:val="lowerRoman"/>
      <w:start w:val="1"/>
    </w:lvl>
    <w:lvl w:ilvl="1">
      <w:lvlJc w:val="left"/>
      <w:lvlText w:val="(%2)"/>
      <w:numFmt w:val="lowerLetter"/>
      <w:start w:val="1"/>
    </w:lvl>
  </w:abstractNum>
  <w:abstractNum w:abstractNumId="117">
    <w:nsid w:val="718FABF9"/>
    <w:multiLevelType w:val="hybridMultilevel"/>
    <w:lvl w:ilvl="0">
      <w:lvlJc w:val="left"/>
      <w:lvlText w:val="(%1)"/>
      <w:numFmt w:val="lowerRoman"/>
      <w:start w:val="3"/>
    </w:lvl>
    <w:lvl w:ilvl="1">
      <w:lvlJc w:val="left"/>
      <w:lvlText w:val="%2"/>
      <w:numFmt w:val="lowerLetter"/>
      <w:start w:val="1"/>
    </w:lvl>
  </w:abstractNum>
  <w:abstractNum w:abstractNumId="118">
    <w:nsid w:val="7775797C"/>
    <w:multiLevelType w:val="hybridMultilevel"/>
    <w:lvl w:ilvl="0">
      <w:lvlJc w:val="left"/>
      <w:lvlText w:val="(%1)"/>
      <w:numFmt w:val="lowerRoman"/>
      <w:start w:val="6"/>
    </w:lvl>
    <w:lvl w:ilvl="1">
      <w:lvlJc w:val="left"/>
      <w:lvlText w:val="(%2)"/>
      <w:numFmt w:val="lowerLetter"/>
      <w:start w:val="3"/>
    </w:lvl>
  </w:abstractNum>
  <w:abstractNum w:abstractNumId="119">
    <w:nsid w:val="1626FB8C"/>
    <w:multiLevelType w:val="hybridMultilevel"/>
    <w:lvl w:ilvl="0">
      <w:lvlJc w:val="left"/>
      <w:lvlText w:val="(%1)"/>
      <w:numFmt w:val="lowerLetter"/>
      <w:start w:val="9"/>
    </w:lvl>
  </w:abstractNum>
  <w:abstractNum w:abstractNumId="120">
    <w:nsid w:val="3957756A"/>
    <w:multiLevelType w:val="hybridMultilevel"/>
    <w:lvl w:ilvl="0">
      <w:lvlJc w:val="left"/>
      <w:lvlText w:val="%1"/>
      <w:numFmt w:val="lowerLetter"/>
      <w:start w:val="1"/>
    </w:lvl>
    <w:lvl w:ilvl="1">
      <w:lvlJc w:val="left"/>
      <w:lvlText w:val="(%2)"/>
      <w:numFmt w:val="lowerLetter"/>
      <w:start w:val="1"/>
    </w:lvl>
  </w:abstractNum>
  <w:abstractNum w:abstractNumId="121">
    <w:nsid w:val="3E6DA1C7"/>
    <w:multiLevelType w:val="hybridMultilevel"/>
    <w:lvl w:ilvl="0">
      <w:lvlJc w:val="left"/>
      <w:lvlText w:val="(%1)"/>
      <w:numFmt w:val="lowerLetter"/>
      <w:start w:val="9"/>
    </w:lvl>
    <w:lvl w:ilvl="1">
      <w:lvlJc w:val="left"/>
      <w:lvlText w:val="%2"/>
      <w:numFmt w:val="lowerLetter"/>
      <w:start w:val="1"/>
    </w:lvl>
  </w:abstractNum>
  <w:abstractNum w:abstractNumId="122">
    <w:nsid w:val="65CA235B"/>
    <w:multiLevelType w:val="hybridMultilevel"/>
    <w:lvl w:ilvl="0">
      <w:lvlJc w:val="left"/>
      <w:lvlText w:val="%1"/>
      <w:numFmt w:val="lowerLetter"/>
      <w:start w:val="1"/>
    </w:lvl>
    <w:lvl w:ilvl="1">
      <w:lvlJc w:val="left"/>
      <w:lvlText w:val="(%2)"/>
      <w:numFmt w:val="lowerLetter"/>
      <w:start w:val="2"/>
    </w:lvl>
  </w:abstractNum>
  <w:abstractNum w:abstractNumId="123">
    <w:nsid w:val="51CB0DA4"/>
    <w:multiLevelType w:val="hybridMultilevel"/>
    <w:lvl w:ilvl="0">
      <w:lvlJc w:val="left"/>
      <w:lvlText w:val="(%1)"/>
      <w:numFmt w:val="lowerLetter"/>
      <w:start w:val="3"/>
    </w:lvl>
    <w:lvl w:ilvl="1">
      <w:lvlJc w:val="left"/>
      <w:lvlText w:val="%2"/>
      <w:numFmt w:val="lowerLetter"/>
      <w:start w:val="1"/>
    </w:lvl>
  </w:abstractNum>
  <w:abstractNum w:abstractNumId="124">
    <w:nsid w:val="7B9B743C"/>
    <w:multiLevelType w:val="hybridMultilevel"/>
    <w:lvl w:ilvl="0">
      <w:lvlJc w:val="left"/>
      <w:lvlText w:val="(%1)"/>
      <w:numFmt w:val="lowerLetter"/>
      <w:start w:val="1"/>
    </w:lvl>
  </w:abstractNum>
  <w:abstractNum w:abstractNumId="125">
    <w:nsid w:val="13E21002"/>
    <w:multiLevelType w:val="hybridMultilevel"/>
    <w:lvl w:ilvl="0">
      <w:lvlJc w:val="left"/>
      <w:lvlText w:val="%1"/>
      <w:numFmt w:val="lowerLetter"/>
      <w:start w:val="1"/>
    </w:lvl>
    <w:lvl w:ilvl="1">
      <w:lvlJc w:val="left"/>
      <w:lvlText w:val="(%2)"/>
      <w:numFmt w:val="lowerLetter"/>
      <w:start w:val="7"/>
    </w:lvl>
  </w:abstractNum>
  <w:abstractNum w:abstractNumId="126">
    <w:nsid w:val="257D63F4"/>
    <w:multiLevelType w:val="hybridMultilevel"/>
    <w:lvl w:ilvl="0">
      <w:lvlJc w:val="left"/>
      <w:lvlText w:val="(%1)"/>
      <w:numFmt w:val="lowerLetter"/>
      <w:start w:val="9"/>
    </w:lvl>
    <w:lvl w:ilvl="1">
      <w:lvlJc w:val="left"/>
      <w:lvlText w:val="(%2)"/>
      <w:numFmt w:val="lowerLetter"/>
      <w:start w:val="11"/>
    </w:lvl>
  </w:abstractNum>
  <w:abstractNum w:abstractNumId="127">
    <w:nsid w:val="70EC11B2"/>
    <w:multiLevelType w:val="hybridMultilevel"/>
    <w:lvl w:ilvl="0">
      <w:lvlJc w:val="left"/>
      <w:lvlText w:val="%1"/>
      <w:numFmt w:val="lowerLetter"/>
      <w:start w:val="1"/>
    </w:lvl>
    <w:lvl w:ilvl="1">
      <w:lvlJc w:val="left"/>
      <w:lvlText w:val="(%2)"/>
      <w:numFmt w:val="lowerLetter"/>
      <w:start w:val="1"/>
    </w:lvl>
  </w:abstractNum>
  <w:abstractNum w:abstractNumId="128">
    <w:nsid w:val="2EDA00ED"/>
    <w:multiLevelType w:val="hybridMultilevel"/>
    <w:lvl w:ilvl="0">
      <w:lvlJc w:val="left"/>
      <w:lvlText w:val="(%1)"/>
      <w:numFmt w:val="lowerLetter"/>
      <w:start w:val="35"/>
    </w:lvl>
    <w:lvl w:ilvl="1">
      <w:lvlJc w:val="left"/>
      <w:lvlText w:val="(%2)"/>
      <w:numFmt w:val="lowerLetter"/>
      <w:start w:val="4"/>
    </w:lvl>
  </w:abstractNum>
  <w:abstractNum w:abstractNumId="129">
    <w:nsid w:val="73209072"/>
    <w:multiLevelType w:val="hybridMultilevel"/>
    <w:lvl w:ilvl="0">
      <w:lvlJc w:val="left"/>
      <w:lvlText w:val="(%1)"/>
      <w:numFmt w:val="lowerLetter"/>
      <w:start w:val="5"/>
    </w:lvl>
  </w:abstractNum>
  <w:abstractNum w:abstractNumId="130">
    <w:nsid w:val="5FB29816"/>
    <w:multiLevelType w:val="hybridMultilevel"/>
    <w:lvl w:ilvl="0">
      <w:lvlJc w:val="left"/>
      <w:lvlText w:val="(%1)"/>
      <w:numFmt w:val="lowerLetter"/>
      <w:start w:val="2"/>
    </w:lvl>
  </w:abstractNum>
  <w:abstractNum w:abstractNumId="131">
    <w:nsid w:val="3CE732EC"/>
    <w:multiLevelType w:val="hybridMultilevel"/>
    <w:lvl w:ilvl="0">
      <w:lvlJc w:val="left"/>
      <w:lvlText w:val="(%1)"/>
      <w:numFmt w:val="lowerLetter"/>
      <w:start w:val="1"/>
    </w:lvl>
  </w:abstractNum>
  <w:abstractNum w:abstractNumId="132">
    <w:nsid w:val="22F13DF3"/>
    <w:multiLevelType w:val="hybridMultilevel"/>
    <w:lvl w:ilvl="0">
      <w:lvlJc w:val="left"/>
      <w:lvlText w:val="(%1)"/>
      <w:numFmt w:val="lowerLetter"/>
      <w:start w:val="7"/>
    </w:lvl>
  </w:abstractNum>
  <w:abstractNum w:abstractNumId="133">
    <w:nsid w:val="792B8401"/>
    <w:multiLevelType w:val="hybridMultilevel"/>
    <w:lvl w:ilvl="0">
      <w:lvlJc w:val="left"/>
      <w:lvlText w:val="(%1)"/>
      <w:numFmt w:val="lowerLetter"/>
      <w:start w:val="1"/>
    </w:lvl>
  </w:abstractNum>
  <w:abstractNum w:abstractNumId="134">
    <w:nsid w:val="FA85F4D"/>
    <w:multiLevelType w:val="hybridMultilevel"/>
    <w:lvl w:ilvl="0">
      <w:lvlJc w:val="left"/>
      <w:lvlText w:val="(%1)"/>
      <w:numFmt w:val="lowerLetter"/>
      <w:start w:val="2"/>
    </w:lvl>
    <w:lvl w:ilvl="1">
      <w:lvlJc w:val="left"/>
      <w:lvlText w:val="(%2)"/>
      <w:numFmt w:val="lowerRoman"/>
      <w:start w:val="1"/>
    </w:lvl>
  </w:abstractNum>
  <w:abstractNum w:abstractNumId="135">
    <w:nsid w:val="6ECE91F0"/>
    <w:multiLevelType w:val="hybridMultilevel"/>
    <w:lvl w:ilvl="0">
      <w:lvlJc w:val="left"/>
      <w:lvlText w:val="(%1)"/>
      <w:numFmt w:val="lowerLetter"/>
      <w:start w:val="1"/>
    </w:lvl>
  </w:abstractNum>
  <w:abstractNum w:abstractNumId="136">
    <w:nsid w:val="4FC4D600"/>
    <w:multiLevelType w:val="hybridMultilevel"/>
    <w:lvl w:ilvl="0">
      <w:lvlJc w:val="left"/>
      <w:lvlText w:val="(%1)"/>
      <w:numFmt w:val="lowerLetter"/>
      <w:start w:val="1"/>
    </w:lvl>
  </w:abstractNum>
  <w:abstractNum w:abstractNumId="137">
    <w:nsid w:val="5BFD4210"/>
    <w:multiLevelType w:val="hybridMultilevel"/>
    <w:lvl w:ilvl="0">
      <w:lvlJc w:val="left"/>
      <w:lvlText w:val="%1"/>
      <w:numFmt w:val="decimal"/>
      <w:start w:val="1"/>
    </w:lvl>
    <w:lvl w:ilvl="1">
      <w:lvlJc w:val="left"/>
      <w:lvlText w:val="(%2)"/>
      <w:numFmt w:val="lowerLetter"/>
      <w:start w:val="2"/>
    </w:lvl>
  </w:abstractNum>
  <w:abstractNum w:abstractNumId="138">
    <w:nsid w:val="76574F8B"/>
    <w:multiLevelType w:val="hybridMultilevel"/>
    <w:lvl w:ilvl="0">
      <w:lvlJc w:val="left"/>
      <w:lvlText w:val="(%1)"/>
      <w:numFmt w:val="decimal"/>
      <w:start w:val="60"/>
    </w:lvl>
    <w:lvl w:ilvl="1">
      <w:lvlJc w:val="left"/>
      <w:lvlText w:val="(%2)"/>
      <w:numFmt w:val="lowerLetter"/>
      <w:start w:val="9"/>
    </w:lvl>
  </w:abstractNum>
  <w:abstractNum w:abstractNumId="139">
    <w:nsid w:val="178F7B67"/>
    <w:multiLevelType w:val="hybridMultilevel"/>
    <w:lvl w:ilvl="0">
      <w:lvlJc w:val="left"/>
      <w:lvlText w:val="(%1)"/>
      <w:numFmt w:val="lowerLetter"/>
      <w:start w:val="10"/>
    </w:lvl>
  </w:abstractNum>
  <w:abstractNum w:abstractNumId="140">
    <w:nsid w:val="2421DFCF"/>
    <w:multiLevelType w:val="hybridMultilevel"/>
    <w:lvl w:ilvl="0">
      <w:lvlJc w:val="left"/>
      <w:lvlText w:val="(%1)"/>
      <w:numFmt w:val="lowerLetter"/>
      <w:start w:val="1"/>
    </w:lvl>
  </w:abstractNum>
  <w:abstractNum w:abstractNumId="141">
    <w:nsid w:val="1565AC99"/>
    <w:multiLevelType w:val="hybridMultilevel"/>
    <w:lvl w:ilvl="0">
      <w:lvlJc w:val="left"/>
      <w:lvlText w:val="(%1)"/>
      <w:numFmt w:val="lowerLetter"/>
      <w:start w:val="2"/>
    </w:lvl>
    <w:lvl w:ilvl="1">
      <w:lvlJc w:val="left"/>
      <w:lvlText w:val="(%2)"/>
      <w:numFmt w:val="lowerRoman"/>
      <w:start w:val="1"/>
    </w:lvl>
  </w:abstractNum>
  <w:abstractNum w:abstractNumId="142">
    <w:nsid w:val="19FB2650"/>
    <w:multiLevelType w:val="hybridMultilevel"/>
    <w:lvl w:ilvl="0">
      <w:lvlJc w:val="left"/>
      <w:lvlText w:val="(%1)"/>
      <w:numFmt w:val="lowerLetter"/>
      <w:start w:val="5"/>
    </w:lvl>
    <w:lvl w:ilvl="1">
      <w:lvlJc w:val="left"/>
      <w:lvlText w:val="(%2)"/>
      <w:numFmt w:val="lowerRoman"/>
      <w:start w:val="3"/>
    </w:lvl>
  </w:abstractNum>
  <w:abstractNum w:abstractNumId="143">
    <w:nsid w:val="5024DE5B"/>
    <w:multiLevelType w:val="hybridMultilevel"/>
    <w:lvl w:ilvl="0">
      <w:lvlJc w:val="left"/>
      <w:lvlText w:val="(%1)"/>
      <w:numFmt w:val="lowerLetter"/>
      <w:start w:val="7"/>
    </w:lvl>
  </w:abstractNum>
  <w:abstractNum w:abstractNumId="144">
    <w:nsid w:val="168EFE17"/>
    <w:multiLevelType w:val="hybridMultilevel"/>
    <w:lvl w:ilvl="0">
      <w:lvlJc w:val="left"/>
      <w:lvlText w:val="(%1)"/>
      <w:numFmt w:val="lowerLetter"/>
      <w:start w:val="1"/>
    </w:lvl>
  </w:abstractNum>
  <w:abstractNum w:abstractNumId="145">
    <w:nsid w:val="1036B29F"/>
    <w:multiLevelType w:val="hybridMultilevel"/>
    <w:lvl w:ilvl="0">
      <w:lvlJc w:val="left"/>
      <w:lvlText w:val="(%1)"/>
      <w:numFmt w:val="lowerLetter"/>
      <w:start w:val="2"/>
    </w:lvl>
  </w:abstractNum>
  <w:abstractNum w:abstractNumId="146">
    <w:nsid w:val="1D206B8E"/>
    <w:multiLevelType w:val="hybridMultilevel"/>
    <w:lvl w:ilvl="0">
      <w:lvlJc w:val="left"/>
      <w:lvlText w:val="(%1)"/>
      <w:numFmt w:val="lowerLetter"/>
      <w:start w:val="1"/>
    </w:lvl>
  </w:abstractNum>
  <w:abstractNum w:abstractNumId="147">
    <w:nsid w:val="7934D3D4"/>
    <w:multiLevelType w:val="hybridMultilevel"/>
    <w:lvl w:ilvl="0">
      <w:lvlJc w:val="left"/>
      <w:lvlText w:val="(%1)"/>
      <w:numFmt w:val="lowerLetter"/>
      <w:start w:val="2"/>
    </w:lvl>
  </w:abstractNum>
  <w:abstractNum w:abstractNumId="148">
    <w:nsid w:val="1C65E98"/>
    <w:multiLevelType w:val="hybridMultilevel"/>
    <w:lvl w:ilvl="0">
      <w:lvlJc w:val="left"/>
      <w:lvlText w:val="(%1)"/>
      <w:numFmt w:val="lowerLetter"/>
      <w:start w:val="4"/>
    </w:lvl>
  </w:abstractNum>
  <w:abstractNum w:abstractNumId="149">
    <w:nsid w:val="1495E50A"/>
    <w:multiLevelType w:val="hybridMultilevel"/>
    <w:lvl w:ilvl="0">
      <w:lvlJc w:val="left"/>
      <w:lvlText w:val="(%1)"/>
      <w:numFmt w:val="lowerLetter"/>
      <w:start w:val="5"/>
    </w:lvl>
  </w:abstractNum>
  <w:abstractNum w:abstractNumId="150">
    <w:nsid w:val="F5BCF61"/>
    <w:multiLevelType w:val="hybridMultilevel"/>
    <w:lvl w:ilvl="0">
      <w:lvlJc w:val="left"/>
      <w:lvlText w:val="(%1)"/>
      <w:numFmt w:val="lowerLetter"/>
      <w:start w:val="1"/>
    </w:lvl>
  </w:abstractNum>
  <w:abstractNum w:abstractNumId="151">
    <w:nsid w:val="3B1DD403"/>
    <w:multiLevelType w:val="hybridMultilevel"/>
    <w:lvl w:ilvl="0">
      <w:lvlJc w:val="left"/>
      <w:lvlText w:val="(%1)"/>
      <w:numFmt w:val="lowerLetter"/>
      <w:start w:val="2"/>
    </w:lvl>
  </w:abstractNum>
  <w:abstractNum w:abstractNumId="152">
    <w:nsid w:val="530386D1"/>
    <w:multiLevelType w:val="hybridMultilevel"/>
    <w:lvl w:ilvl="0">
      <w:lvlJc w:val="left"/>
      <w:lvlText w:val="(%1)"/>
      <w:numFmt w:val="lowerLetter"/>
      <w:start w:val="1"/>
    </w:lvl>
  </w:abstractNum>
  <w:abstractNum w:abstractNumId="153">
    <w:nsid w:val="7525F2BC"/>
    <w:multiLevelType w:val="hybridMultilevel"/>
    <w:lvl w:ilvl="0">
      <w:lvlJc w:val="left"/>
      <w:lvlText w:val="(%1)"/>
      <w:numFmt w:val="lowerLetter"/>
      <w:start w:val="3"/>
    </w:lvl>
  </w:abstractNum>
  <w:abstractNum w:abstractNumId="154">
    <w:nsid w:val="CE8E1A7"/>
    <w:multiLevelType w:val="hybridMultilevel"/>
    <w:lvl w:ilvl="0">
      <w:lvlJc w:val="left"/>
      <w:lvlText w:val="(%1)"/>
      <w:numFmt w:val="lowerLetter"/>
      <w:start w:val="1"/>
    </w:lvl>
  </w:abstractNum>
  <w:abstractNum w:abstractNumId="155">
    <w:nsid w:val="4E9EFB0D"/>
    <w:multiLevelType w:val="hybridMultilevel"/>
    <w:lvl w:ilvl="0">
      <w:lvlJc w:val="left"/>
      <w:lvlText w:val="(%1)"/>
      <w:numFmt w:val="lowerLetter"/>
      <w:start w:val="3"/>
    </w:lvl>
  </w:abstractNum>
  <w:abstractNum w:abstractNumId="156">
    <w:nsid w:val="90802BE"/>
    <w:multiLevelType w:val="hybridMultilevel"/>
    <w:lvl w:ilvl="0">
      <w:lvlJc w:val="left"/>
      <w:lvlText w:val="(%1)"/>
      <w:numFmt w:val="lowerRoman"/>
      <w:start w:val="4"/>
    </w:lvl>
  </w:abstractNum>
  <w:abstractNum w:abstractNumId="157">
    <w:nsid w:val="3266459B"/>
    <w:multiLevelType w:val="hybridMultilevel"/>
    <w:lvl w:ilvl="0">
      <w:lvlJc w:val="left"/>
      <w:lvlText w:val="(%1)"/>
      <w:numFmt w:val="lowerLetter"/>
      <w:start w:val="1"/>
    </w:lvl>
    <w:lvl w:ilvl="1">
      <w:lvlJc w:val="left"/>
      <w:lvlText w:val="(%2)"/>
      <w:numFmt w:val="lowerRoman"/>
      <w:start w:val="1"/>
    </w:lvl>
  </w:abstractNum>
  <w:abstractNum w:abstractNumId="158">
    <w:nsid w:val="3F8B0CBF"/>
    <w:multiLevelType w:val="hybridMultilevel"/>
    <w:lvl w:ilvl="0">
      <w:lvlJc w:val="left"/>
      <w:lvlText w:val="(%1)"/>
      <w:numFmt w:val="lowerLetter"/>
      <w:start w:val="3"/>
    </w:lvl>
  </w:abstractNum>
  <w:abstractNum w:abstractNumId="159">
    <w:nsid w:val="37E203AB"/>
    <w:multiLevelType w:val="hybridMultilevel"/>
    <w:lvl w:ilvl="0">
      <w:lvlJc w:val="left"/>
      <w:lvlText w:val="(%1)"/>
      <w:numFmt w:val="lowerRoman"/>
      <w:start w:val="1"/>
    </w:lvl>
  </w:abstractNum>
  <w:abstractNum w:abstractNumId="160">
    <w:nsid w:val="2586D60E"/>
    <w:multiLevelType w:val="hybridMultilevel"/>
    <w:lvl w:ilvl="0">
      <w:lvlJc w:val="left"/>
      <w:lvlText w:val="(%1)"/>
      <w:numFmt w:val="lowerRoman"/>
      <w:start w:val="3"/>
    </w:lvl>
  </w:abstractNum>
  <w:abstractNum w:abstractNumId="161">
    <w:nsid w:val="1F3DA4D5"/>
    <w:multiLevelType w:val="hybridMultilevel"/>
    <w:lvl w:ilvl="0">
      <w:lvlJc w:val="left"/>
      <w:lvlText w:val="(%1)"/>
      <w:numFmt w:val="lowerLetter"/>
      <w:start w:val="2"/>
    </w:lvl>
  </w:abstractNum>
  <w:abstractNum w:abstractNumId="162">
    <w:nsid w:val="74C93698"/>
    <w:multiLevelType w:val="hybridMultilevel"/>
    <w:lvl w:ilvl="0">
      <w:lvlJc w:val="left"/>
      <w:lvlText w:val="(%1)"/>
      <w:numFmt w:val="lowerLetter"/>
      <w:start w:val="2"/>
    </w:lvl>
  </w:abstractNum>
  <w:abstractNum w:abstractNumId="163">
    <w:nsid w:val="48781401"/>
    <w:multiLevelType w:val="hybridMultilevel"/>
    <w:lvl w:ilvl="0">
      <w:lvlJc w:val="left"/>
      <w:lvlText w:val="(%1)"/>
      <w:numFmt w:val="lowerLetter"/>
      <w:start w:val="3"/>
    </w:lvl>
  </w:abstractNum>
  <w:abstractNum w:abstractNumId="164">
    <w:nsid w:val="186928D6"/>
    <w:multiLevelType w:val="hybridMultilevel"/>
    <w:lvl w:ilvl="0">
      <w:lvlJc w:val="left"/>
      <w:lvlText w:val="(%1)"/>
      <w:numFmt w:val="upperLetter"/>
      <w:start w:val="1"/>
    </w:lvl>
  </w:abstractNum>
  <w:abstractNum w:abstractNumId="165">
    <w:nsid w:val="47195E5"/>
    <w:multiLevelType w:val="hybridMultilevel"/>
    <w:lvl w:ilvl="0">
      <w:lvlJc w:val="left"/>
      <w:lvlText w:val="(%1)"/>
      <w:numFmt w:val="lowerLetter"/>
      <w:start w:val="2"/>
    </w:lvl>
  </w:abstractNum>
  <w:abstractNum w:abstractNumId="166">
    <w:nsid w:val="3746A5F2"/>
    <w:multiLevelType w:val="hybridMultilevel"/>
    <w:lvl w:ilvl="0">
      <w:lvlJc w:val="left"/>
      <w:lvlText w:val="(%1)"/>
      <w:numFmt w:val="lowerLetter"/>
      <w:start w:val="3"/>
    </w:lvl>
  </w:abstractNum>
  <w:abstractNum w:abstractNumId="167">
    <w:nsid w:val="682DFED6"/>
    <w:multiLevelType w:val="hybridMultilevel"/>
    <w:lvl w:ilvl="0">
      <w:lvlJc w:val="left"/>
      <w:lvlText w:val="(%1)"/>
      <w:numFmt w:val="lowerLetter"/>
      <w:start w:val="5"/>
    </w:lvl>
  </w:abstractNum>
  <w:abstractNum w:abstractNumId="168">
    <w:nsid w:val="606ED7F6"/>
    <w:multiLevelType w:val="hybridMultilevel"/>
    <w:lvl w:ilvl="0">
      <w:lvlJc w:val="left"/>
      <w:lvlText w:val="%1"/>
      <w:numFmt w:val="lowerRoman"/>
      <w:start w:val="1"/>
    </w:lvl>
    <w:lvl w:ilvl="1">
      <w:lvlJc w:val="left"/>
      <w:lvlText w:val="(%2)"/>
      <w:numFmt w:val="upperLetter"/>
      <w:start w:val="1"/>
    </w:lvl>
  </w:abstractNum>
  <w:abstractNum w:abstractNumId="169">
    <w:nsid w:val="2D9DF57D"/>
    <w:multiLevelType w:val="hybridMultilevel"/>
    <w:lvl w:ilvl="0">
      <w:lvlJc w:val="left"/>
      <w:lvlText w:val="(%1)"/>
      <w:numFmt w:val="lowerRoman"/>
      <w:start w:val="2"/>
    </w:lvl>
    <w:lvl w:ilvl="1">
      <w:lvlJc w:val="left"/>
      <w:lvlText w:val="(%2)"/>
      <w:numFmt w:val="upperLetter"/>
      <w:start w:val="1"/>
    </w:lvl>
  </w:abstractNum>
  <w:abstractNum w:abstractNumId="170">
    <w:nsid w:val="7FBD7A3E"/>
    <w:multiLevelType w:val="hybridMultilevel"/>
    <w:lvl w:ilvl="0">
      <w:lvlJc w:val="left"/>
      <w:lvlText w:val="(%1)"/>
      <w:numFmt w:val="upperLetter"/>
      <w:start w:val="3"/>
    </w:lvl>
  </w:abstractNum>
  <w:abstractNum w:abstractNumId="171">
    <w:nsid w:val="490B7C5"/>
    <w:multiLevelType w:val="hybridMultilevel"/>
    <w:lvl w:ilvl="0">
      <w:lvlJc w:val="left"/>
      <w:lvlText w:val="(%1)"/>
      <w:numFmt w:val="lowerRoman"/>
      <w:start w:val="3"/>
    </w:lvl>
  </w:abstractNum>
  <w:abstractNum w:abstractNumId="172">
    <w:nsid w:val="4303A216"/>
    <w:multiLevelType w:val="hybridMultilevel"/>
    <w:lvl w:ilvl="0">
      <w:lvlJc w:val="left"/>
      <w:lvlText w:val="%1"/>
      <w:numFmt w:val="lowerLetter"/>
      <w:start w:val="1"/>
    </w:lvl>
    <w:lvl w:ilvl="1">
      <w:lvlJc w:val="left"/>
      <w:lvlText w:val="(%2)"/>
      <w:numFmt w:val="lowerLetter"/>
      <w:start w:val="22"/>
    </w:lvl>
  </w:abstractNum>
  <w:abstractNum w:abstractNumId="173">
    <w:nsid w:val="19B8A08E"/>
    <w:multiLevelType w:val="hybridMultilevel"/>
    <w:lvl w:ilvl="0">
      <w:lvlJc w:val="left"/>
      <w:lvlText w:val="(%1)"/>
      <w:numFmt w:val="lowerLetter"/>
      <w:start w:val="3"/>
    </w:lvl>
    <w:lvl w:ilvl="1">
      <w:lvlJc w:val="left"/>
      <w:lvlText w:val="%2"/>
      <w:numFmt w:val="lowerLetter"/>
      <w:start w:val="1"/>
    </w:lvl>
  </w:abstractNum>
  <w:abstractNum w:abstractNumId="174">
    <w:nsid w:val="54B59621"/>
    <w:multiLevelType w:val="hybridMultilevel"/>
    <w:lvl w:ilvl="0">
      <w:lvlJc w:val="left"/>
      <w:lvlText w:val="(%1)"/>
      <w:numFmt w:val="lowerLetter"/>
      <w:start w:val="4"/>
    </w:lvl>
  </w:abstractNum>
  <w:abstractNum w:abstractNumId="175">
    <w:nsid w:val="5992A02E"/>
    <w:multiLevelType w:val="hybridMultilevel"/>
    <w:lvl w:ilvl="0">
      <w:lvlJc w:val="left"/>
      <w:lvlText w:val="(%1)"/>
      <w:numFmt w:val="lowerRoman"/>
      <w:start w:val="2"/>
    </w:lvl>
  </w:abstractNum>
  <w:abstractNum w:abstractNumId="176">
    <w:nsid w:val="29EF532D"/>
    <w:multiLevelType w:val="hybridMultilevel"/>
    <w:lvl w:ilvl="0">
      <w:lvlJc w:val="left"/>
      <w:lvlText w:val="(%1)"/>
      <w:numFmt w:val="lowerLetter"/>
      <w:start w:val="2"/>
    </w:lvl>
  </w:abstractNum>
  <w:abstractNum w:abstractNumId="177">
    <w:nsid w:val="71D601AF"/>
    <w:multiLevelType w:val="hybridMultilevel"/>
    <w:lvl w:ilvl="0">
      <w:lvlJc w:val="left"/>
      <w:lvlText w:val="(%1)"/>
      <w:numFmt w:val="lowerLetter"/>
      <w:start w:val="2"/>
    </w:lvl>
  </w:abstractNum>
  <w:abstractNum w:abstractNumId="178">
    <w:nsid w:val="52C77402"/>
    <w:multiLevelType w:val="hybridMultilevel"/>
    <w:lvl w:ilvl="0">
      <w:lvlJc w:val="left"/>
      <w:lvlText w:val="(%1)"/>
      <w:numFmt w:val="lowerLetter"/>
      <w:start w:val="5"/>
    </w:lvl>
  </w:abstractNum>
  <w:abstractNum w:abstractNumId="179">
    <w:nsid w:val="2BB5B1C6"/>
    <w:multiLevelType w:val="hybridMultilevel"/>
    <w:lvl w:ilvl="0">
      <w:lvlJc w:val="left"/>
      <w:lvlText w:val="(%1)"/>
      <w:numFmt w:val="lowerLetter"/>
      <w:start w:val="1"/>
    </w:lvl>
    <w:lvl w:ilvl="1">
      <w:lvlJc w:val="left"/>
      <w:lvlText w:val="(%2)"/>
      <w:numFmt w:val="lowerRoman"/>
      <w:start w:val="1"/>
    </w:lvl>
  </w:abstractNum>
  <w:abstractNum w:abstractNumId="180">
    <w:nsid w:val="66BE6B9"/>
    <w:multiLevelType w:val="hybridMultilevel"/>
    <w:lvl w:ilvl="0">
      <w:lvlJc w:val="left"/>
      <w:lvlText w:val="(%1)"/>
      <w:numFmt w:val="lowerRoman"/>
      <w:start w:val="3"/>
    </w:lvl>
  </w:abstractNum>
  <w:abstractNum w:abstractNumId="181">
    <w:nsid w:val="62234363"/>
    <w:multiLevelType w:val="hybridMultilevel"/>
    <w:lvl w:ilvl="0">
      <w:lvlJc w:val="left"/>
      <w:lvlText w:val="(%1)"/>
      <w:numFmt w:val="lowerLetter"/>
      <w:start w:val="2"/>
    </w:lvl>
  </w:abstractNum>
  <w:abstractNum w:abstractNumId="182">
    <w:nsid w:val="66D385C9"/>
    <w:multiLevelType w:val="hybridMultilevel"/>
    <w:lvl w:ilvl="0">
      <w:lvlJc w:val="left"/>
      <w:lvlText w:val="(%1)"/>
      <w:numFmt w:val="lowerLetter"/>
      <w:start w:val="2"/>
    </w:lvl>
  </w:abstractNum>
  <w:abstractNum w:abstractNumId="183">
    <w:nsid w:val="596F6D8A"/>
    <w:multiLevelType w:val="hybridMultilevel"/>
    <w:lvl w:ilvl="0">
      <w:lvlJc w:val="left"/>
      <w:lvlText w:val="(%1)"/>
      <w:numFmt w:val="lowerLetter"/>
      <w:start w:val="4"/>
    </w:lvl>
  </w:abstractNum>
  <w:abstractNum w:abstractNumId="184">
    <w:nsid w:val="5749361F"/>
    <w:multiLevelType w:val="hybridMultilevel"/>
    <w:lvl w:ilvl="0">
      <w:lvlJc w:val="left"/>
      <w:lvlText w:val="(%1)"/>
      <w:numFmt w:val="lowerRoman"/>
      <w:start w:val="1"/>
    </w:lvl>
  </w:abstractNum>
  <w:abstractNum w:abstractNumId="185">
    <w:nsid w:val="73BC6770"/>
    <w:multiLevelType w:val="hybridMultilevel"/>
    <w:lvl w:ilvl="0">
      <w:lvlJc w:val="left"/>
      <w:lvlText w:val="%1."/>
      <w:numFmt w:val="decimal"/>
      <w:start w:val="1"/>
    </w:lvl>
  </w:abstractNum>
  <w:abstractNum w:abstractNumId="186">
    <w:nsid w:val="280E6897"/>
    <w:multiLevelType w:val="hybridMultilevel"/>
    <w:lvl w:ilvl="0">
      <w:lvlJc w:val="left"/>
      <w:lvlText w:val="%1."/>
      <w:numFmt w:val="decimal"/>
      <w:start w:val="3"/>
    </w:lvl>
  </w:abstractNum>
  <w:abstractNum w:abstractNumId="187">
    <w:nsid w:val="605138DE"/>
    <w:multiLevelType w:val="hybridMultilevel"/>
    <w:lvl w:ilvl="0">
      <w:lvlJc w:val="left"/>
      <w:lvlText w:val="2"/>
      <w:numFmt w:val="bullet"/>
      <w:start w:val="1"/>
    </w:lvl>
  </w:abstractNum>
  <w:abstractNum w:abstractNumId="188">
    <w:nsid w:val="2622AD0C"/>
    <w:multiLevelType w:val="hybridMultilevel"/>
    <w:lvl w:ilvl="0">
      <w:lvlJc w:val="left"/>
      <w:lvlText w:val="4"/>
      <w:numFmt w:val="bullet"/>
      <w:start w:val="1"/>
    </w:lvl>
  </w:abstractNum>
  <w:abstractNum w:abstractNumId="189">
    <w:nsid w:val="67997556"/>
    <w:multiLevelType w:val="hybridMultilevel"/>
    <w:lvl w:ilvl="0">
      <w:lvlJc w:val="left"/>
      <w:lvlText w:val="%1."/>
      <w:numFmt w:val="decimal"/>
      <w:start w:val="1"/>
    </w:lvl>
  </w:abstractNum>
  <w:abstractNum w:abstractNumId="190">
    <w:nsid w:val="18333C89"/>
    <w:multiLevelType w:val="hybridMultilevel"/>
    <w:lvl w:ilvl="0">
      <w:lvlJc w:val="left"/>
      <w:lvlText w:val="%1."/>
      <w:numFmt w:val="decimal"/>
      <w:start w:val="2"/>
    </w:lvl>
  </w:abstractNum>
  <w:abstractNum w:abstractNumId="191">
    <w:nsid w:val="4BA9831A"/>
    <w:multiLevelType w:val="hybridMultilevel"/>
    <w:lvl w:ilvl="0">
      <w:lvlJc w:val="left"/>
      <w:lvlText w:val="%1."/>
      <w:numFmt w:val="decimal"/>
      <w:start w:val="2"/>
    </w:lvl>
  </w:abstractNum>
  <w:abstractNum w:abstractNumId="192">
    <w:nsid w:val="6D71A2B"/>
    <w:multiLevelType w:val="hybridMultilevel"/>
    <w:lvl w:ilvl="0">
      <w:lvlJc w:val="left"/>
      <w:lvlText w:val="%1"/>
      <w:numFmt w:val="decimal"/>
      <w:start w:val="29"/>
    </w:lvl>
  </w:abstractNum>
  <w:abstractNum w:abstractNumId="193">
    <w:nsid w:val="CFC7321"/>
    <w:multiLevelType w:val="hybridMultilevel"/>
    <w:lvl w:ilvl="0">
      <w:lvlJc w:val="left"/>
      <w:lvlText w:val="%1."/>
      <w:numFmt w:val="decimal"/>
      <w:start w:val="1"/>
    </w:lvl>
  </w:abstractNum>
  <w:abstractNum w:abstractNumId="194">
    <w:nsid w:val="1421971B"/>
    <w:multiLevelType w:val="hybridMultilevel"/>
    <w:lvl w:ilvl="0">
      <w:lvlJc w:val="left"/>
      <w:lvlText w:val="%1."/>
      <w:numFmt w:val="decimal"/>
      <w:start w:val="4"/>
    </w:lvl>
  </w:abstractNum>
  <w:abstractNum w:abstractNumId="195">
    <w:nsid w:val="1F404301"/>
    <w:multiLevelType w:val="hybridMultilevel"/>
    <w:lvl w:ilvl="0">
      <w:lvlJc w:val="left"/>
      <w:lvlText w:val="(%1)"/>
      <w:numFmt w:val="lowerRoman"/>
      <w:start w:val="3"/>
    </w:lvl>
  </w:abstractNum>
  <w:abstractNum w:abstractNumId="196">
    <w:nsid w:val="116E0907"/>
    <w:multiLevelType w:val="hybridMultilevel"/>
    <w:lvl w:ilvl="0">
      <w:lvlJc w:val="left"/>
      <w:lvlText w:val="(%1)"/>
      <w:numFmt w:val="decimal"/>
      <w:start w:val="2"/>
    </w:lvl>
  </w:abstractNum>
  <w:abstractNum w:abstractNumId="197">
    <w:nsid w:val="4B683D0D"/>
    <w:multiLevelType w:val="hybridMultilevel"/>
    <w:lvl w:ilvl="0">
      <w:lvlJc w:val="left"/>
      <w:lvlText w:val="(%1)"/>
      <w:numFmt w:val="lowerLetter"/>
      <w:start w:val="1"/>
    </w:lvl>
  </w:abstractNum>
  <w:abstractNum w:abstractNumId="198">
    <w:nsid w:val="76E41D8"/>
    <w:multiLevelType w:val="hybridMultilevel"/>
    <w:lvl w:ilvl="0">
      <w:lvlJc w:val="left"/>
      <w:lvlText w:val="(%1)"/>
      <w:numFmt w:val="lowerRoman"/>
      <w:start w:val="10"/>
    </w:lvl>
  </w:abstractNum>
  <w:abstractNum w:abstractNumId="199">
    <w:nsid w:val="71DCE0FD"/>
    <w:multiLevelType w:val="hybridMultilevel"/>
    <w:lvl w:ilvl="0">
      <w:lvlJc w:val="left"/>
      <w:lvlText w:val="(%1)"/>
      <w:numFmt w:val="lowerLetter"/>
      <w:start w:val="2"/>
    </w:lvl>
  </w:abstractNum>
  <w:abstractNum w:abstractNumId="200">
    <w:nsid w:val="7906328B"/>
    <w:multiLevelType w:val="hybridMultilevel"/>
    <w:lvl w:ilvl="0">
      <w:lvlJc w:val="left"/>
      <w:lvlText w:val="(%1)"/>
      <w:numFmt w:val="lowerLetter"/>
      <w:start w:val="3"/>
    </w:lvl>
  </w:abstractNum>
  <w:abstractNum w:abstractNumId="201">
    <w:nsid w:val="72BBC16"/>
    <w:multiLevelType w:val="hybridMultilevel"/>
    <w:lvl w:ilvl="0">
      <w:lvlJc w:val="left"/>
      <w:lvlText w:val="(%1)"/>
      <w:numFmt w:val="lowerLetter"/>
      <w:start w:val="1"/>
    </w:lvl>
  </w:abstractNum>
  <w:abstractNum w:abstractNumId="202">
    <w:nsid w:val="766D98C2"/>
    <w:multiLevelType w:val="hybridMultilevel"/>
    <w:lvl w:ilvl="0">
      <w:lvlJc w:val="left"/>
      <w:lvlText w:val="(%1)"/>
      <w:numFmt w:val="lowerLetter"/>
      <w:start w:val="2"/>
    </w:lvl>
  </w:abstractNum>
  <w:abstractNum w:abstractNumId="203">
    <w:nsid w:val="3C09D4A1"/>
    <w:multiLevelType w:val="hybridMultilevel"/>
    <w:lvl w:ilvl="0">
      <w:lvlJc w:val="left"/>
      <w:lvlText w:val="(%1)"/>
      <w:numFmt w:val="lowerLetter"/>
      <w:start w:val="1"/>
    </w:lvl>
    <w:lvl w:ilvl="1">
      <w:lvlJc w:val="left"/>
      <w:lvlText w:val="(%2)"/>
      <w:numFmt w:val="lowerRoman"/>
      <w:start w:val="1"/>
    </w:lvl>
  </w:abstractNum>
  <w:abstractNum w:abstractNumId="204">
    <w:nsid w:val="20E45CA4"/>
    <w:multiLevelType w:val="hybridMultilevel"/>
    <w:lvl w:ilvl="0">
      <w:lvlJc w:val="left"/>
      <w:lvlText w:val="%1"/>
      <w:numFmt w:val="lowerLetter"/>
      <w:start w:val="1"/>
    </w:lvl>
    <w:lvl w:ilvl="1">
      <w:lvlJc w:val="left"/>
      <w:lvlText w:val="(%2)"/>
      <w:numFmt w:val="lowerRoman"/>
      <w:start w:val="4"/>
    </w:lvl>
  </w:abstractNum>
  <w:abstractNum w:abstractNumId="205">
    <w:nsid w:val="4B232EE3"/>
    <w:multiLevelType w:val="hybridMultilevel"/>
    <w:lvl w:ilvl="0">
      <w:lvlJc w:val="left"/>
      <w:lvlText w:val="(%1)"/>
      <w:numFmt w:val="lowerLetter"/>
      <w:start w:val="3"/>
    </w:lvl>
    <w:lvl w:ilvl="1">
      <w:lvlJc w:val="left"/>
      <w:lvlText w:val="%2"/>
      <w:numFmt w:val="lowerRoman"/>
      <w:start w:val="1"/>
    </w:lvl>
  </w:abstractNum>
  <w:abstractNum w:abstractNumId="206">
    <w:nsid w:val="159C74CF"/>
    <w:multiLevelType w:val="hybridMultilevel"/>
    <w:lvl w:ilvl="0">
      <w:lvlJc w:val="left"/>
      <w:lvlText w:val="(%1)"/>
      <w:numFmt w:val="lowerLetter"/>
      <w:start w:val="9"/>
    </w:lvl>
  </w:abstractNum>
  <w:abstractNum w:abstractNumId="207">
    <w:nsid w:val="4AD3AFD2"/>
    <w:multiLevelType w:val="hybridMultilevel"/>
    <w:lvl w:ilvl="0">
      <w:lvlJc w:val="left"/>
      <w:lvlText w:val="(%1)"/>
      <w:numFmt w:val="lowerLetter"/>
      <w:start w:val="1"/>
    </w:lvl>
  </w:abstractNum>
  <w:abstractNum w:abstractNumId="208">
    <w:nsid w:val="3CF93092"/>
    <w:multiLevelType w:val="hybridMultilevel"/>
    <w:lvl w:ilvl="0">
      <w:lvlJc w:val="left"/>
      <w:lvlText w:val="(%1)"/>
      <w:numFmt w:val="lowerLetter"/>
      <w:start w:val="2"/>
    </w:lvl>
  </w:abstractNum>
  <w:abstractNum w:abstractNumId="209">
    <w:nsid w:val="6863E8D2"/>
    <w:multiLevelType w:val="hybridMultilevel"/>
    <w:lvl w:ilvl="0">
      <w:lvlJc w:val="left"/>
      <w:lvlText w:val="(%1)"/>
      <w:numFmt w:val="lowerLetter"/>
      <w:start w:val="1"/>
    </w:lvl>
  </w:abstractNum>
  <w:abstractNum w:abstractNumId="210">
    <w:nsid w:val="76896198"/>
    <w:multiLevelType w:val="hybridMultilevel"/>
    <w:lvl w:ilvl="0">
      <w:lvlJc w:val="left"/>
      <w:lvlText w:val="(%1)"/>
      <w:numFmt w:val="lowerLetter"/>
      <w:start w:val="7"/>
    </w:lvl>
  </w:abstractNum>
  <w:abstractNum w:abstractNumId="211">
    <w:nsid w:val="4365174B"/>
    <w:multiLevelType w:val="hybridMultilevel"/>
    <w:lvl w:ilvl="0">
      <w:lvlJc w:val="left"/>
      <w:lvlText w:val="(%1)"/>
      <w:numFmt w:val="lowerLetter"/>
      <w:start w:val="1"/>
    </w:lvl>
  </w:abstractNum>
  <w:abstractNum w:abstractNumId="212">
    <w:nsid w:val="4A872C35"/>
    <w:multiLevelType w:val="hybridMultilevel"/>
    <w:lvl w:ilvl="0">
      <w:lvlJc w:val="left"/>
      <w:lvlText w:val="(%1)"/>
      <w:numFmt w:val="decimal"/>
      <w:start w:val="1"/>
    </w:lvl>
  </w:abstractNum>
  <w:abstractNum w:abstractNumId="213">
    <w:nsid w:val="5D5CE761"/>
    <w:multiLevelType w:val="hybridMultilevel"/>
    <w:lvl w:ilvl="0">
      <w:lvlJc w:val="left"/>
      <w:lvlText w:val="(%1)"/>
      <w:numFmt w:val="decimal"/>
      <w:start w:val="2"/>
    </w:lvl>
  </w:abstractNum>
  <w:abstractNum w:abstractNumId="214">
    <w:nsid w:val="1CD484D5"/>
    <w:multiLevelType w:val="hybridMultilevel"/>
    <w:lvl w:ilvl="0">
      <w:lvlJc w:val="left"/>
      <w:lvlText w:val="(%1)"/>
      <w:numFmt w:val="decimal"/>
      <w:start w:val="1"/>
    </w:lvl>
  </w:abstractNum>
  <w:abstractNum w:abstractNumId="215">
    <w:nsid w:val="21D06255"/>
    <w:multiLevelType w:val="hybridMultilevel"/>
    <w:lvl w:ilvl="0">
      <w:lvlJc w:val="left"/>
      <w:lvlText w:val="(%1)"/>
      <w:numFmt w:val="decimal"/>
      <w:start w:val="1"/>
    </w:lvl>
  </w:abstractNum>
  <w:abstractNum w:abstractNumId="216">
    <w:nsid w:val="51194ED1"/>
    <w:multiLevelType w:val="hybridMultilevel"/>
    <w:lvl w:ilvl="0">
      <w:lvlJc w:val="left"/>
      <w:lvlText w:val="(%1)"/>
      <w:numFmt w:val="lowerLetter"/>
      <w:start w:val="2"/>
    </w:lvl>
  </w:abstractNum>
  <w:abstractNum w:abstractNumId="217">
    <w:nsid w:val="44E2ED6C"/>
    <w:multiLevelType w:val="hybridMultilevel"/>
    <w:lvl w:ilvl="0">
      <w:lvlJc w:val="left"/>
      <w:lvlText w:val="(%1)"/>
      <w:numFmt w:val="lowerLetter"/>
      <w:start w:val="2"/>
    </w:lvl>
  </w:abstractNum>
  <w:abstractNum w:abstractNumId="218">
    <w:nsid w:val="2219B33"/>
    <w:multiLevelType w:val="hybridMultilevel"/>
    <w:lvl w:ilvl="0">
      <w:lvlJc w:val="left"/>
      <w:lvlText w:val="(%1)"/>
      <w:numFmt w:val="lowerRoman"/>
      <w:start w:val="1"/>
    </w:lvl>
  </w:abstractNum>
  <w:abstractNum w:abstractNumId="219">
    <w:nsid w:val="773BFBDD"/>
    <w:multiLevelType w:val="hybridMultilevel"/>
    <w:lvl w:ilvl="0">
      <w:lvlJc w:val="left"/>
      <w:lvlText w:val="(%1)"/>
      <w:numFmt w:val="lowerRoman"/>
      <w:start w:val="2"/>
    </w:lvl>
  </w:abstractNum>
  <w:abstractNum w:abstractNumId="220">
    <w:nsid w:val="2C7C62C2"/>
    <w:multiLevelType w:val="hybridMultilevel"/>
    <w:lvl w:ilvl="0">
      <w:lvlJc w:val="left"/>
      <w:lvlText w:val="(%1)"/>
      <w:numFmt w:val="lowerLetter"/>
      <w:start w:val="1"/>
    </w:lvl>
  </w:abstractNum>
  <w:abstractNum w:abstractNumId="221">
    <w:nsid w:val="1A54D7BC"/>
    <w:multiLevelType w:val="hybridMultilevel"/>
    <w:lvl w:ilvl="0">
      <w:lvlJc w:val="left"/>
      <w:lvlText w:val="(%1)"/>
      <w:numFmt w:val="lowerLetter"/>
      <w:start w:val="1"/>
    </w:lvl>
  </w:abstractNum>
  <w:abstractNum w:abstractNumId="222">
    <w:nsid w:val="42E57EF7"/>
    <w:multiLevelType w:val="hybridMultilevel"/>
    <w:lvl w:ilvl="0">
      <w:lvlJc w:val="left"/>
      <w:lvlText w:val="(%1)"/>
      <w:numFmt w:val="lowerLetter"/>
      <w:start w:val="6"/>
    </w:lvl>
  </w:abstractNum>
  <w:abstractNum w:abstractNumId="223">
    <w:nsid w:val="33537CED"/>
    <w:multiLevelType w:val="hybridMultilevel"/>
    <w:lvl w:ilvl="0">
      <w:lvlJc w:val="left"/>
      <w:lvlText w:val="(%1)"/>
      <w:numFmt w:val="lowerLetter"/>
      <w:start w:val="16"/>
    </w:lvl>
  </w:abstractNum>
  <w:abstractNum w:abstractNumId="224">
    <w:nsid w:val="27514ADE"/>
    <w:multiLevelType w:val="hybridMultilevel"/>
    <w:lvl w:ilvl="0">
      <w:lvlJc w:val="left"/>
      <w:lvlText w:val="(%1)"/>
      <w:numFmt w:val="lowerRoman"/>
      <w:start w:val="2"/>
    </w:lvl>
  </w:abstractNum>
  <w:abstractNum w:abstractNumId="225">
    <w:nsid w:val="57071613"/>
    <w:multiLevelType w:val="hybridMultilevel"/>
    <w:lvl w:ilvl="0">
      <w:lvlJc w:val="left"/>
      <w:lvlText w:val="(%1)"/>
      <w:numFmt w:val="lowerLetter"/>
      <w:start w:val="1"/>
    </w:lvl>
  </w:abstractNum>
  <w:abstractNum w:abstractNumId="226">
    <w:nsid w:val="5293BFEF"/>
    <w:multiLevelType w:val="hybridMultilevel"/>
    <w:lvl w:ilvl="0">
      <w:lvlJc w:val="left"/>
      <w:lvlText w:val="(%1)"/>
      <w:numFmt w:val="lowerLetter"/>
      <w:start w:val="1"/>
    </w:lvl>
  </w:abstractNum>
  <w:abstractNum w:abstractNumId="227">
    <w:nsid w:val="38BF53E5"/>
    <w:multiLevelType w:val="hybridMultilevel"/>
    <w:lvl w:ilvl="0">
      <w:lvlJc w:val="left"/>
      <w:lvlText w:val="(%1)"/>
      <w:numFmt w:val="lowerLetter"/>
      <w:start w:val="2"/>
    </w:lvl>
  </w:abstractNum>
  <w:abstractNum w:abstractNumId="228">
    <w:nsid w:val="226F5320"/>
    <w:multiLevelType w:val="hybridMultilevel"/>
    <w:lvl w:ilvl="0">
      <w:lvlJc w:val="left"/>
      <w:lvlText w:val="(%1)"/>
      <w:numFmt w:val="lowerLetter"/>
      <w:start w:val="11"/>
    </w:lvl>
  </w:abstractNum>
  <w:abstractNum w:abstractNumId="229">
    <w:nsid w:val="5A0201C7"/>
    <w:multiLevelType w:val="hybridMultilevel"/>
    <w:lvl w:ilvl="0">
      <w:lvlJc w:val="left"/>
      <w:lvlText w:val="(%1)"/>
      <w:numFmt w:val="lowerLetter"/>
      <w:start w:val="9"/>
    </w:lvl>
  </w:abstractNum>
  <w:abstractNum w:abstractNumId="230">
    <w:nsid w:val="2A9C34E2"/>
    <w:multiLevelType w:val="hybridMultilevel"/>
    <w:lvl w:ilvl="0">
      <w:lvlJc w:val="left"/>
      <w:lvlText w:val="(%1)"/>
      <w:numFmt w:val="lowerLetter"/>
      <w:start w:val="3"/>
    </w:lvl>
  </w:abstractNum>
  <w:abstractNum w:abstractNumId="231">
    <w:nsid w:val="1B7585AB"/>
    <w:multiLevelType w:val="hybridMultilevel"/>
    <w:lvl w:ilvl="0">
      <w:lvlJc w:val="left"/>
      <w:lvlText w:val="(%1)"/>
      <w:numFmt w:val="lowerLetter"/>
      <w:start w:val="3"/>
    </w:lvl>
  </w:abstractNum>
  <w:abstractNum w:abstractNumId="232">
    <w:nsid w:val="612DBDDD"/>
    <w:multiLevelType w:val="hybridMultilevel"/>
    <w:lvl w:ilvl="0">
      <w:lvlJc w:val="left"/>
      <w:lvlText w:val="(%1)"/>
      <w:numFmt w:val="lowerLetter"/>
      <w:start w:val="1"/>
    </w:lvl>
  </w:abstractNum>
  <w:abstractNum w:abstractNumId="233">
    <w:nsid w:val="2109CDA4"/>
    <w:multiLevelType w:val="hybridMultilevel"/>
    <w:lvl w:ilvl="0">
      <w:lvlJc w:val="left"/>
      <w:lvlText w:val="(%1)"/>
      <w:numFmt w:val="lowerLetter"/>
      <w:start w:val="1"/>
    </w:lvl>
  </w:abstractNum>
  <w:abstractNum w:abstractNumId="234">
    <w:nsid w:val="577F5A4D"/>
    <w:multiLevelType w:val="hybridMultilevel"/>
    <w:lvl w:ilvl="0">
      <w:lvlJc w:val="left"/>
      <w:lvlText w:val="(%1)"/>
      <w:numFmt w:val="lowerLetter"/>
      <w:start w:val="12"/>
    </w:lvl>
  </w:abstractNum>
  <w:abstractNum w:abstractNumId="235">
    <w:nsid w:val="2121A81"/>
    <w:multiLevelType w:val="hybridMultilevel"/>
    <w:lvl w:ilvl="0">
      <w:lvlJc w:val="left"/>
      <w:lvlText w:val="(%1)"/>
      <w:numFmt w:val="lowerLetter"/>
      <w:start w:val="1"/>
    </w:lvl>
  </w:abstractNum>
  <w:abstractNum w:abstractNumId="236">
    <w:nsid w:val="6C2CFC88"/>
    <w:multiLevelType w:val="hybridMultilevel"/>
    <w:lvl w:ilvl="0">
      <w:lvlJc w:val="left"/>
      <w:lvlText w:val="(%1)"/>
      <w:numFmt w:val="lowerLetter"/>
      <w:start w:val="1"/>
    </w:lvl>
  </w:abstractNum>
  <w:abstractNum w:abstractNumId="237">
    <w:nsid w:val="6D1BCF1C"/>
    <w:multiLevelType w:val="hybridMultilevel"/>
    <w:lvl w:ilvl="0">
      <w:lvlJc w:val="left"/>
      <w:lvlText w:val="(%1)"/>
      <w:numFmt w:val="lowerLetter"/>
      <w:start w:val="3"/>
    </w:lvl>
  </w:abstractNum>
  <w:abstractNum w:abstractNumId="238">
    <w:nsid w:val="4CE5CA53"/>
    <w:multiLevelType w:val="hybridMultilevel"/>
    <w:lvl w:ilvl="0">
      <w:lvlJc w:val="left"/>
      <w:lvlText w:val="(%1)"/>
      <w:numFmt w:val="lowerLetter"/>
      <w:start w:val="1"/>
    </w:lvl>
  </w:abstractNum>
  <w:abstractNum w:abstractNumId="239">
    <w:nsid w:val="29262D1A"/>
    <w:multiLevelType w:val="hybridMultilevel"/>
    <w:lvl w:ilvl="0">
      <w:lvlJc w:val="left"/>
      <w:lvlText w:val="(%1)"/>
      <w:numFmt w:val="lowerLetter"/>
      <w:start w:val="2"/>
    </w:lvl>
  </w:abstractNum>
  <w:abstractNum w:abstractNumId="240">
    <w:nsid w:val="557FB7EE"/>
    <w:multiLevelType w:val="hybridMultilevel"/>
    <w:lvl w:ilvl="0">
      <w:lvlJc w:val="left"/>
      <w:lvlText w:val="(%1)"/>
      <w:numFmt w:val="lowerLetter"/>
      <w:start w:val="2"/>
    </w:lvl>
  </w:abstractNum>
  <w:abstractNum w:abstractNumId="241">
    <w:nsid w:val="436F2BEB"/>
    <w:multiLevelType w:val="hybridMultilevel"/>
    <w:lvl w:ilvl="0">
      <w:lvlJc w:val="left"/>
      <w:lvlText w:val="(%1)"/>
      <w:numFmt w:val="lowerRoman"/>
      <w:start w:val="1"/>
    </w:lvl>
  </w:abstractNum>
  <w:abstractNum w:abstractNumId="242">
    <w:nsid w:val="6C8B4466"/>
    <w:multiLevelType w:val="hybridMultilevel"/>
    <w:lvl w:ilvl="0">
      <w:lvlJc w:val="left"/>
      <w:lvlText w:val="(%1)"/>
      <w:numFmt w:val="lowerRoman"/>
      <w:start w:val="3"/>
    </w:lvl>
  </w:abstractNum>
  <w:abstractNum w:abstractNumId="243">
    <w:nsid w:val="2006E424"/>
    <w:multiLevelType w:val="hybridMultilevel"/>
    <w:lvl w:ilvl="0">
      <w:lvlJc w:val="left"/>
      <w:lvlText w:val="(%1)"/>
      <w:numFmt w:val="lowerLetter"/>
      <w:start w:val="2"/>
    </w:lvl>
  </w:abstractNum>
  <w:abstractNum w:abstractNumId="244">
    <w:nsid w:val="20CC134C"/>
    <w:multiLevelType w:val="hybridMultilevel"/>
    <w:lvl w:ilvl="0">
      <w:lvlJc w:val="left"/>
      <w:lvlText w:val="(%1)"/>
      <w:numFmt w:val="lowerLetter"/>
      <w:start w:val="1"/>
    </w:lvl>
  </w:abstractNum>
  <w:abstractNum w:abstractNumId="245">
    <w:nsid w:val="95FC93B"/>
    <w:multiLevelType w:val="hybridMultilevel"/>
    <w:lvl w:ilvl="0">
      <w:lvlJc w:val="left"/>
      <w:lvlText w:val="(%1)"/>
      <w:numFmt w:val="lowerLetter"/>
      <w:start w:val="4"/>
    </w:lvl>
  </w:abstractNum>
  <w:abstractNum w:abstractNumId="246">
    <w:nsid w:val="41D74679"/>
    <w:multiLevelType w:val="hybridMultilevel"/>
    <w:lvl w:ilvl="0">
      <w:lvlJc w:val="left"/>
      <w:lvlText w:val="(%1)"/>
      <w:numFmt w:val="lowerLetter"/>
      <w:start w:val="2"/>
    </w:lvl>
  </w:abstractNum>
  <w:abstractNum w:abstractNumId="247">
    <w:nsid w:val="71E5621E"/>
    <w:multiLevelType w:val="hybridMultilevel"/>
    <w:lvl w:ilvl="0">
      <w:lvlJc w:val="left"/>
      <w:lvlText w:val="%1"/>
      <w:numFmt w:val="lowerLetter"/>
      <w:start w:val="1"/>
    </w:lvl>
    <w:lvl w:ilvl="1">
      <w:lvlJc w:val="left"/>
      <w:lvlText w:val="(%2)"/>
      <w:numFmt w:val="lowerRoman"/>
      <w:start w:val="1"/>
    </w:lvl>
  </w:abstractNum>
  <w:abstractNum w:abstractNumId="248">
    <w:nsid w:val="4E42B6A8"/>
    <w:multiLevelType w:val="hybridMultilevel"/>
    <w:lvl w:ilvl="0">
      <w:lvlJc w:val="left"/>
      <w:lvlText w:val="(%1)"/>
      <w:numFmt w:val="lowerLetter"/>
      <w:start w:val="3"/>
    </w:lvl>
    <w:lvl w:ilvl="1">
      <w:lvlJc w:val="left"/>
      <w:lvlText w:val="%2"/>
      <w:numFmt w:val="lowerRoman"/>
      <w:start w:val="1"/>
    </w:lvl>
  </w:abstractNum>
  <w:abstractNum w:abstractNumId="249">
    <w:nsid w:val="43F8E1AC"/>
    <w:multiLevelType w:val="hybridMultilevel"/>
    <w:lvl w:ilvl="0">
      <w:lvlJc w:val="left"/>
      <w:lvlText w:val="(%1)"/>
      <w:numFmt w:val="lowerLetter"/>
      <w:start w:val="5"/>
    </w:lvl>
  </w:abstractNum>
  <w:abstractNum w:abstractNumId="250">
    <w:nsid w:val="69215DFB"/>
    <w:multiLevelType w:val="hybridMultilevel"/>
    <w:lvl w:ilvl="0">
      <w:lvlJc w:val="left"/>
      <w:lvlText w:val="(%1)"/>
      <w:numFmt w:val="lowerLetter"/>
      <w:start w:val="7"/>
    </w:lvl>
    <w:lvl w:ilvl="1">
      <w:lvlJc w:val="left"/>
      <w:lvlText w:val="(%2)"/>
      <w:numFmt w:val="lowerRoman"/>
      <w:start w:val="1"/>
    </w:lvl>
  </w:abstractNum>
  <w:abstractNum w:abstractNumId="251">
    <w:nsid w:val="7ABF196A"/>
    <w:multiLevelType w:val="hybridMultilevel"/>
    <w:lvl w:ilvl="0">
      <w:lvlJc w:val="left"/>
      <w:lvlText w:val="%1"/>
      <w:numFmt w:val="lowerLetter"/>
      <w:start w:val="1"/>
    </w:lvl>
    <w:lvl w:ilvl="1">
      <w:lvlJc w:val="left"/>
      <w:lvlText w:val="(%2)"/>
      <w:numFmt w:val="lowerLetter"/>
      <w:start w:val="10"/>
    </w:lvl>
  </w:abstractNum>
  <w:abstractNum w:abstractNumId="252">
    <w:nsid w:val="5E4DB968"/>
    <w:multiLevelType w:val="hybridMultilevel"/>
    <w:lvl w:ilvl="0">
      <w:lvlJc w:val="left"/>
      <w:lvlText w:val="(%1)"/>
      <w:numFmt w:val="lowerLetter"/>
      <w:start w:val="9"/>
    </w:lvl>
    <w:lvl w:ilvl="1">
      <w:lvlJc w:val="left"/>
      <w:lvlText w:val="(%2)"/>
      <w:numFmt w:val="lowerLetter"/>
      <w:start w:val="11"/>
    </w:lvl>
  </w:abstractNum>
  <w:abstractNum w:abstractNumId="253">
    <w:nsid w:val="2C06DCF3"/>
    <w:multiLevelType w:val="hybridMultilevel"/>
    <w:lvl w:ilvl="0">
      <w:lvlJc w:val="left"/>
      <w:lvlText w:val="(%1)"/>
      <w:numFmt w:val="lowerLetter"/>
      <w:start w:val="2"/>
    </w:lvl>
  </w:abstractNum>
  <w:abstractNum w:abstractNumId="254">
    <w:nsid w:val="2E129658"/>
    <w:multiLevelType w:val="hybridMultilevel"/>
    <w:lvl w:ilvl="0">
      <w:lvlJc w:val="left"/>
      <w:lvlText w:val="(%1)"/>
      <w:numFmt w:val="lowerLetter"/>
      <w:start w:val="2"/>
    </w:lvl>
    <w:lvl w:ilvl="1">
      <w:lvlJc w:val="left"/>
      <w:lvlText w:val="(%2)"/>
      <w:numFmt w:val="lowerRoman"/>
      <w:start w:val="1"/>
    </w:lvl>
  </w:abstractNum>
  <w:abstractNum w:abstractNumId="255">
    <w:nsid w:val="59F0446"/>
    <w:multiLevelType w:val="hybridMultilevel"/>
    <w:lvl w:ilvl="0">
      <w:lvlJc w:val="left"/>
      <w:lvlText w:val="(%1)"/>
      <w:numFmt w:val="lowerLetter"/>
      <w:start w:val="4"/>
    </w:lvl>
  </w:abstractNum>
  <w:abstractNum w:abstractNumId="256">
    <w:nsid w:val="30DF306"/>
    <w:multiLevelType w:val="hybridMultilevel"/>
    <w:lvl w:ilvl="0">
      <w:lvlJc w:val="left"/>
      <w:lvlText w:val="%1"/>
      <w:numFmt w:val="lowerLetter"/>
      <w:start w:val="1"/>
    </w:lvl>
    <w:lvl w:ilvl="1">
      <w:lvlJc w:val="left"/>
      <w:lvlText w:val="(%2)"/>
      <w:numFmt w:val="lowerLetter"/>
      <w:start w:val="2"/>
    </w:lvl>
  </w:abstractNum>
  <w:abstractNum w:abstractNumId="257">
    <w:nsid w:val="A65647"/>
    <w:multiLevelType w:val="hybridMultilevel"/>
    <w:lvl w:ilvl="0">
      <w:lvlJc w:val="left"/>
      <w:lvlText w:val="(%1)"/>
      <w:numFmt w:val="lowerLetter"/>
      <w:start w:val="35"/>
    </w:lvl>
    <w:lvl w:ilvl="1">
      <w:lvlJc w:val="left"/>
      <w:lvlText w:val="(%2)"/>
      <w:numFmt w:val="lowerLetter"/>
      <w:start w:val="5"/>
    </w:lvl>
  </w:abstractNum>
  <w:abstractNum w:abstractNumId="258">
    <w:nsid w:val="3E5E582B"/>
    <w:multiLevelType w:val="hybridMultilevel"/>
    <w:lvl w:ilvl="0">
      <w:lvlJc w:val="left"/>
      <w:lvlText w:val="(%1)"/>
      <w:numFmt w:val="lowerLetter"/>
      <w:start w:val="6"/>
    </w:lvl>
  </w:abstractNum>
  <w:abstractNum w:abstractNumId="259">
    <w:nsid w:val="257D4626"/>
    <w:multiLevelType w:val="hybridMultilevel"/>
    <w:lvl w:ilvl="0">
      <w:lvlJc w:val="left"/>
      <w:lvlText w:val="(%1)"/>
      <w:numFmt w:val="lowerLetter"/>
      <w:start w:val="2"/>
    </w:lvl>
  </w:abstractNum>
  <w:abstractNum w:abstractNumId="260">
    <w:nsid w:val="5AA8580E"/>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261">
    <w:nsid w:val="68FA8D0D"/>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262">
    <w:nsid w:val="40F2CBD2"/>
    <w:multiLevelType w:val="hybridMultilevel"/>
    <w:lvl w:ilvl="0">
      <w:lvlJc w:val="left"/>
      <w:lvlText w:val="(%1)"/>
      <w:numFmt w:val="lowerLetter"/>
      <w:start w:val="4"/>
    </w:lvl>
  </w:abstractNum>
  <w:abstractNum w:abstractNumId="263">
    <w:nsid w:val="3BD615EB"/>
    <w:multiLevelType w:val="hybridMultilevel"/>
    <w:lvl w:ilvl="0">
      <w:lvlJc w:val="left"/>
      <w:lvlText w:val="(%1)"/>
      <w:numFmt w:val="lowerLetter"/>
      <w:start w:val="2"/>
    </w:lvl>
  </w:abstractNum>
  <w:abstractNum w:abstractNumId="264">
    <w:nsid w:val="A045AB2"/>
    <w:multiLevelType w:val="hybridMultilevel"/>
    <w:lvl w:ilvl="0">
      <w:lvlJc w:val="left"/>
      <w:lvlText w:val="(%1)"/>
      <w:numFmt w:val="lowerLetter"/>
      <w:start w:val="3"/>
    </w:lvl>
  </w:abstractNum>
  <w:abstractNum w:abstractNumId="265">
    <w:nsid w:val="1872261F"/>
    <w:multiLevelType w:val="hybridMultilevel"/>
    <w:lvl w:ilvl="0">
      <w:lvlJc w:val="left"/>
      <w:lvlText w:val="(%1)"/>
      <w:numFmt w:val="lowerLetter"/>
      <w:start w:val="1"/>
    </w:lvl>
  </w:abstractNum>
  <w:abstractNum w:abstractNumId="266">
    <w:nsid w:val="3DE8306C"/>
    <w:multiLevelType w:val="hybridMultilevel"/>
    <w:lvl w:ilvl="0">
      <w:lvlJc w:val="left"/>
      <w:lvlText w:val="(%1)"/>
      <w:numFmt w:val="lowerLetter"/>
      <w:start w:val="2"/>
    </w:lvl>
  </w:abstractNum>
  <w:abstractNum w:abstractNumId="267">
    <w:nsid w:val="7631573A"/>
    <w:multiLevelType w:val="hybridMultilevel"/>
    <w:lvl w:ilvl="0">
      <w:lvlJc w:val="left"/>
      <w:lvlText w:val="(%1)"/>
      <w:numFmt w:val="lowerLetter"/>
      <w:start w:val="6"/>
    </w:lvl>
  </w:abstractNum>
  <w:abstractNum w:abstractNumId="268">
    <w:nsid w:val="58DF53B"/>
    <w:multiLevelType w:val="hybridMultilevel"/>
    <w:lvl w:ilvl="0">
      <w:lvlJc w:val="left"/>
      <w:lvlText w:val="(%1)"/>
      <w:numFmt w:val="lowerLetter"/>
      <w:start w:val="1"/>
    </w:lvl>
    <w:lvl w:ilvl="1">
      <w:lvlJc w:val="left"/>
      <w:lvlText w:val="(%2)"/>
      <w:numFmt w:val="lowerRoman"/>
      <w:start w:val="1"/>
    </w:lvl>
  </w:abstractNum>
  <w:abstractNum w:abstractNumId="269">
    <w:nsid w:val="ACDFAC0"/>
    <w:multiLevelType w:val="hybridMultilevel"/>
    <w:lvl w:ilvl="0">
      <w:lvlJc w:val="left"/>
      <w:lvlText w:val="%1"/>
      <w:numFmt w:val="decimal"/>
      <w:start w:val="1"/>
    </w:lvl>
    <w:lvl w:ilvl="1">
      <w:lvlJc w:val="left"/>
      <w:lvlText w:val="(%2)"/>
      <w:numFmt w:val="lowerLetter"/>
      <w:start w:val="2"/>
    </w:lvl>
  </w:abstractNum>
  <w:abstractNum w:abstractNumId="270">
    <w:nsid w:val="1F578454"/>
    <w:multiLevelType w:val="hybridMultilevel"/>
    <w:lvl w:ilvl="0">
      <w:lvlJc w:val="left"/>
      <w:lvlText w:val="(%1)"/>
      <w:numFmt w:val="decimal"/>
      <w:start w:val="1"/>
    </w:lvl>
    <w:lvl w:ilvl="1">
      <w:lvlJc w:val="left"/>
      <w:lvlText w:val="(%2)"/>
      <w:numFmt w:val="lowerLetter"/>
      <w:start w:val="3"/>
    </w:lvl>
  </w:abstractNum>
  <w:abstractNum w:abstractNumId="271">
    <w:nsid w:val="5B0DAD2A"/>
    <w:multiLevelType w:val="hybridMultilevel"/>
    <w:lvl w:ilvl="0">
      <w:lvlJc w:val="left"/>
      <w:lvlText w:val="(%1)"/>
      <w:numFmt w:val="lowerRoman"/>
      <w:start w:val="1"/>
    </w:lvl>
  </w:abstractNum>
  <w:abstractNum w:abstractNumId="272">
    <w:nsid w:val="4E3D26AB"/>
    <w:multiLevelType w:val="hybridMultilevel"/>
    <w:lvl w:ilvl="0">
      <w:lvlJc w:val="left"/>
      <w:lvlText w:val="(%1)"/>
      <w:numFmt w:val="lowerLetter"/>
      <w:start w:val="2"/>
    </w:lvl>
  </w:abstractNum>
  <w:abstractNum w:abstractNumId="273">
    <w:nsid w:val="BE2C8BA"/>
    <w:multiLevelType w:val="hybridMultilevel"/>
    <w:lvl w:ilvl="0">
      <w:lvlJc w:val="left"/>
      <w:lvlText w:val="(%1)"/>
      <w:numFmt w:val="lowerLetter"/>
      <w:start w:val="4"/>
    </w:lvl>
  </w:abstractNum>
  <w:abstractNum w:abstractNumId="274">
    <w:nsid w:val="7B14914E"/>
    <w:multiLevelType w:val="hybridMultilevel"/>
    <w:lvl w:ilvl="0">
      <w:lvlJc w:val="left"/>
      <w:lvlText w:val="(%1)"/>
      <w:numFmt w:val="lowerLetter"/>
      <w:start w:val="2"/>
    </w:lvl>
  </w:abstractNum>
  <w:abstractNum w:abstractNumId="275">
    <w:nsid w:val="6F0939F8"/>
    <w:multiLevelType w:val="hybridMultilevel"/>
    <w:lvl w:ilvl="0">
      <w:lvlJc w:val="left"/>
      <w:lvlText w:val="(%1)"/>
      <w:numFmt w:val="lowerLetter"/>
      <w:start w:val="4"/>
    </w:lvl>
    <w:lvl w:ilvl="1">
      <w:lvlJc w:val="left"/>
      <w:lvlText w:val="(%2)"/>
      <w:numFmt w:val="lowerLetter"/>
      <w:start w:val="35"/>
    </w:lvl>
  </w:abstractNum>
  <w:abstractNum w:abstractNumId="276">
    <w:nsid w:val="154291F6"/>
    <w:multiLevelType w:val="hybridMultilevel"/>
    <w:lvl w:ilvl="0">
      <w:lvlJc w:val="left"/>
      <w:lvlText w:val="(%1)"/>
      <w:numFmt w:val="upperLetter"/>
      <w:start w:val="1"/>
    </w:lvl>
    <w:lvl w:ilvl="1">
      <w:lvlJc w:val="left"/>
      <w:lvlText w:val="(%2)"/>
      <w:numFmt w:val="decimal"/>
      <w:start w:val="1"/>
    </w:lvl>
  </w:abstractNum>
  <w:abstractNum w:abstractNumId="277">
    <w:nsid w:val="3CEBD7C7"/>
    <w:multiLevelType w:val="hybridMultilevel"/>
    <w:lvl w:ilvl="0">
      <w:lvlJc w:val="left"/>
      <w:lvlText w:val="(%1)"/>
      <w:numFmt w:val="upperLetter"/>
      <w:start w:val="3"/>
    </w:lvl>
  </w:abstractNum>
  <w:abstractNum w:abstractNumId="278">
    <w:nsid w:val="60EE9C16"/>
    <w:multiLevelType w:val="hybridMultilevel"/>
    <w:lvl w:ilvl="0">
      <w:lvlJc w:val="left"/>
      <w:lvlText w:val="(%1)"/>
      <w:numFmt w:val="lowerLetter"/>
      <w:start w:val="7"/>
    </w:lvl>
  </w:abstractNum>
  <w:abstractNum w:abstractNumId="279">
    <w:nsid w:val="6385489E"/>
    <w:multiLevelType w:val="hybridMultilevel"/>
    <w:lvl w:ilvl="0">
      <w:lvlJc w:val="left"/>
      <w:lvlText w:val="(%1)"/>
      <w:numFmt w:val="lowerLetter"/>
      <w:start w:val="8"/>
    </w:lvl>
  </w:abstractNum>
  <w:abstractNum w:abstractNumId="280">
    <w:nsid w:val="E4B973"/>
    <w:multiLevelType w:val="hybridMultilevel"/>
    <w:lvl w:ilvl="0">
      <w:lvlJc w:val="left"/>
      <w:lvlText w:val="(%1)"/>
      <w:numFmt w:val="lowerLetter"/>
      <w:start w:val="2"/>
    </w:lvl>
  </w:abstractNum>
  <w:abstractNum w:abstractNumId="281">
    <w:nsid w:val="4A0FFA11"/>
    <w:multiLevelType w:val="hybridMultilevel"/>
    <w:lvl w:ilvl="0">
      <w:lvlJc w:val="left"/>
      <w:lvlText w:val="(%1)"/>
      <w:numFmt w:val="lowerLetter"/>
      <w:start w:val="3"/>
    </w:lvl>
  </w:abstractNum>
  <w:abstractNum w:abstractNumId="282">
    <w:nsid w:val="5E446208"/>
    <w:multiLevelType w:val="hybridMultilevel"/>
    <w:lvl w:ilvl="0">
      <w:lvlJc w:val="left"/>
      <w:lvlText w:val="(%1)"/>
      <w:numFmt w:val="lowerLetter"/>
      <w:start w:val="6"/>
    </w:lvl>
  </w:abstractNum>
  <w:abstractNum w:abstractNumId="283">
    <w:nsid w:val="5F3272DB"/>
    <w:multiLevelType w:val="hybridMultilevel"/>
    <w:lvl w:ilvl="0">
      <w:lvlJc w:val="left"/>
      <w:lvlText w:val="(%1)"/>
      <w:numFmt w:val="lowerLetter"/>
      <w:start w:val="1"/>
    </w:lvl>
  </w:abstractNum>
  <w:abstractNum w:abstractNumId="284">
    <w:nsid w:val="7616D704"/>
    <w:multiLevelType w:val="hybridMultilevel"/>
    <w:lvl w:ilvl="0">
      <w:lvlJc w:val="left"/>
      <w:lvlText w:val="(%1)"/>
      <w:numFmt w:val="lowerLetter"/>
      <w:start w:val="1"/>
    </w:lvl>
  </w:abstractNum>
  <w:abstractNum w:abstractNumId="285">
    <w:nsid w:val="C56F860"/>
    <w:multiLevelType w:val="hybridMultilevel"/>
    <w:lvl w:ilvl="0">
      <w:lvlJc w:val="left"/>
      <w:lvlText w:val="(%1)"/>
      <w:numFmt w:val="lowerLetter"/>
      <w:start w:val="4"/>
    </w:lvl>
    <w:lvl w:ilvl="1">
      <w:lvlJc w:val="left"/>
      <w:lvlText w:val="(%2)"/>
      <w:numFmt w:val="lowerRoman"/>
      <w:start w:val="1"/>
    </w:lvl>
  </w:abstractNum>
  <w:abstractNum w:abstractNumId="286">
    <w:nsid w:val="64D17722"/>
    <w:multiLevelType w:val="hybridMultilevel"/>
    <w:lvl w:ilvl="0">
      <w:lvlJc w:val="left"/>
      <w:lvlText w:val="1"/>
      <w:numFmt w:val="bullet"/>
      <w:start w:val="1"/>
    </w:lvl>
  </w:abstractNum>
  <w:abstractNum w:abstractNumId="287">
    <w:nsid w:val="7924CA0A"/>
    <w:multiLevelType w:val="hybridMultilevel"/>
    <w:lvl w:ilvl="0">
      <w:lvlJc w:val="left"/>
      <w:lvlText w:val="(%1)"/>
      <w:numFmt w:val="lowerLetter"/>
      <w:start w:val="2"/>
    </w:lvl>
  </w:abstractNum>
  <w:abstractNum w:abstractNumId="288">
    <w:nsid w:val="CFD4EA7"/>
    <w:multiLevelType w:val="hybridMultilevel"/>
    <w:lvl w:ilvl="0">
      <w:lvlJc w:val="left"/>
      <w:lvlText w:val="(%1)"/>
      <w:numFmt w:val="lowerLetter"/>
      <w:start w:val="2"/>
    </w:lvl>
  </w:abstractNum>
  <w:abstractNum w:abstractNumId="289">
    <w:nsid w:val="232FCF4D"/>
    <w:multiLevelType w:val="hybridMultilevel"/>
    <w:lvl w:ilvl="0">
      <w:lvlJc w:val="left"/>
      <w:lvlText w:val="(%1)"/>
      <w:numFmt w:val="lowerLetter"/>
      <w:start w:val="2"/>
    </w:lvl>
  </w:abstractNum>
  <w:abstractNum w:abstractNumId="290">
    <w:nsid w:val="1EA21031"/>
    <w:multiLevelType w:val="hybridMultilevel"/>
    <w:lvl w:ilvl="0">
      <w:lvlJc w:val="left"/>
      <w:lvlText w:val="(%1)"/>
      <w:numFmt w:val="lowerLetter"/>
      <w:start w:val="2"/>
    </w:lvl>
  </w:abstractNum>
  <w:abstractNum w:abstractNumId="291">
    <w:nsid w:val="67A5A6B5"/>
    <w:multiLevelType w:val="hybridMultilevel"/>
    <w:lvl w:ilvl="0">
      <w:lvlJc w:val="left"/>
      <w:lvlText w:val="(%1)"/>
      <w:numFmt w:val="lowerLetter"/>
      <w:start w:val="2"/>
    </w:lvl>
  </w:abstractNum>
  <w:abstractNum w:abstractNumId="292">
    <w:nsid w:val="C2A5C5B"/>
    <w:multiLevelType w:val="hybridMultilevel"/>
    <w:lvl w:ilvl="0">
      <w:lvlJc w:val="left"/>
      <w:lvlText w:val="(%1)"/>
      <w:numFmt w:val="lowerLetter"/>
      <w:start w:val="1"/>
    </w:lvl>
  </w:abstractNum>
  <w:abstractNum w:abstractNumId="293">
    <w:nsid w:val="5F94DC03"/>
    <w:multiLevelType w:val="hybridMultilevel"/>
    <w:lvl w:ilvl="0">
      <w:lvlJc w:val="left"/>
      <w:lvlText w:val="(%1)"/>
      <w:numFmt w:val="lowerLetter"/>
      <w:start w:val="2"/>
    </w:lvl>
  </w:abstractNum>
  <w:abstractNum w:abstractNumId="294">
    <w:nsid w:val="237BBCA0"/>
    <w:multiLevelType w:val="hybridMultilevel"/>
    <w:lvl w:ilvl="0">
      <w:lvlJc w:val="left"/>
      <w:lvlText w:val="(%1)"/>
      <w:numFmt w:val="lowerLetter"/>
      <w:start w:val="7"/>
    </w:lvl>
  </w:abstractNum>
  <w:abstractNum w:abstractNumId="295">
    <w:nsid w:val="162EB70D"/>
    <w:multiLevelType w:val="hybridMultilevel"/>
    <w:lvl w:ilvl="0">
      <w:lvlJc w:val="left"/>
      <w:lvlText w:val="(%1)"/>
      <w:numFmt w:val="lowerLetter"/>
      <w:start w:val="16"/>
    </w:lvl>
  </w:abstractNum>
  <w:abstractNum w:abstractNumId="296">
    <w:nsid w:val="78070222"/>
    <w:multiLevelType w:val="hybridMultilevel"/>
    <w:lvl w:ilvl="0">
      <w:lvlJc w:val="left"/>
      <w:lvlText w:val="(%1)"/>
      <w:numFmt w:val="lowerRoman"/>
      <w:start w:val="10"/>
    </w:lvl>
  </w:abstractNum>
  <w:abstractNum w:abstractNumId="297">
    <w:nsid w:val="6163ED0D"/>
    <w:multiLevelType w:val="hybridMultilevel"/>
    <w:lvl w:ilvl="0">
      <w:lvlJc w:val="left"/>
      <w:lvlText w:val="(%1)"/>
      <w:numFmt w:val="lowerLetter"/>
      <w:start w:val="1"/>
    </w:lvl>
  </w:abstractNum>
  <w:abstractNum w:abstractNumId="298">
    <w:nsid w:val="C600E47"/>
    <w:multiLevelType w:val="hybridMultilevel"/>
    <w:lvl w:ilvl="0">
      <w:lvlJc w:val="left"/>
      <w:lvlText w:val="(%1)"/>
      <w:numFmt w:val="lowerLetter"/>
      <w:start w:val="1"/>
    </w:lvl>
  </w:abstractNum>
  <w:abstractNum w:abstractNumId="299">
    <w:nsid w:val="7D94F75D"/>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300">
    <w:nsid w:val="6C31E7CD"/>
    <w:multiLevelType w:val="hybridMultilevel"/>
    <w:lvl w:ilvl="0">
      <w:lvlJc w:val="left"/>
      <w:lvlText w:val="(%1)"/>
      <w:numFmt w:val="lowerLetter"/>
      <w:start w:val="35"/>
    </w:lvl>
    <w:lvl w:ilvl="1">
      <w:lvlJc w:val="left"/>
      <w:lvlText w:val="(%2)"/>
      <w:numFmt w:val="lowerLetter"/>
      <w:start w:val="8"/>
    </w:lvl>
    <w:lvl w:ilvl="2">
      <w:lvlJc w:val="left"/>
      <w:lvlText w:val="(%3)"/>
      <w:numFmt w:val="lowerRoman"/>
      <w:start w:val="1"/>
    </w:lvl>
  </w:abstractNum>
  <w:abstractNum w:abstractNumId="301">
    <w:nsid w:val="2BB7929B"/>
    <w:multiLevelType w:val="hybridMultilevel"/>
    <w:lvl w:ilvl="0">
      <w:lvlJc w:val="left"/>
      <w:lvlText w:val="%1"/>
      <w:numFmt w:val="lowerLetter"/>
      <w:start w:val="1"/>
    </w:lvl>
    <w:lvl w:ilvl="1">
      <w:lvlJc w:val="left"/>
      <w:lvlText w:val="(%2)"/>
      <w:numFmt w:val="lowerRoman"/>
      <w:start w:val="4"/>
    </w:lvl>
  </w:abstractNum>
  <w:abstractNum w:abstractNumId="302">
    <w:nsid w:val="58A2A487"/>
    <w:multiLevelType w:val="hybridMultilevel"/>
    <w:lvl w:ilvl="0">
      <w:lvlJc w:val="left"/>
      <w:lvlText w:val="(%1)"/>
      <w:numFmt w:val="lowerLetter"/>
      <w:start w:val="9"/>
    </w:lvl>
    <w:lvl w:ilvl="1">
      <w:lvlJc w:val="left"/>
      <w:lvlText w:val="(%2)"/>
      <w:numFmt w:val="lowerRoman"/>
      <w:start w:val="1"/>
    </w:lvl>
  </w:abstractNum>
  <w:abstractNum w:abstractNumId="303">
    <w:nsid w:val="3A6F0E78"/>
    <w:multiLevelType w:val="hybridMultilevel"/>
    <w:lvl w:ilvl="0">
      <w:lvlJc w:val="left"/>
      <w:lvlText w:val="(%1)"/>
      <w:numFmt w:val="lowerLetter"/>
      <w:start w:val="16"/>
    </w:lvl>
  </w:abstractNum>
  <w:abstractNum w:abstractNumId="304">
    <w:nsid w:val="379A5B56"/>
    <w:multiLevelType w:val="hybridMultilevel"/>
    <w:lvl w:ilvl="0">
      <w:lvlJc w:val="left"/>
      <w:lvlText w:val="(%1)"/>
      <w:numFmt w:val="upperLetter"/>
      <w:start w:val="2"/>
    </w:lvl>
  </w:abstractNum>
  <w:abstractNum w:abstractNumId="305">
    <w:nsid w:val="53B735D5"/>
    <w:multiLevelType w:val="hybridMultilevel"/>
    <w:lvl w:ilvl="0">
      <w:lvlJc w:val="left"/>
      <w:lvlText w:val="(%1)"/>
      <w:numFmt w:val="lowerLetter"/>
      <w:start w:val="1"/>
    </w:lvl>
  </w:abstractNum>
  <w:abstractNum w:abstractNumId="306">
    <w:nsid w:val="29784870"/>
    <w:multiLevelType w:val="hybridMultilevel"/>
    <w:lvl w:ilvl="0">
      <w:lvlJc w:val="left"/>
      <w:lvlText w:val="(%1)"/>
      <w:numFmt w:val="lowerLetter"/>
      <w:start w:val="2"/>
    </w:lvl>
  </w:abstractNum>
  <w:abstractNum w:abstractNumId="307">
    <w:nsid w:val="4CDCED4C"/>
    <w:multiLevelType w:val="hybridMultilevel"/>
    <w:lvl w:ilvl="0">
      <w:lvlJc w:val="left"/>
      <w:lvlText w:val="(%1)"/>
      <w:numFmt w:val="lowerLetter"/>
      <w:start w:val="10"/>
    </w:lvl>
  </w:abstractNum>
  <w:abstractNum w:abstractNumId="308">
    <w:nsid w:val="10A30D9C"/>
    <w:multiLevelType w:val="hybridMultilevel"/>
    <w:lvl w:ilvl="0">
      <w:lvlJc w:val="left"/>
      <w:lvlText w:val="%1"/>
      <w:numFmt w:val="lowerLetter"/>
      <w:start w:val="1"/>
    </w:lvl>
    <w:lvl w:ilvl="1">
      <w:lvlJc w:val="left"/>
      <w:lvlText w:val="(%2)"/>
      <w:numFmt w:val="lowerLetter"/>
      <w:start w:val="1"/>
    </w:lvl>
  </w:abstractNum>
  <w:abstractNum w:abstractNumId="309">
    <w:nsid w:val="A66E486"/>
    <w:multiLevelType w:val="hybridMultilevel"/>
    <w:lvl w:ilvl="0">
      <w:lvlJc w:val="left"/>
      <w:lvlText w:val="(%1)"/>
      <w:numFmt w:val="lowerLetter"/>
      <w:start w:val="9"/>
    </w:lvl>
    <w:lvl w:ilvl="1">
      <w:lvlJc w:val="left"/>
      <w:lvlText w:val="%2"/>
      <w:numFmt w:val="lowerLetter"/>
      <w:start w:val="1"/>
    </w:lvl>
  </w:abstractNum>
  <w:abstractNum w:abstractNumId="310">
    <w:nsid w:val="306235EA"/>
    <w:multiLevelType w:val="hybridMultilevel"/>
    <w:lvl w:ilvl="0">
      <w:lvlJc w:val="left"/>
      <w:lvlText w:val="(%1)"/>
      <w:numFmt w:val="lowerLetter"/>
      <w:start w:val="2"/>
    </w:lvl>
  </w:abstractNum>
  <w:abstractNum w:abstractNumId="311">
    <w:nsid w:val="1187C70F"/>
    <w:multiLevelType w:val="hybridMultilevel"/>
    <w:lvl w:ilvl="0">
      <w:lvlJc w:val="left"/>
      <w:lvlText w:val="%1"/>
      <w:numFmt w:val="lowerLetter"/>
      <w:start w:val="1"/>
    </w:lvl>
    <w:lvl w:ilvl="1">
      <w:lvlJc w:val="left"/>
      <w:lvlText w:val="(%2)"/>
      <w:numFmt w:val="lowerLetter"/>
      <w:start w:val="3"/>
    </w:lvl>
  </w:abstractNum>
  <w:abstractNum w:abstractNumId="312">
    <w:nsid w:val="5476DE98"/>
    <w:multiLevelType w:val="hybridMultilevel"/>
    <w:lvl w:ilvl="0">
      <w:lvlJc w:val="left"/>
      <w:lvlText w:val="(%1)"/>
      <w:numFmt w:val="lowerLetter"/>
      <w:start w:val="3"/>
    </w:lvl>
    <w:lvl w:ilvl="1">
      <w:lvlJc w:val="left"/>
      <w:lvlText w:val="%2"/>
      <w:numFmt w:val="lowerLetter"/>
      <w:start w:val="1"/>
    </w:lvl>
  </w:abstractNum>
  <w:abstractNum w:abstractNumId="313">
    <w:nsid w:val="EA697F2"/>
    <w:multiLevelType w:val="hybridMultilevel"/>
    <w:lvl w:ilvl="0">
      <w:lvlJc w:val="left"/>
      <w:lvlText w:val="(%1)"/>
      <w:numFmt w:val="lowerLetter"/>
      <w:start w:val="1"/>
    </w:lvl>
  </w:abstractNum>
  <w:abstractNum w:abstractNumId="314">
    <w:nsid w:val="70BA39EB"/>
    <w:multiLevelType w:val="hybridMultilevel"/>
    <w:lvl w:ilvl="0">
      <w:lvlJc w:val="left"/>
      <w:lvlText w:val="(%1)"/>
      <w:numFmt w:val="lowerLetter"/>
      <w:start w:val="3"/>
    </w:lvl>
  </w:abstractNum>
  <w:abstractNum w:abstractNumId="315">
    <w:nsid w:val="4A8DB59C"/>
    <w:multiLevelType w:val="hybridMultilevel"/>
    <w:lvl w:ilvl="0">
      <w:lvlJc w:val="left"/>
      <w:lvlText w:val="%1"/>
      <w:numFmt w:val="lowerLetter"/>
      <w:start w:val="1"/>
    </w:lvl>
    <w:lvl w:ilvl="1">
      <w:lvlJc w:val="left"/>
      <w:lvlText w:val="(%2)"/>
      <w:numFmt w:val="lowerLetter"/>
      <w:start w:val="10"/>
    </w:lvl>
  </w:abstractNum>
  <w:abstractNum w:abstractNumId="316">
    <w:nsid w:val="1AFD9053"/>
    <w:multiLevelType w:val="hybridMultilevel"/>
    <w:lvl w:ilvl="0">
      <w:lvlJc w:val="left"/>
      <w:lvlText w:val="(%1)"/>
      <w:numFmt w:val="lowerLetter"/>
      <w:start w:val="9"/>
    </w:lvl>
    <w:lvl w:ilvl="1">
      <w:lvlJc w:val="left"/>
      <w:lvlText w:val="(%2)"/>
      <w:numFmt w:val="lowerLetter"/>
      <w:start w:val="11"/>
    </w:lvl>
  </w:abstractNum>
  <w:abstractNum w:abstractNumId="317">
    <w:nsid w:val="558BB10D"/>
    <w:multiLevelType w:val="hybridMultilevel"/>
    <w:lvl w:ilvl="0">
      <w:lvlJc w:val="left"/>
      <w:lvlText w:val="%1"/>
      <w:numFmt w:val="lowerLetter"/>
      <w:start w:val="1"/>
    </w:lvl>
    <w:lvl w:ilvl="1">
      <w:lvlJc w:val="left"/>
      <w:lvlText w:val="(%2)"/>
      <w:numFmt w:val="lowerLetter"/>
      <w:start w:val="1"/>
    </w:lvl>
  </w:abstractNum>
  <w:abstractNum w:abstractNumId="318">
    <w:nsid w:val="43B27FA7"/>
    <w:multiLevelType w:val="hybridMultilevel"/>
    <w:lvl w:ilvl="0">
      <w:lvlJc w:val="left"/>
      <w:lvlText w:val="(%1)"/>
      <w:numFmt w:val="lowerLetter"/>
      <w:start w:val="35"/>
    </w:lvl>
    <w:lvl w:ilvl="1">
      <w:lvlJc w:val="left"/>
      <w:lvlText w:val="(%2)"/>
      <w:numFmt w:val="lowerLetter"/>
      <w:start w:val="4"/>
    </w:lvl>
  </w:abstractNum>
  <w:abstractNum w:abstractNumId="319">
    <w:nsid w:val="27FADEFA"/>
    <w:multiLevelType w:val="hybridMultilevel"/>
    <w:lvl w:ilvl="0">
      <w:lvlJc w:val="left"/>
      <w:lvlText w:val="(%1)"/>
      <w:numFmt w:val="lowerLetter"/>
      <w:start w:val="8"/>
    </w:lvl>
  </w:abstractNum>
  <w:abstractNum w:abstractNumId="320">
    <w:nsid w:val="78BB805A"/>
    <w:multiLevelType w:val="hybridMultilevel"/>
    <w:lvl w:ilvl="0">
      <w:lvlJc w:val="left"/>
      <w:lvlText w:val="(%1)"/>
      <w:numFmt w:val="lowerLetter"/>
      <w:start w:val="2"/>
    </w:lvl>
  </w:abstractNum>
  <w:abstractNum w:abstractNumId="321">
    <w:nsid w:val="62548FD8"/>
    <w:multiLevelType w:val="hybridMultilevel"/>
    <w:lvl w:ilvl="0">
      <w:lvlJc w:val="left"/>
      <w:lvlText w:val="(%1)"/>
      <w:numFmt w:val="lowerLetter"/>
      <w:start w:val="1"/>
    </w:lvl>
  </w:abstractNum>
  <w:abstractNum w:abstractNumId="322">
    <w:nsid w:val="FA085B0"/>
    <w:multiLevelType w:val="hybridMultilevel"/>
    <w:lvl w:ilvl="0">
      <w:lvlJc w:val="left"/>
      <w:lvlText w:val="(%1)"/>
      <w:numFmt w:val="lowerLetter"/>
      <w:start w:val="3"/>
    </w:lvl>
  </w:abstractNum>
  <w:abstractNum w:abstractNumId="323">
    <w:nsid w:val="4E5DCB5"/>
    <w:multiLevelType w:val="hybridMultilevel"/>
    <w:lvl w:ilvl="0">
      <w:lvlJc w:val="left"/>
      <w:lvlText w:val="(%1)"/>
      <w:numFmt w:val="lowerLetter"/>
      <w:start w:val="10"/>
    </w:lvl>
  </w:abstractNum>
  <w:abstractNum w:abstractNumId="324">
    <w:nsid w:val="41E96BDB"/>
    <w:multiLevelType w:val="hybridMultilevel"/>
    <w:lvl w:ilvl="0">
      <w:lvlJc w:val="left"/>
      <w:lvlText w:val="(%1)"/>
      <w:numFmt w:val="lowerLetter"/>
      <w:start w:val="1"/>
    </w:lvl>
  </w:abstractNum>
  <w:abstractNum w:abstractNumId="325">
    <w:nsid w:val="331C4250"/>
    <w:multiLevelType w:val="hybridMultilevel"/>
    <w:lvl w:ilvl="0">
      <w:lvlJc w:val="left"/>
      <w:lvlText w:val="(%1)"/>
      <w:numFmt w:val="lowerLetter"/>
      <w:start w:val="2"/>
    </w:lvl>
    <w:lvl w:ilvl="1">
      <w:lvlJc w:val="left"/>
      <w:lvlText w:val="(%2)"/>
      <w:numFmt w:val="lowerRoman"/>
      <w:start w:val="1"/>
    </w:lvl>
  </w:abstractNum>
  <w:abstractNum w:abstractNumId="326">
    <w:nsid w:val="1B1493C2"/>
    <w:multiLevelType w:val="hybridMultilevel"/>
    <w:lvl w:ilvl="0">
      <w:lvlJc w:val="left"/>
      <w:lvlText w:val="(%1)"/>
      <w:numFmt w:val="lowerLetter"/>
      <w:start w:val="1"/>
    </w:lvl>
  </w:abstractNum>
  <w:abstractNum w:abstractNumId="327">
    <w:nsid w:val="39F06DFD"/>
    <w:multiLevelType w:val="hybridMultilevel"/>
    <w:lvl w:ilvl="0">
      <w:lvlJc w:val="left"/>
      <w:lvlText w:val="(%1)"/>
      <w:numFmt w:val="lowerLetter"/>
      <w:start w:val="1"/>
    </w:lvl>
  </w:abstractNum>
  <w:abstractNum w:abstractNumId="328">
    <w:nsid w:val="14802F5D"/>
    <w:multiLevelType w:val="hybridMultilevel"/>
    <w:lvl w:ilvl="0">
      <w:lvlJc w:val="left"/>
      <w:lvlText w:val="%1"/>
      <w:numFmt w:val="decimal"/>
      <w:start w:val="1"/>
    </w:lvl>
    <w:lvl w:ilvl="1">
      <w:lvlJc w:val="left"/>
      <w:lvlText w:val="(%2)"/>
      <w:numFmt w:val="lowerLetter"/>
      <w:start w:val="4"/>
    </w:lvl>
  </w:abstractNum>
  <w:abstractNum w:abstractNumId="329">
    <w:nsid w:val="2774A209"/>
    <w:multiLevelType w:val="hybridMultilevel"/>
    <w:lvl w:ilvl="0">
      <w:lvlJc w:val="left"/>
      <w:lvlText w:val="(%1)"/>
      <w:numFmt w:val="decimal"/>
      <w:start w:val="60"/>
    </w:lvl>
    <w:lvl w:ilvl="1">
      <w:lvlJc w:val="left"/>
      <w:lvlText w:val="(%2)"/>
      <w:numFmt w:val="lowerLetter"/>
      <w:start w:val="9"/>
    </w:lvl>
  </w:abstractNum>
  <w:abstractNum w:abstractNumId="330">
    <w:nsid w:val="3785655A"/>
    <w:multiLevelType w:val="hybridMultilevel"/>
    <w:lvl w:ilvl="0">
      <w:lvlJc w:val="left"/>
      <w:lvlText w:val="(%1)"/>
      <w:numFmt w:val="lowerLetter"/>
      <w:start w:val="12"/>
    </w:lvl>
  </w:abstractNum>
  <w:abstractNum w:abstractNumId="331">
    <w:nsid w:val="B2172A"/>
    <w:multiLevelType w:val="hybridMultilevel"/>
    <w:lvl w:ilvl="0">
      <w:lvlJc w:val="left"/>
      <w:lvlText w:val="(%1)"/>
      <w:numFmt w:val="lowerLetter"/>
      <w:start w:val="1"/>
    </w:lvl>
  </w:abstractNum>
  <w:abstractNum w:abstractNumId="332">
    <w:nsid w:val="532C34A5"/>
    <w:multiLevelType w:val="hybridMultilevel"/>
    <w:lvl w:ilvl="0">
      <w:lvlJc w:val="left"/>
      <w:lvlText w:val="(%1)"/>
      <w:numFmt w:val="lowerLetter"/>
      <w:start w:val="3"/>
    </w:lvl>
  </w:abstractNum>
  <w:abstractNum w:abstractNumId="333">
    <w:nsid w:val="102809E2"/>
    <w:multiLevelType w:val="hybridMultilevel"/>
    <w:lvl w:ilvl="0">
      <w:lvlJc w:val="left"/>
      <w:lvlText w:val="%1"/>
      <w:numFmt w:val="lowerLetter"/>
      <w:start w:val="1"/>
    </w:lvl>
    <w:lvl w:ilvl="1">
      <w:lvlJc w:val="left"/>
      <w:lvlText w:val="(%2)"/>
      <w:numFmt w:val="lowerRoman"/>
      <w:start w:val="1"/>
    </w:lvl>
  </w:abstractNum>
  <w:abstractNum w:abstractNumId="334">
    <w:nsid w:val="3B2125A3"/>
    <w:multiLevelType w:val="hybridMultilevel"/>
    <w:lvl w:ilvl="0">
      <w:lvlJc w:val="left"/>
      <w:lvlText w:val="(%1)"/>
      <w:numFmt w:val="lowerLetter"/>
      <w:start w:val="4"/>
    </w:lvl>
    <w:lvl w:ilvl="1">
      <w:lvlJc w:val="left"/>
      <w:lvlText w:val="%2"/>
      <w:numFmt w:val="lowerRoman"/>
      <w:start w:val="1"/>
    </w:lvl>
  </w:abstractNum>
  <w:abstractNum w:abstractNumId="335">
    <w:nsid w:val="AC68FFB"/>
    <w:multiLevelType w:val="hybridMultilevel"/>
    <w:lvl w:ilvl="0">
      <w:lvlJc w:val="left"/>
      <w:lvlText w:val="(%1)"/>
      <w:numFmt w:val="lowerRoman"/>
      <w:start w:val="3"/>
    </w:lvl>
  </w:abstractNum>
  <w:abstractNum w:abstractNumId="336">
    <w:nsid w:val="63DF3FB7"/>
    <w:multiLevelType w:val="hybridMultilevel"/>
    <w:lvl w:ilvl="0">
      <w:lvlJc w:val="left"/>
      <w:lvlText w:val="(%1)"/>
      <w:numFmt w:val="lowerLetter"/>
      <w:start w:val="7"/>
    </w:lvl>
  </w:abstractNum>
  <w:abstractNum w:abstractNumId="337">
    <w:nsid w:val="64996E13"/>
    <w:multiLevelType w:val="hybridMultilevel"/>
    <w:lvl w:ilvl="0">
      <w:lvlJc w:val="left"/>
      <w:lvlText w:val="(%1)"/>
      <w:numFmt w:val="lowerLetter"/>
      <w:start w:val="1"/>
    </w:lvl>
  </w:abstractNum>
  <w:abstractNum w:abstractNumId="338">
    <w:nsid w:val="57A37D47"/>
    <w:multiLevelType w:val="hybridMultilevel"/>
    <w:lvl w:ilvl="0">
      <w:lvlJc w:val="left"/>
      <w:lvlText w:val="(%1)"/>
      <w:numFmt w:val="lowerLetter"/>
      <w:start w:val="2"/>
    </w:lvl>
  </w:abstractNum>
  <w:abstractNum w:abstractNumId="339">
    <w:nsid w:val="74824D54"/>
    <w:multiLevelType w:val="hybridMultilevel"/>
    <w:lvl w:ilvl="0">
      <w:lvlJc w:val="left"/>
      <w:lvlText w:val="(%1)"/>
      <w:numFmt w:val="lowerLetter"/>
      <w:start w:val="1"/>
    </w:lvl>
  </w:abstractNum>
  <w:abstractNum w:abstractNumId="340">
    <w:nsid w:val="6F00529A"/>
    <w:multiLevelType w:val="hybridMultilevel"/>
    <w:lvl w:ilvl="0">
      <w:lvlJc w:val="left"/>
      <w:lvlText w:val="(%1)"/>
      <w:numFmt w:val="lowerLetter"/>
      <w:start w:val="3"/>
    </w:lvl>
  </w:abstractNum>
  <w:abstractNum w:abstractNumId="341">
    <w:nsid w:val="805B331"/>
    <w:multiLevelType w:val="hybridMultilevel"/>
    <w:lvl w:ilvl="0">
      <w:lvlJc w:val="left"/>
      <w:lvlText w:val="(%1)"/>
      <w:numFmt w:val="lowerLetter"/>
      <w:start w:val="4"/>
    </w:lvl>
  </w:abstractNum>
  <w:abstractNum w:abstractNumId="342">
    <w:nsid w:val="60A1463"/>
    <w:multiLevelType w:val="hybridMultilevel"/>
    <w:lvl w:ilvl="0">
      <w:lvlJc w:val="left"/>
      <w:lvlText w:val="(%1)"/>
      <w:numFmt w:val="lowerLetter"/>
      <w:start w:val="1"/>
    </w:lvl>
  </w:abstractNum>
  <w:abstractNum w:abstractNumId="343">
    <w:nsid w:val="43773132"/>
    <w:multiLevelType w:val="hybridMultilevel"/>
    <w:lvl w:ilvl="0">
      <w:lvlJc w:val="left"/>
      <w:lvlText w:val="(%1)"/>
      <w:numFmt w:val="lowerLetter"/>
      <w:start w:val="1"/>
    </w:lvl>
  </w:abstractNum>
  <w:abstractNum w:abstractNumId="344">
    <w:nsid w:val="16AC4B23"/>
    <w:multiLevelType w:val="hybridMultilevel"/>
    <w:lvl w:ilvl="0">
      <w:lvlJc w:val="left"/>
      <w:lvlText w:val="(%1)"/>
      <w:numFmt w:val="lowerLetter"/>
      <w:start w:val="1"/>
    </w:lvl>
  </w:abstractNum>
  <w:abstractNum w:abstractNumId="345">
    <w:nsid w:val="76C44E4E"/>
    <w:multiLevelType w:val="hybridMultilevel"/>
    <w:lvl w:ilvl="0">
      <w:lvlJc w:val="left"/>
      <w:lvlText w:val="(%1)"/>
      <w:numFmt w:val="lowerRoman"/>
      <w:start w:val="4"/>
    </w:lvl>
  </w:abstractNum>
  <w:abstractNum w:abstractNumId="346">
    <w:nsid w:val="E04E6CE"/>
    <w:multiLevelType w:val="hybridMultilevel"/>
    <w:lvl w:ilvl="0">
      <w:lvlJc w:val="left"/>
      <w:lvlText w:val="(%1)"/>
      <w:numFmt w:val="lowerLetter"/>
      <w:start w:val="1"/>
    </w:lvl>
  </w:abstractNum>
  <w:abstractNum w:abstractNumId="347">
    <w:nsid w:val="31A9DB76"/>
    <w:multiLevelType w:val="hybridMultilevel"/>
    <w:lvl w:ilvl="0">
      <w:lvlJc w:val="left"/>
      <w:lvlText w:val="%1"/>
      <w:numFmt w:val="lowerLetter"/>
      <w:start w:val="1"/>
    </w:lvl>
    <w:lvl w:ilvl="1">
      <w:lvlJc w:val="left"/>
      <w:lvlText w:val="(%2)"/>
      <w:numFmt w:val="lowerRoman"/>
      <w:start w:val="1"/>
    </w:lvl>
  </w:abstractNum>
  <w:abstractNum w:abstractNumId="348">
    <w:nsid w:val="4C4FFF5B"/>
    <w:multiLevelType w:val="hybridMultilevel"/>
    <w:lvl w:ilvl="0">
      <w:lvlJc w:val="left"/>
      <w:lvlText w:val="(%1)"/>
      <w:numFmt w:val="lowerLetter"/>
      <w:start w:val="2"/>
    </w:lvl>
    <w:lvl w:ilvl="1">
      <w:lvlJc w:val="left"/>
      <w:lvlText w:val="%2"/>
      <w:numFmt w:val="lowerRoman"/>
      <w:start w:val="1"/>
    </w:lvl>
  </w:abstractNum>
  <w:abstractNum w:abstractNumId="349">
    <w:nsid w:val="51B76675"/>
    <w:multiLevelType w:val="hybridMultilevel"/>
    <w:lvl w:ilvl="0">
      <w:lvlJc w:val="left"/>
      <w:lvlText w:val="(%1)"/>
      <w:numFmt w:val="lowerRoman"/>
      <w:start w:val="1"/>
    </w:lvl>
  </w:abstractNum>
  <w:abstractNum w:abstractNumId="350">
    <w:nsid w:val="59A4BA71"/>
    <w:multiLevelType w:val="hybridMultilevel"/>
    <w:lvl w:ilvl="0">
      <w:lvlJc w:val="left"/>
      <w:lvlText w:val="(%1)"/>
      <w:numFmt w:val="lowerRoman"/>
      <w:start w:val="3"/>
    </w:lvl>
  </w:abstractNum>
  <w:abstractNum w:abstractNumId="351">
    <w:nsid w:val="450B7FB6"/>
    <w:multiLevelType w:val="hybridMultilevel"/>
    <w:lvl w:ilvl="0">
      <w:lvlJc w:val="left"/>
      <w:lvlText w:val="(%1)"/>
      <w:numFmt w:val="lowerLetter"/>
      <w:start w:val="2"/>
    </w:lvl>
  </w:abstractNum>
  <w:abstractNum w:abstractNumId="352">
    <w:nsid w:val="340BF64D"/>
    <w:multiLevelType w:val="hybridMultilevel"/>
    <w:lvl w:ilvl="0">
      <w:lvlJc w:val="left"/>
      <w:lvlText w:val="(%1)"/>
      <w:numFmt w:val="lowerLetter"/>
      <w:start w:val="2"/>
    </w:lvl>
  </w:abstractNum>
  <w:abstractNum w:abstractNumId="353">
    <w:nsid w:val="69454021"/>
    <w:multiLevelType w:val="hybridMultilevel"/>
    <w:lvl w:ilvl="0">
      <w:lvlJc w:val="left"/>
      <w:lvlText w:val="(%1)"/>
      <w:numFmt w:val="lowerLetter"/>
      <w:start w:val="4"/>
    </w:lvl>
  </w:abstractNum>
  <w:abstractNum w:abstractNumId="354">
    <w:nsid w:val="49F15C6B"/>
    <w:multiLevelType w:val="hybridMultilevel"/>
    <w:lvl w:ilvl="0">
      <w:lvlJc w:val="left"/>
      <w:lvlText w:val="(%1)"/>
      <w:numFmt w:val="upperLetter"/>
      <w:start w:val="1"/>
    </w:lvl>
  </w:abstractNum>
  <w:abstractNum w:abstractNumId="355">
    <w:nsid w:val="75F56228"/>
    <w:multiLevelType w:val="hybridMultilevel"/>
    <w:lvl w:ilvl="0">
      <w:lvlJc w:val="left"/>
      <w:lvlText w:val="(%1)"/>
      <w:numFmt w:val="lowerLetter"/>
      <w:start w:val="2"/>
    </w:lvl>
  </w:abstractNum>
  <w:abstractNum w:abstractNumId="356">
    <w:nsid w:val="1C618271"/>
    <w:multiLevelType w:val="hybridMultilevel"/>
    <w:lvl w:ilvl="0">
      <w:lvlJc w:val="left"/>
      <w:lvlText w:val="(%1)"/>
      <w:numFmt w:val="lowerLetter"/>
      <w:start w:val="3"/>
    </w:lvl>
  </w:abstractNum>
  <w:abstractNum w:abstractNumId="357">
    <w:nsid w:val="6505F02E"/>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358">
    <w:nsid w:val="2FE5D025"/>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359">
    <w:nsid w:val="30E1B1CF"/>
    <w:multiLevelType w:val="hybridMultilevel"/>
    <w:lvl w:ilvl="0">
      <w:lvlJc w:val="left"/>
      <w:lvlText w:val="(%1)"/>
      <w:numFmt w:val="lowerRoman"/>
      <w:start w:val="3"/>
    </w:lvl>
  </w:abstractNum>
  <w:abstractNum w:abstractNumId="360">
    <w:nsid w:val="C7A9237"/>
    <w:multiLevelType w:val="hybridMultilevel"/>
    <w:lvl w:ilvl="0">
      <w:lvlJc w:val="left"/>
      <w:lvlText w:val="(%1)"/>
      <w:numFmt w:val="lowerRoman"/>
      <w:start w:val="5"/>
    </w:lvl>
  </w:abstractNum>
  <w:abstractNum w:abstractNumId="361">
    <w:nsid w:val="676B3580"/>
    <w:multiLevelType w:val="hybridMultilevel"/>
    <w:lvl w:ilvl="0">
      <w:lvlJc w:val="left"/>
      <w:lvlText w:val="(%1)"/>
      <w:numFmt w:val="lowerLetter"/>
      <w:start w:val="3"/>
    </w:lvl>
  </w:abstractNum>
  <w:abstractNum w:abstractNumId="362">
    <w:nsid w:val="3193C8F9"/>
    <w:multiLevelType w:val="hybridMultilevel"/>
    <w:lvl w:ilvl="0">
      <w:lvlJc w:val="left"/>
      <w:lvlText w:val="(%1)"/>
      <w:numFmt w:val="lowerLetter"/>
      <w:start w:val="4"/>
    </w:lvl>
  </w:abstractNum>
  <w:abstractNum w:abstractNumId="363">
    <w:nsid w:val="5FA6C6DC"/>
    <w:multiLevelType w:val="hybridMultilevel"/>
    <w:lvl w:ilvl="0">
      <w:lvlJc w:val="left"/>
      <w:lvlText w:val="(%1)"/>
      <w:numFmt w:val="lowerRoman"/>
      <w:start w:val="2"/>
    </w:lvl>
  </w:abstractNum>
  <w:abstractNum w:abstractNumId="364">
    <w:nsid w:val="77933F62"/>
    <w:multiLevelType w:val="hybridMultilevel"/>
    <w:lvl w:ilvl="0">
      <w:lvlJc w:val="left"/>
      <w:lvlText w:val="(%1)"/>
      <w:numFmt w:val="lowerLetter"/>
      <w:start w:val="2"/>
    </w:lvl>
  </w:abstractNum>
  <w:abstractNum w:abstractNumId="365">
    <w:nsid w:val="6CB4EE9C"/>
    <w:multiLevelType w:val="hybridMultilevel"/>
    <w:lvl w:ilvl="0">
      <w:lvlJc w:val="left"/>
      <w:lvlText w:val="(%1)"/>
      <w:numFmt w:val="lowerLetter"/>
      <w:start w:val="2"/>
    </w:lvl>
  </w:abstractNum>
  <w:abstractNum w:abstractNumId="366">
    <w:nsid w:val="6A6D56D7"/>
    <w:multiLevelType w:val="hybridMultilevel"/>
    <w:lvl w:ilvl="0">
      <w:lvlJc w:val="left"/>
      <w:lvlText w:val="(%1)"/>
      <w:numFmt w:val="lowerLetter"/>
      <w:start w:val="1"/>
    </w:lvl>
    <w:lvl w:ilvl="1">
      <w:lvlJc w:val="left"/>
      <w:lvlText w:val="(%2)"/>
      <w:numFmt w:val="lowerRoman"/>
      <w:start w:val="1"/>
    </w:lvl>
  </w:abstractNum>
  <w:abstractNum w:abstractNumId="367">
    <w:nsid w:val="5B727F19"/>
    <w:multiLevelType w:val="hybridMultilevel"/>
    <w:lvl w:ilvl="0">
      <w:lvlJc w:val="left"/>
      <w:lvlText w:val="(%1)"/>
      <w:numFmt w:val="lowerLetter"/>
      <w:start w:val="2"/>
    </w:lvl>
  </w:abstractNum>
  <w:abstractNum w:abstractNumId="368">
    <w:nsid w:val="514E5CB0"/>
    <w:multiLevelType w:val="hybridMultilevel"/>
    <w:lvl w:ilvl="0">
      <w:lvlJc w:val="left"/>
      <w:lvlText w:val="(%1)"/>
      <w:numFmt w:val="lowerLetter"/>
      <w:start w:val="2"/>
    </w:lvl>
  </w:abstractNum>
  <w:abstractNum w:abstractNumId="369">
    <w:nsid w:val="4210D41E"/>
    <w:multiLevelType w:val="hybridMultilevel"/>
    <w:lvl w:ilvl="0">
      <w:lvlJc w:val="left"/>
      <w:lvlText w:val="(%1)"/>
      <w:numFmt w:val="lowerLetter"/>
      <w:start w:val="3"/>
    </w:lvl>
  </w:abstractNum>
  <w:abstractNum w:abstractNumId="370">
    <w:nsid w:val="4FF4CC6D"/>
    <w:multiLevelType w:val="hybridMultilevel"/>
    <w:lvl w:ilvl="0">
      <w:lvlJc w:val="left"/>
      <w:lvlText w:val="(%1)"/>
      <w:numFmt w:val="lowerLetter"/>
      <w:start w:val="4"/>
    </w:lvl>
  </w:abstractNum>
  <w:abstractNum w:abstractNumId="371">
    <w:nsid w:val="404EAF4A"/>
    <w:multiLevelType w:val="hybridMultilevel"/>
    <w:lvl w:ilvl="0">
      <w:lvlJc w:val="left"/>
      <w:lvlText w:val="(%1)"/>
      <w:numFmt w:val="lowerLetter"/>
      <w:start w:val="5"/>
    </w:lvl>
  </w:abstractNum>
  <w:abstractNum w:abstractNumId="372">
    <w:nsid w:val="4A16874F"/>
    <w:multiLevelType w:val="hybridMultilevel"/>
    <w:lvl w:ilvl="0">
      <w:lvlJc w:val="left"/>
      <w:lvlText w:val="%1."/>
      <w:numFmt w:val="decimal"/>
      <w:start w:val="1"/>
    </w:lvl>
  </w:abstractNum>
  <w:abstractNum w:abstractNumId="373">
    <w:nsid w:val="55FEE0D1"/>
    <w:multiLevelType w:val="hybridMultilevel"/>
    <w:lvl w:ilvl="0">
      <w:lvlJc w:val="left"/>
      <w:lvlText w:val="%1."/>
      <w:numFmt w:val="decimal"/>
      <w:start w:val="3"/>
    </w:lvl>
  </w:abstractNum>
  <w:abstractNum w:abstractNumId="374">
    <w:nsid w:val="3C5E07C"/>
    <w:multiLevelType w:val="hybridMultilevel"/>
    <w:lvl w:ilvl="0">
      <w:lvlJc w:val="left"/>
      <w:lvlText w:val="2"/>
      <w:numFmt w:val="bullet"/>
      <w:start w:val="1"/>
    </w:lvl>
  </w:abstractNum>
  <w:abstractNum w:abstractNumId="375">
    <w:nsid w:val="60C2D273"/>
    <w:multiLevelType w:val="hybridMultilevel"/>
    <w:lvl w:ilvl="0">
      <w:lvlJc w:val="left"/>
      <w:lvlText w:val="4"/>
      <w:numFmt w:val="bullet"/>
      <w:start w:val="1"/>
    </w:lvl>
  </w:abstractNum>
  <w:abstractNum w:abstractNumId="376">
    <w:nsid w:val="4CC32F1F"/>
    <w:multiLevelType w:val="hybridMultilevel"/>
    <w:lvl w:ilvl="0">
      <w:lvlJc w:val="left"/>
      <w:lvlText w:val="%1."/>
      <w:numFmt w:val="decimal"/>
      <w:start w:val="1"/>
    </w:lvl>
  </w:abstractNum>
  <w:abstractNum w:abstractNumId="377">
    <w:nsid w:val="11CAC74A"/>
    <w:multiLevelType w:val="hybridMultilevel"/>
    <w:lvl w:ilvl="0">
      <w:lvlJc w:val="left"/>
      <w:lvlText w:val="(%1)"/>
      <w:numFmt w:val="lowerRoman"/>
      <w:start w:val="2"/>
    </w:lvl>
    <w:lvl w:ilvl="1">
      <w:lvlJc w:val="left"/>
      <w:lvlText w:val="%2"/>
      <w:numFmt w:val="decimal"/>
      <w:start w:val="1"/>
    </w:lvl>
  </w:abstractNum>
  <w:abstractNum w:abstractNumId="378">
    <w:nsid w:val="126CADE9"/>
    <w:multiLevelType w:val="hybridMultilevel"/>
    <w:lvl w:ilvl="0">
      <w:lvlJc w:val="left"/>
      <w:lvlText w:val="(%1)"/>
      <w:numFmt w:val="lowerRoman"/>
      <w:start w:val="2"/>
    </w:lvl>
    <w:lvl w:ilvl="1">
      <w:lvlJc w:val="left"/>
      <w:lvlText w:val="%2."/>
      <w:numFmt w:val="decimal"/>
      <w:start w:val="2"/>
    </w:lvl>
  </w:abstractNum>
  <w:abstractNum w:abstractNumId="379">
    <w:nsid w:val="19132E7B"/>
    <w:multiLevelType w:val="hybridMultilevel"/>
    <w:lvl w:ilvl="0">
      <w:lvlJc w:val="left"/>
      <w:lvlText w:val="%1."/>
      <w:numFmt w:val="decimal"/>
      <w:start w:val="2"/>
    </w:lvl>
  </w:abstractNum>
  <w:abstractNum w:abstractNumId="380">
    <w:nsid w:val="63822DC0"/>
    <w:multiLevelType w:val="hybridMultilevel"/>
    <w:lvl w:ilvl="0">
      <w:lvlJc w:val="left"/>
      <w:lvlText w:val="%1."/>
      <w:numFmt w:val="decimal"/>
      <w:start w:val="1"/>
    </w:lvl>
  </w:abstractNum>
  <w:abstractNum w:abstractNumId="381">
    <w:nsid w:val="6C11685A"/>
    <w:multiLevelType w:val="hybridMultilevel"/>
    <w:lvl w:ilvl="0">
      <w:lvlJc w:val="left"/>
      <w:lvlText w:val="%1."/>
      <w:numFmt w:val="decimal"/>
      <w:start w:val="4"/>
    </w:lvl>
  </w:abstractNum>
  <w:abstractNum w:abstractNumId="382">
    <w:nsid w:val="5E1EAE31"/>
    <w:multiLevelType w:val="hybridMultilevel"/>
    <w:lvl w:ilvl="0">
      <w:lvlJc w:val="left"/>
      <w:lvlText w:val="(%1)"/>
      <w:numFmt w:val="lowerRoman"/>
      <w:start w:val="3"/>
    </w:lvl>
  </w:abstractNum>
  <w:abstractNum w:abstractNumId="383">
    <w:nsid w:val="178E240D"/>
    <w:multiLevelType w:val="hybridMultilevel"/>
    <w:lvl w:ilvl="0">
      <w:lvlJc w:val="left"/>
      <w:lvlText w:val="(%1)"/>
      <w:numFmt w:val="decimal"/>
      <w:start w:val="2"/>
    </w:lvl>
  </w:abstractNum>
  <w:abstractNum w:abstractNumId="384">
    <w:nsid w:val="5556A87B"/>
    <w:multiLevelType w:val="hybridMultilevel"/>
    <w:lvl w:ilvl="0">
      <w:lvlJc w:val="left"/>
      <w:lvlText w:val="(%1)"/>
      <w:numFmt w:val="lowerLetter"/>
      <w:start w:val="1"/>
    </w:lvl>
  </w:abstractNum>
  <w:abstractNum w:abstractNumId="385">
    <w:nsid w:val="28100A9C"/>
    <w:multiLevelType w:val="hybridMultilevel"/>
    <w:lvl w:ilvl="0">
      <w:lvlJc w:val="left"/>
      <w:lvlText w:val="(%1)"/>
      <w:numFmt w:val="lowerLetter"/>
      <w:start w:val="2"/>
    </w:lvl>
    <w:lvl w:ilvl="1">
      <w:lvlJc w:val="left"/>
      <w:lvlText w:val="-"/>
      <w:numFmt w:val="bullet"/>
      <w:start w:val="1"/>
    </w:lvl>
  </w:abstractNum>
  <w:abstractNum w:abstractNumId="386">
    <w:nsid w:val="D838636"/>
    <w:multiLevelType w:val="hybridMultilevel"/>
    <w:lvl w:ilvl="0">
      <w:lvlJc w:val="left"/>
      <w:lvlText w:val="(%1)"/>
      <w:numFmt w:val="lowerLetter"/>
      <w:start w:val="1"/>
    </w:lvl>
  </w:abstractNum>
  <w:abstractNum w:abstractNumId="387">
    <w:nsid w:val="71B82AED"/>
    <w:multiLevelType w:val="hybridMultilevel"/>
    <w:lvl w:ilvl="0">
      <w:lvlJc w:val="left"/>
      <w:lvlText w:val="(%1)"/>
      <w:numFmt w:val="lowerLetter"/>
      <w:start w:val="4"/>
    </w:lvl>
  </w:abstractNum>
  <w:abstractNum w:abstractNumId="388">
    <w:nsid w:val="D15FACA"/>
    <w:multiLevelType w:val="hybridMultilevel"/>
    <w:lvl w:ilvl="0">
      <w:lvlJc w:val="left"/>
      <w:lvlText w:val="(%1)"/>
      <w:numFmt w:val="lowerLetter"/>
      <w:start w:val="6"/>
    </w:lvl>
  </w:abstractNum>
  <w:abstractNum w:abstractNumId="389">
    <w:nsid w:val="3D69565B"/>
    <w:multiLevelType w:val="hybridMultilevel"/>
    <w:lvl w:ilvl="0">
      <w:lvlJc w:val="left"/>
      <w:lvlText w:val="(%1)"/>
      <w:numFmt w:val="lowerLetter"/>
      <w:start w:val="2"/>
    </w:lvl>
  </w:abstractNum>
  <w:abstractNum w:abstractNumId="390">
    <w:nsid w:val="2299DCBC"/>
    <w:multiLevelType w:val="hybridMultilevel"/>
    <w:lvl w:ilvl="0">
      <w:lvlJc w:val="left"/>
      <w:lvlText w:val="(%1)"/>
      <w:numFmt w:val="lowerLetter"/>
      <w:start w:val="9"/>
    </w:lvl>
  </w:abstractNum>
  <w:abstractNum w:abstractNumId="391">
    <w:nsid w:val="19908D02"/>
    <w:multiLevelType w:val="hybridMultilevel"/>
    <w:lvl w:ilvl="0">
      <w:lvlJc w:val="left"/>
      <w:lvlText w:val="(%1)"/>
      <w:numFmt w:val="lowerLetter"/>
      <w:start w:val="61"/>
    </w:lvl>
  </w:abstractNum>
  <w:abstractNum w:abstractNumId="392">
    <w:nsid w:val="24D48BDB"/>
    <w:multiLevelType w:val="hybridMultilevel"/>
    <w:lvl w:ilvl="0">
      <w:lvlJc w:val="left"/>
      <w:lvlText w:val="(%1)"/>
      <w:numFmt w:val="lowerLetter"/>
      <w:start w:val="1"/>
    </w:lvl>
    <w:lvl w:ilvl="1">
      <w:lvlJc w:val="left"/>
      <w:lvlText w:val="-"/>
      <w:numFmt w:val="bullet"/>
      <w:start w:val="1"/>
    </w:lvl>
  </w:abstractNum>
  <w:abstractNum w:abstractNumId="393">
    <w:nsid w:val="542DA5B5"/>
    <w:multiLevelType w:val="hybridMultilevel"/>
    <w:lvl w:ilvl="0">
      <w:lvlJc w:val="left"/>
      <w:lvlText w:val="(%1)"/>
      <w:numFmt w:val="lowerLetter"/>
      <w:start w:val="9"/>
    </w:lvl>
    <w:lvl w:ilvl="1">
      <w:lvlJc w:val="left"/>
      <w:lvlText w:val="-"/>
      <w:numFmt w:val="bullet"/>
      <w:start w:val="1"/>
    </w:lvl>
  </w:abstractNum>
  <w:abstractNum w:abstractNumId="394">
    <w:nsid w:val="793753DE"/>
    <w:multiLevelType w:val="hybridMultilevel"/>
    <w:lvl w:ilvl="0">
      <w:lvlJc w:val="left"/>
      <w:lvlText w:val="(%1)"/>
      <w:numFmt w:val="lowerLetter"/>
      <w:start w:val="1"/>
    </w:lvl>
  </w:abstractNum>
  <w:abstractNum w:abstractNumId="395">
    <w:nsid w:val="1C67CB3D"/>
    <w:multiLevelType w:val="hybridMultilevel"/>
    <w:lvl w:ilvl="0">
      <w:lvlJc w:val="left"/>
      <w:lvlText w:val="(%1)"/>
      <w:numFmt w:val="lowerLetter"/>
      <w:start w:val="1"/>
    </w:lvl>
    <w:lvl w:ilvl="1">
      <w:lvlJc w:val="left"/>
      <w:lvlText w:val="-"/>
      <w:numFmt w:val="bullet"/>
      <w:start w:val="1"/>
    </w:lvl>
  </w:abstractNum>
  <w:abstractNum w:abstractNumId="396">
    <w:nsid w:val="40E29452"/>
    <w:multiLevelType w:val="hybridMultilevel"/>
    <w:lvl w:ilvl="0">
      <w:lvlJc w:val="left"/>
      <w:lvlText w:val="(%1)"/>
      <w:numFmt w:val="lowerLetter"/>
      <w:start w:val="2"/>
    </w:lvl>
  </w:abstractNum>
  <w:abstractNum w:abstractNumId="397">
    <w:nsid w:val="63A4AAB6"/>
    <w:multiLevelType w:val="hybridMultilevel"/>
    <w:lvl w:ilvl="0">
      <w:lvlJc w:val="left"/>
      <w:lvlText w:val="(%1)"/>
      <w:numFmt w:val="lowerLetter"/>
      <w:start w:val="1"/>
    </w:lvl>
    <w:lvl w:ilvl="1">
      <w:lvlJc w:val="left"/>
      <w:lvlText w:val="-"/>
      <w:numFmt w:val="bullet"/>
      <w:start w:val="1"/>
    </w:lvl>
  </w:abstractNum>
  <w:abstractNum w:abstractNumId="398">
    <w:nsid w:val="77DA4A57"/>
    <w:multiLevelType w:val="hybridMultilevel"/>
    <w:lvl w:ilvl="0">
      <w:lvlJc w:val="left"/>
      <w:lvlText w:val="%1"/>
      <w:numFmt w:val="lowerLetter"/>
      <w:start w:val="1"/>
    </w:lvl>
    <w:lvl w:ilvl="1">
      <w:lvlJc w:val="left"/>
      <w:lvlText w:val="(%2)"/>
      <w:numFmt w:val="lowerLetter"/>
      <w:start w:val="8"/>
    </w:lvl>
    <w:lvl w:ilvl="2">
      <w:lvlJc w:val="left"/>
      <w:lvlText w:val="-"/>
      <w:numFmt w:val="bullet"/>
      <w:start w:val="1"/>
    </w:lvl>
  </w:abstractNum>
  <w:abstractNum w:abstractNumId="399">
    <w:nsid w:val="1230F102"/>
    <w:multiLevelType w:val="hybridMultilevel"/>
    <w:lvl w:ilvl="0">
      <w:lvlJc w:val="left"/>
      <w:lvlText w:val="(%1)"/>
      <w:numFmt w:val="lowerLetter"/>
      <w:start w:val="35"/>
    </w:lvl>
    <w:lvl w:ilvl="1">
      <w:lvlJc w:val="left"/>
      <w:lvlText w:val="(%2)"/>
      <w:numFmt w:val="lowerLetter"/>
      <w:start w:val="12"/>
    </w:lvl>
    <w:lvl w:ilvl="2">
      <w:lvlJc w:val="left"/>
      <w:lvlText w:val="-"/>
      <w:numFmt w:val="bullet"/>
      <w:start w:val="1"/>
    </w:lvl>
  </w:abstractNum>
  <w:abstractNum w:abstractNumId="400">
    <w:nsid w:val="25B57ED4"/>
    <w:multiLevelType w:val="hybridMultilevel"/>
    <w:lvl w:ilvl="0">
      <w:lvlJc w:val="left"/>
      <w:lvlText w:val="(%1)"/>
      <w:numFmt w:val="lowerLetter"/>
      <w:start w:val="18"/>
    </w:lvl>
  </w:abstractNum>
  <w:abstractNum w:abstractNumId="401">
    <w:nsid w:val="47CF16C4"/>
    <w:multiLevelType w:val="hybridMultilevel"/>
    <w:lvl w:ilvl="0">
      <w:lvlJc w:val="left"/>
      <w:lvlText w:val="(%1)"/>
      <w:numFmt w:val="lowerLetter"/>
      <w:start w:val="1"/>
    </w:lvl>
  </w:abstractNum>
  <w:abstractNum w:abstractNumId="402">
    <w:nsid w:val="527FA04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03">
    <w:nsid w:val="6FCC0624"/>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04">
    <w:nsid w:val="1DCDF795"/>
    <w:multiLevelType w:val="hybridMultilevel"/>
    <w:lvl w:ilvl="0">
      <w:lvlJc w:val="left"/>
      <w:lvlText w:val="(%1)"/>
      <w:numFmt w:val="lowerRoman"/>
      <w:start w:val="4"/>
    </w:lvl>
  </w:abstractNum>
  <w:abstractNum w:abstractNumId="405">
    <w:nsid w:val="564580C8"/>
    <w:multiLevelType w:val="hybridMultilevel"/>
    <w:lvl w:ilvl="0">
      <w:lvlJc w:val="left"/>
      <w:lvlText w:val="(%1)"/>
      <w:numFmt w:val="lowerLetter"/>
      <w:start w:val="4"/>
    </w:lvl>
  </w:abstractNum>
  <w:abstractNum w:abstractNumId="406">
    <w:nsid w:val="508ED89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07">
    <w:nsid w:val="6A9126B5"/>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408">
    <w:nsid w:val="6810481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09">
    <w:nsid w:val="62FB8680"/>
    <w:multiLevelType w:val="hybridMultilevel"/>
    <w:lvl w:ilvl="0">
      <w:lvlJc w:val="left"/>
      <w:lvlText w:val="%1"/>
      <w:numFmt w:val="lowerLetter"/>
      <w:start w:val="1"/>
    </w:lvl>
    <w:lvl w:ilvl="1">
      <w:lvlJc w:val="left"/>
      <w:lvlText w:val="(%2)"/>
      <w:numFmt w:val="lowerRoman"/>
      <w:start w:val="7"/>
    </w:lvl>
  </w:abstractNum>
  <w:abstractNum w:abstractNumId="410">
    <w:nsid w:val="3A45530"/>
    <w:multiLevelType w:val="hybridMultilevel"/>
    <w:lvl w:ilvl="0">
      <w:lvlJc w:val="left"/>
      <w:lvlText w:val="(%1)"/>
      <w:numFmt w:val="lowerLetter"/>
      <w:start w:val="3"/>
    </w:lvl>
    <w:lvl w:ilvl="1">
      <w:lvlJc w:val="left"/>
      <w:lvlText w:val="(%2)"/>
      <w:numFmt w:val="lowerRoman"/>
      <w:start w:val="1"/>
    </w:lvl>
  </w:abstractNum>
  <w:abstractNum w:abstractNumId="411">
    <w:nsid w:val="4B9275D2"/>
    <w:multiLevelType w:val="hybridMultilevel"/>
    <w:lvl w:ilvl="0">
      <w:lvlJc w:val="left"/>
      <w:lvlText w:val="(%1)"/>
      <w:numFmt w:val="lowerRoman"/>
      <w:start w:val="2"/>
    </w:lvl>
  </w:abstractNum>
  <w:abstractNum w:abstractNumId="412">
    <w:nsid w:val="4F0CEEDB"/>
    <w:multiLevelType w:val="hybridMultilevel"/>
    <w:lvl w:ilvl="0">
      <w:lvlJc w:val="left"/>
      <w:lvlText w:val="(%1)"/>
      <w:numFmt w:val="lowerLetter"/>
      <w:start w:val="1"/>
    </w:lvl>
    <w:lvl w:ilvl="1">
      <w:lvlJc w:val="left"/>
      <w:lvlText w:val="-"/>
      <w:numFmt w:val="bullet"/>
      <w:start w:val="1"/>
    </w:lvl>
  </w:abstractNum>
  <w:abstractNum w:abstractNumId="413">
    <w:nsid w:val="61C30361"/>
    <w:multiLevelType w:val="hybridMultilevel"/>
    <w:lvl w:ilvl="0">
      <w:lvlJc w:val="left"/>
      <w:lvlText w:val="(%1)"/>
      <w:numFmt w:val="lowerLetter"/>
      <w:start w:val="3"/>
    </w:lvl>
  </w:abstractNum>
  <w:abstractNum w:abstractNumId="414">
    <w:nsid w:val="632099E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15">
    <w:nsid w:val="24639756"/>
    <w:multiLevelType w:val="hybridMultilevel"/>
    <w:lvl w:ilvl="0">
      <w:lvlJc w:val="left"/>
      <w:lvlText w:val="%1"/>
      <w:numFmt w:val="lowerLetter"/>
      <w:start w:val="1"/>
    </w:lvl>
    <w:lvl w:ilvl="1">
      <w:lvlJc w:val="left"/>
      <w:lvlText w:val="(%2)"/>
      <w:numFmt w:val="lowerRoman"/>
      <w:start w:val="9"/>
    </w:lvl>
  </w:abstractNum>
  <w:abstractNum w:abstractNumId="416">
    <w:nsid w:val="9D30DFD"/>
    <w:multiLevelType w:val="hybridMultilevel"/>
    <w:lvl w:ilvl="0">
      <w:lvlJc w:val="left"/>
      <w:lvlText w:val="(%1)"/>
      <w:numFmt w:val="lowerLetter"/>
      <w:start w:val="2"/>
    </w:lvl>
    <w:lvl w:ilvl="1">
      <w:lvlJc w:val="left"/>
      <w:lvlText w:val="%2"/>
      <w:numFmt w:val="lowerRoman"/>
      <w:start w:val="1"/>
    </w:lvl>
  </w:abstractNum>
  <w:abstractNum w:abstractNumId="417">
    <w:nsid w:val="70A42016"/>
    <w:multiLevelType w:val="hybridMultilevel"/>
    <w:lvl w:ilvl="0">
      <w:lvlJc w:val="left"/>
      <w:lvlText w:val="(%1)"/>
      <w:numFmt w:val="lowerLetter"/>
      <w:start w:val="1"/>
    </w:lvl>
    <w:lvl w:ilvl="1">
      <w:lvlJc w:val="left"/>
      <w:lvlText w:val="-"/>
      <w:numFmt w:val="bullet"/>
      <w:start w:val="1"/>
    </w:lvl>
  </w:abstractNum>
  <w:abstractNum w:abstractNumId="418">
    <w:nsid w:val="161BC243"/>
    <w:multiLevelType w:val="hybridMultilevel"/>
    <w:lvl w:ilvl="0">
      <w:lvlJc w:val="left"/>
      <w:lvlText w:val="(%1)"/>
      <w:numFmt w:val="lowerLetter"/>
      <w:start w:val="1"/>
    </w:lvl>
    <w:lvl w:ilvl="1">
      <w:lvlJc w:val="left"/>
      <w:lvlText w:val="-"/>
      <w:numFmt w:val="bullet"/>
      <w:start w:val="1"/>
    </w:lvl>
  </w:abstractNum>
  <w:abstractNum w:abstractNumId="419">
    <w:nsid w:val="16E908C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20">
    <w:nsid w:val="2E0D7671"/>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421">
    <w:nsid w:val="38B59EFF"/>
    <w:multiLevelType w:val="hybridMultilevel"/>
    <w:lvl w:ilvl="0">
      <w:lvlJc w:val="left"/>
      <w:lvlText w:val="(%1)"/>
      <w:numFmt w:val="lowerLetter"/>
      <w:start w:val="5"/>
    </w:lvl>
    <w:lvl w:ilvl="1">
      <w:lvlJc w:val="left"/>
      <w:lvlText w:val="-"/>
      <w:numFmt w:val="bullet"/>
      <w:start w:val="1"/>
    </w:lvl>
  </w:abstractNum>
  <w:abstractNum w:abstractNumId="422">
    <w:nsid w:val="307995CA"/>
    <w:multiLevelType w:val="hybridMultilevel"/>
    <w:lvl w:ilvl="0">
      <w:lvlJc w:val="left"/>
      <w:lvlText w:val="(%1)"/>
      <w:numFmt w:val="lowerLetter"/>
      <w:start w:val="8"/>
    </w:lvl>
  </w:abstractNum>
  <w:abstractNum w:abstractNumId="423">
    <w:nsid w:val="52E2024D"/>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24">
    <w:nsid w:val="CE344B5"/>
    <w:multiLevelType w:val="hybridMultilevel"/>
    <w:lvl w:ilvl="0">
      <w:lvlJc w:val="left"/>
      <w:lvlText w:val="(%1)"/>
      <w:numFmt w:val="lowerLetter"/>
      <w:start w:val="61"/>
    </w:lvl>
    <w:lvl w:ilvl="1">
      <w:lvlJc w:val="left"/>
      <w:lvlText w:val="(%2)"/>
      <w:numFmt w:val="lowerLetter"/>
      <w:start w:val="2"/>
    </w:lvl>
    <w:lvl w:ilvl="2">
      <w:lvlJc w:val="left"/>
      <w:lvlText w:val="-"/>
      <w:numFmt w:val="bullet"/>
      <w:start w:val="1"/>
    </w:lvl>
  </w:abstractNum>
  <w:abstractNum w:abstractNumId="425">
    <w:nsid w:val="29B0E9A8"/>
    <w:multiLevelType w:val="hybridMultilevel"/>
    <w:lvl w:ilvl="0">
      <w:lvlJc w:val="left"/>
      <w:lvlText w:val="(%1)"/>
      <w:numFmt w:val="lowerLetter"/>
      <w:start w:val="3"/>
    </w:lvl>
    <w:lvl w:ilvl="1">
      <w:lvlJc w:val="left"/>
      <w:lvlText w:val="-"/>
      <w:numFmt w:val="bullet"/>
      <w:start w:val="1"/>
    </w:lvl>
  </w:abstractNum>
  <w:abstractNum w:abstractNumId="426">
    <w:nsid w:val="6F49CD8A"/>
    <w:multiLevelType w:val="hybridMultilevel"/>
    <w:lvl w:ilvl="0">
      <w:lvlJc w:val="left"/>
      <w:lvlText w:val="(%1)"/>
      <w:numFmt w:val="lowerLetter"/>
      <w:start w:val="7"/>
    </w:lvl>
  </w:abstractNum>
  <w:abstractNum w:abstractNumId="427">
    <w:nsid w:val="4DC5D907"/>
    <w:multiLevelType w:val="hybridMultilevel"/>
    <w:lvl w:ilvl="0">
      <w:lvlJc w:val="left"/>
      <w:lvlText w:val="(%1)"/>
      <w:numFmt w:val="lowerLetter"/>
      <w:start w:val="1"/>
    </w:lvl>
  </w:abstractNum>
  <w:abstractNum w:abstractNumId="428">
    <w:nsid w:val="D55945E"/>
    <w:multiLevelType w:val="hybridMultilevel"/>
    <w:lvl w:ilvl="0">
      <w:lvlJc w:val="left"/>
      <w:lvlText w:val="(%1)"/>
      <w:numFmt w:val="lowerLetter"/>
      <w:start w:val="1"/>
    </w:lvl>
  </w:abstractNum>
  <w:abstractNum w:abstractNumId="429">
    <w:nsid w:val="672417E1"/>
    <w:multiLevelType w:val="hybridMultilevel"/>
    <w:lvl w:ilvl="0">
      <w:lvlJc w:val="left"/>
      <w:lvlText w:val="(%1)"/>
      <w:numFmt w:val="lowerLetter"/>
      <w:start w:val="1"/>
    </w:lvl>
    <w:lvl w:ilvl="1">
      <w:lvlJc w:val="left"/>
      <w:lvlText w:val="-"/>
      <w:numFmt w:val="bullet"/>
      <w:start w:val="1"/>
    </w:lvl>
  </w:abstractNum>
  <w:abstractNum w:abstractNumId="430">
    <w:nsid w:val="5FF6CA09"/>
    <w:multiLevelType w:val="hybridMultilevel"/>
    <w:lvl w:ilvl="0">
      <w:lvlJc w:val="left"/>
      <w:lvlText w:val="(%1)"/>
      <w:numFmt w:val="lowerLetter"/>
      <w:start w:val="1"/>
    </w:lvl>
    <w:lvl w:ilvl="1">
      <w:lvlJc w:val="left"/>
      <w:lvlText w:val="-"/>
      <w:numFmt w:val="bullet"/>
      <w:start w:val="1"/>
    </w:lvl>
  </w:abstractNum>
  <w:abstractNum w:abstractNumId="431">
    <w:nsid w:val="330B1333"/>
    <w:multiLevelType w:val="hybridMultilevel"/>
    <w:lvl w:ilvl="0">
      <w:lvlJc w:val="left"/>
      <w:lvlText w:val="(%1)"/>
      <w:numFmt w:val="lowerLetter"/>
      <w:start w:val="6"/>
    </w:lvl>
  </w:abstractNum>
  <w:abstractNum w:abstractNumId="432">
    <w:nsid w:val="2EF32EA6"/>
    <w:multiLevelType w:val="hybridMultilevel"/>
    <w:lvl w:ilvl="0">
      <w:lvlJc w:val="left"/>
      <w:lvlText w:val="(%1)"/>
      <w:numFmt w:val="lowerLetter"/>
      <w:start w:val="1"/>
    </w:lvl>
    <w:lvl w:ilvl="1">
      <w:lvlJc w:val="left"/>
      <w:lvlText w:val="-"/>
      <w:numFmt w:val="bullet"/>
      <w:start w:val="1"/>
    </w:lvl>
  </w:abstractNum>
  <w:abstractNum w:abstractNumId="433">
    <w:nsid w:val="32766A55"/>
    <w:multiLevelType w:val="hybridMultilevel"/>
    <w:lvl w:ilvl="0">
      <w:lvlJc w:val="left"/>
      <w:lvlText w:val="(%1)"/>
      <w:numFmt w:val="lowerLetter"/>
      <w:start w:val="5"/>
    </w:lvl>
  </w:abstractNum>
  <w:abstractNum w:abstractNumId="434">
    <w:nsid w:val="22D71957"/>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35">
    <w:nsid w:val="4CC1263B"/>
    <w:multiLevelType w:val="hybridMultilevel"/>
    <w:lvl w:ilvl="0">
      <w:lvlJc w:val="left"/>
      <w:lvlText w:val="(%1)"/>
      <w:numFmt w:val="lowerLetter"/>
      <w:start w:val="22"/>
    </w:lvl>
    <w:lvl w:ilvl="1">
      <w:lvlJc w:val="left"/>
      <w:lvlText w:val="(%2)"/>
      <w:numFmt w:val="lowerLetter"/>
      <w:start w:val="2"/>
    </w:lvl>
    <w:lvl w:ilvl="2">
      <w:lvlJc w:val="left"/>
      <w:lvlText w:val="-"/>
      <w:numFmt w:val="bullet"/>
      <w:start w:val="1"/>
    </w:lvl>
  </w:abstractNum>
  <w:abstractNum w:abstractNumId="436">
    <w:nsid w:val="8BBEB1D"/>
    <w:multiLevelType w:val="hybridMultilevel"/>
    <w:lvl w:ilvl="0">
      <w:lvlJc w:val="left"/>
      <w:lvlText w:val="(%1)"/>
      <w:numFmt w:val="lowerLetter"/>
      <w:start w:val="3"/>
    </w:lvl>
  </w:abstractNum>
  <w:abstractNum w:abstractNumId="437">
    <w:nsid w:val="7365F1EE"/>
    <w:multiLevelType w:val="hybridMultilevel"/>
    <w:lvl w:ilvl="0">
      <w:lvlJc w:val="left"/>
      <w:lvlText w:val="(%1)"/>
      <w:numFmt w:val="lowerLetter"/>
      <w:start w:val="1"/>
    </w:lvl>
    <w:lvl w:ilvl="1">
      <w:lvlJc w:val="left"/>
      <w:lvlText w:val="-"/>
      <w:numFmt w:val="bullet"/>
      <w:start w:val="1"/>
    </w:lvl>
  </w:abstractNum>
  <w:abstractNum w:abstractNumId="438">
    <w:nsid w:val="37524CF0"/>
    <w:multiLevelType w:val="hybridMultilevel"/>
    <w:lvl w:ilvl="0">
      <w:lvlJc w:val="left"/>
      <w:lvlText w:val="(%1)"/>
      <w:numFmt w:val="lowerLetter"/>
      <w:start w:val="5"/>
    </w:lvl>
  </w:abstractNum>
  <w:abstractNum w:abstractNumId="439">
    <w:nsid w:val="70CC332F"/>
    <w:multiLevelType w:val="hybridMultilevel"/>
    <w:lvl w:ilvl="0">
      <w:lvlJc w:val="left"/>
      <w:lvlText w:val="(%1)"/>
      <w:numFmt w:val="lowerLetter"/>
      <w:start w:val="1"/>
    </w:lvl>
    <w:lvl w:ilvl="1">
      <w:lvlJc w:val="left"/>
      <w:lvlText w:val="-"/>
      <w:numFmt w:val="bullet"/>
      <w:start w:val="1"/>
    </w:lvl>
  </w:abstractNum>
  <w:abstractNum w:abstractNumId="440">
    <w:nsid w:val="5661786E"/>
    <w:multiLevelType w:val="hybridMultilevel"/>
    <w:lvl w:ilvl="0">
      <w:lvlJc w:val="left"/>
      <w:lvlText w:val="(%1)"/>
      <w:numFmt w:val="lowerLetter"/>
      <w:start w:val="3"/>
    </w:lvl>
  </w:abstractNum>
  <w:abstractNum w:abstractNumId="441">
    <w:nsid w:val="3AF6A220"/>
    <w:multiLevelType w:val="hybridMultilevel"/>
    <w:lvl w:ilvl="0">
      <w:lvlJc w:val="left"/>
      <w:lvlText w:val="(%1)"/>
      <w:numFmt w:val="lowerLetter"/>
      <w:start w:val="1"/>
    </w:lvl>
    <w:lvl w:ilvl="1">
      <w:lvlJc w:val="left"/>
      <w:lvlText w:val="-"/>
      <w:numFmt w:val="bullet"/>
      <w:start w:val="1"/>
    </w:lvl>
  </w:abstractNum>
  <w:abstractNum w:abstractNumId="442">
    <w:nsid w:val="3C5EA902"/>
    <w:multiLevelType w:val="hybridMultilevel"/>
    <w:lvl w:ilvl="0">
      <w:lvlJc w:val="left"/>
      <w:lvlText w:val="(%1)"/>
      <w:numFmt w:val="lowerLetter"/>
      <w:start w:val="2"/>
    </w:lvl>
    <w:lvl w:ilvl="1">
      <w:lvlJc w:val="left"/>
      <w:lvlText w:val="-"/>
      <w:numFmt w:val="bullet"/>
      <w:start w:val="1"/>
    </w:lvl>
  </w:abstractNum>
  <w:abstractNum w:abstractNumId="443">
    <w:nsid w:val="256E6749"/>
    <w:multiLevelType w:val="hybridMultilevel"/>
    <w:lvl w:ilvl="0">
      <w:lvlJc w:val="left"/>
      <w:lvlText w:val="(%1)"/>
      <w:numFmt w:val="lowerLetter"/>
      <w:start w:val="4"/>
    </w:lvl>
  </w:abstractNum>
  <w:abstractNum w:abstractNumId="444">
    <w:nsid w:val="1CB9A58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45">
    <w:nsid w:val="1F7F42E2"/>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446">
    <w:nsid w:val="49D1FEA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47">
    <w:nsid w:val="268CB37F"/>
    <w:multiLevelType w:val="hybridMultilevel"/>
    <w:lvl w:ilvl="0">
      <w:lvlJc w:val="left"/>
      <w:lvlText w:val="(%1)"/>
      <w:numFmt w:val="lowerLetter"/>
      <w:start w:val="3"/>
    </w:lvl>
  </w:abstractNum>
  <w:abstractNum w:abstractNumId="448">
    <w:nsid w:val="102362F8"/>
    <w:multiLevelType w:val="hybridMultilevel"/>
    <w:lvl w:ilvl="0">
      <w:lvlJc w:val="left"/>
      <w:lvlText w:val="(%1)"/>
      <w:numFmt w:val="lowerLetter"/>
      <w:start w:val="1"/>
    </w:lvl>
    <w:lvl w:ilvl="1">
      <w:lvlJc w:val="left"/>
      <w:lvlText w:val="-"/>
      <w:numFmt w:val="bullet"/>
      <w:start w:val="1"/>
    </w:lvl>
  </w:abstractNum>
  <w:abstractNum w:abstractNumId="449">
    <w:nsid w:val="5FEDC0E3"/>
    <w:multiLevelType w:val="hybridMultilevel"/>
    <w:lvl w:ilvl="0">
      <w:lvlJc w:val="left"/>
      <w:lvlText w:val="(%1)"/>
      <w:numFmt w:val="lowerLetter"/>
      <w:start w:val="4"/>
    </w:lvl>
    <w:lvl w:ilvl="1">
      <w:lvlJc w:val="left"/>
      <w:lvlText w:val="-"/>
      <w:numFmt w:val="bullet"/>
      <w:start w:val="1"/>
    </w:lvl>
  </w:abstractNum>
  <w:abstractNum w:abstractNumId="450">
    <w:nsid w:val="3D75BC47"/>
    <w:multiLevelType w:val="hybridMultilevel"/>
    <w:lvl w:ilvl="0">
      <w:lvlJc w:val="left"/>
      <w:lvlText w:val="(%1)"/>
      <w:numFmt w:val="lowerLetter"/>
      <w:start w:val="1"/>
    </w:lvl>
    <w:lvl w:ilvl="1">
      <w:lvlJc w:val="left"/>
      <w:lvlText w:val="-"/>
      <w:numFmt w:val="bullet"/>
      <w:start w:val="1"/>
    </w:lvl>
  </w:abstractNum>
  <w:abstractNum w:abstractNumId="451">
    <w:nsid w:val="3E30D969"/>
    <w:multiLevelType w:val="hybridMultilevel"/>
    <w:lvl w:ilvl="0">
      <w:lvlJc w:val="left"/>
      <w:lvlText w:val="(%1)"/>
      <w:numFmt w:val="lowerLetter"/>
      <w:start w:val="2"/>
    </w:lvl>
    <w:lvl w:ilvl="1">
      <w:lvlJc w:val="left"/>
      <w:lvlText w:val="-"/>
      <w:numFmt w:val="bullet"/>
      <w:start w:val="1"/>
    </w:lvl>
  </w:abstractNum>
  <w:abstractNum w:abstractNumId="452">
    <w:nsid w:val="18A35FE3"/>
    <w:multiLevelType w:val="hybridMultilevel"/>
    <w:lvl w:ilvl="0">
      <w:lvlJc w:val="left"/>
      <w:lvlText w:val="(%1)"/>
      <w:numFmt w:val="lowerLetter"/>
      <w:start w:val="7"/>
    </w:lvl>
  </w:abstractNum>
  <w:abstractNum w:abstractNumId="453">
    <w:nsid w:val="6DEF5211"/>
    <w:multiLevelType w:val="hybridMultilevel"/>
    <w:lvl w:ilvl="0">
      <w:lvlJc w:val="left"/>
      <w:lvlText w:val="(%1)"/>
      <w:numFmt w:val="lowerLetter"/>
      <w:start w:val="1"/>
    </w:lvl>
    <w:lvl w:ilvl="1">
      <w:lvlJc w:val="left"/>
      <w:lvlText w:val="-"/>
      <w:numFmt w:val="bullet"/>
      <w:start w:val="1"/>
    </w:lvl>
  </w:abstractNum>
  <w:abstractNum w:abstractNumId="454">
    <w:nsid w:val="1112DBB6"/>
    <w:multiLevelType w:val="hybridMultilevel"/>
    <w:lvl w:ilvl="0">
      <w:lvlJc w:val="left"/>
      <w:lvlText w:val="(%1)"/>
      <w:numFmt w:val="lowerLetter"/>
      <w:start w:val="1"/>
    </w:lvl>
    <w:lvl w:ilvl="1">
      <w:lvlJc w:val="left"/>
      <w:lvlText w:val="(%2)"/>
      <w:numFmt w:val="lowerRoman"/>
      <w:start w:val="1"/>
    </w:lvl>
  </w:abstractNum>
  <w:abstractNum w:abstractNumId="455">
    <w:nsid w:val="2586A498"/>
    <w:multiLevelType w:val="hybridMultilevel"/>
    <w:lvl w:ilvl="0">
      <w:lvlJc w:val="left"/>
      <w:lvlText w:val="(%1)"/>
      <w:numFmt w:val="lowerLetter"/>
      <w:start w:val="1"/>
    </w:lvl>
    <w:lvl w:ilvl="1">
      <w:lvlJc w:val="left"/>
      <w:lvlText w:val="-"/>
      <w:numFmt w:val="bullet"/>
      <w:start w:val="1"/>
    </w:lvl>
  </w:abstractNum>
  <w:abstractNum w:abstractNumId="456">
    <w:nsid w:val="17A03BB9"/>
    <w:multiLevelType w:val="hybridMultilevel"/>
    <w:lvl w:ilvl="0">
      <w:lvlJc w:val="left"/>
      <w:lvlText w:val="(%1)"/>
      <w:numFmt w:val="lowerLetter"/>
      <w:start w:val="3"/>
    </w:lvl>
  </w:abstractNum>
  <w:abstractNum w:abstractNumId="457">
    <w:nsid w:val="5CA941"/>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458">
    <w:nsid w:val="734C7D9F"/>
    <w:multiLevelType w:val="hybridMultilevel"/>
    <w:lvl w:ilvl="0">
      <w:lvlJc w:val="left"/>
      <w:lvlText w:val="(%1)"/>
      <w:numFmt w:val="lowerLetter"/>
      <w:start w:val="2"/>
    </w:lvl>
  </w:abstractNum>
  <w:abstractNum w:abstractNumId="459">
    <w:nsid w:val="24F5D018"/>
    <w:multiLevelType w:val="hybridMultilevel"/>
    <w:lvl w:ilvl="0">
      <w:lvlJc w:val="left"/>
      <w:lvlText w:val="(%1)"/>
      <w:numFmt w:val="lowerLetter"/>
      <w:start w:val="1"/>
    </w:lvl>
    <w:lvl w:ilvl="1">
      <w:lvlJc w:val="left"/>
      <w:lvlText w:val="-"/>
      <w:numFmt w:val="bullet"/>
      <w:start w:val="1"/>
    </w:lvl>
  </w:abstractNum>
  <w:abstractNum w:abstractNumId="460">
    <w:nsid w:val="6780C12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461">
    <w:nsid w:val="534347A8"/>
    <w:multiLevelType w:val="hybridMultilevel"/>
    <w:lvl w:ilvl="0">
      <w:lvlJc w:val="left"/>
      <w:lvlText w:val="(%1)"/>
      <w:numFmt w:val="lowerLetter"/>
      <w:start w:val="4"/>
    </w:lvl>
  </w:abstractNum>
  <w:abstractNum w:abstractNumId="462">
    <w:nsid w:val="5800E34B"/>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63">
    <w:nsid w:val="1673EFC8"/>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464">
    <w:nsid w:val="5B9B1FD"/>
    <w:multiLevelType w:val="hybridMultilevel"/>
    <w:lvl w:ilvl="0">
      <w:lvlJc w:val="left"/>
      <w:lvlText w:val="(%1)"/>
      <w:numFmt w:val="lowerLetter"/>
      <w:start w:val="22"/>
    </w:lvl>
    <w:lvl w:ilvl="1">
      <w:lvlJc w:val="left"/>
      <w:lvlText w:val="%2"/>
      <w:numFmt w:val="lowerLetter"/>
      <w:start w:val="1"/>
    </w:lvl>
    <w:lvl w:ilvl="2">
      <w:lvlJc w:val="left"/>
      <w:lvlText w:val="-"/>
      <w:numFmt w:val="bullet"/>
      <w:start w:val="1"/>
    </w:lvl>
  </w:abstractNum>
  <w:abstractNum w:abstractNumId="465">
    <w:nsid w:val="7AD7FCA2"/>
    <w:multiLevelType w:val="hybridMultilevel"/>
    <w:lvl w:ilvl="0">
      <w:lvlJc w:val="left"/>
      <w:lvlText w:val="(%1)"/>
      <w:numFmt w:val="lowerLetter"/>
      <w:start w:val="2"/>
    </w:lvl>
  </w:abstractNum>
  <w:abstractNum w:abstractNumId="466">
    <w:nsid w:val="6335160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67">
    <w:nsid w:val="E759D1A"/>
    <w:multiLevelType w:val="hybridMultilevel"/>
    <w:lvl w:ilvl="0">
      <w:lvlJc w:val="left"/>
      <w:lvlText w:val="(%1)"/>
      <w:numFmt w:val="lowerRoman"/>
      <w:start w:val="5"/>
    </w:lvl>
  </w:abstractNum>
  <w:abstractNum w:abstractNumId="468">
    <w:nsid w:val="6E3DEE90"/>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469">
    <w:nsid w:val="1A8762F4"/>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9"/>
    </w:lvl>
    <w:lvl w:ilvl="3">
      <w:lvlJc w:val="left"/>
      <w:lvlText w:val="-"/>
      <w:numFmt w:val="bullet"/>
      <w:start w:val="1"/>
    </w:lvl>
  </w:abstractNum>
  <w:abstractNum w:abstractNumId="470">
    <w:nsid w:val="7F41D049"/>
    <w:multiLevelType w:val="hybridMultilevel"/>
    <w:lvl w:ilvl="0">
      <w:lvlJc w:val="left"/>
      <w:lvlText w:val="(%1)"/>
      <w:numFmt w:val="lowerRoman"/>
      <w:start w:val="2"/>
    </w:lvl>
  </w:abstractNum>
  <w:abstractNum w:abstractNumId="471">
    <w:nsid w:val="449F66FE"/>
    <w:multiLevelType w:val="hybridMultilevel"/>
    <w:lvl w:ilvl="0">
      <w:lvlJc w:val="left"/>
      <w:lvlText w:val="(%1)"/>
      <w:numFmt w:val="lowerLetter"/>
      <w:start w:val="1"/>
    </w:lvl>
  </w:abstractNum>
  <w:abstractNum w:abstractNumId="472">
    <w:nsid w:val="557E0515"/>
    <w:multiLevelType w:val="hybridMultilevel"/>
    <w:lvl w:ilvl="0">
      <w:lvlJc w:val="left"/>
      <w:lvlText w:val="(%1)"/>
      <w:numFmt w:val="lowerLetter"/>
      <w:start w:val="1"/>
    </w:lvl>
    <w:lvl w:ilvl="1">
      <w:lvlJc w:val="left"/>
      <w:lvlText w:val="-"/>
      <w:numFmt w:val="bullet"/>
      <w:start w:val="1"/>
    </w:lvl>
  </w:abstractNum>
  <w:abstractNum w:abstractNumId="473">
    <w:nsid w:val="3BA0794B"/>
    <w:multiLevelType w:val="hybridMultilevel"/>
    <w:lvl w:ilvl="0">
      <w:lvlJc w:val="left"/>
      <w:lvlText w:val="(%1)"/>
      <w:numFmt w:val="lowerLetter"/>
      <w:start w:val="1"/>
    </w:lvl>
  </w:abstractNum>
  <w:abstractNum w:abstractNumId="474">
    <w:nsid w:val="6A0DCE48"/>
    <w:multiLevelType w:val="hybridMultilevel"/>
    <w:lvl w:ilvl="0">
      <w:lvlJc w:val="left"/>
      <w:lvlText w:val="(%1)"/>
      <w:numFmt w:val="lowerLetter"/>
      <w:start w:val="1"/>
    </w:lvl>
    <w:lvl w:ilvl="1">
      <w:lvlJc w:val="left"/>
      <w:lvlText w:val="-"/>
      <w:numFmt w:val="bullet"/>
      <w:start w:val="1"/>
    </w:lvl>
  </w:abstractNum>
  <w:abstractNum w:abstractNumId="475">
    <w:nsid w:val="7237AA96"/>
    <w:multiLevelType w:val="hybridMultilevel"/>
    <w:lvl w:ilvl="0">
      <w:lvlJc w:val="left"/>
      <w:lvlText w:val="%1"/>
      <w:numFmt w:val="decimal"/>
      <w:start w:val="1"/>
    </w:lvl>
    <w:lvl w:ilvl="1">
      <w:lvlJc w:val="left"/>
      <w:lvlText w:val="(%2)"/>
      <w:numFmt w:val="lowerLetter"/>
      <w:start w:val="4"/>
    </w:lvl>
  </w:abstractNum>
  <w:abstractNum w:abstractNumId="476">
    <w:nsid w:val="5B1FBC2D"/>
    <w:multiLevelType w:val="hybridMultilevel"/>
    <w:lvl w:ilvl="0">
      <w:lvlJc w:val="left"/>
      <w:lvlText w:val="(%1)"/>
      <w:numFmt w:val="decimal"/>
      <w:start w:val="15"/>
    </w:lvl>
    <w:lvl w:ilvl="1">
      <w:lvlJc w:val="left"/>
      <w:lvlText w:val="(%2)"/>
      <w:numFmt w:val="lowerLetter"/>
      <w:start w:val="6"/>
    </w:lvl>
  </w:abstractNum>
  <w:abstractNum w:abstractNumId="477">
    <w:nsid w:val="33DFCCE8"/>
    <w:multiLevelType w:val="hybridMultilevel"/>
    <w:lvl w:ilvl="0">
      <w:lvlJc w:val="left"/>
      <w:lvlText w:val="(%1)"/>
      <w:numFmt w:val="lowerLetter"/>
      <w:start w:val="1"/>
    </w:lvl>
  </w:abstractNum>
  <w:abstractNum w:abstractNumId="478">
    <w:nsid w:val="18C45E15"/>
    <w:multiLevelType w:val="hybridMultilevel"/>
    <w:lvl w:ilvl="0">
      <w:lvlJc w:val="left"/>
      <w:lvlText w:val="(%1)"/>
      <w:numFmt w:val="lowerLetter"/>
      <w:start w:val="1"/>
    </w:lvl>
    <w:lvl w:ilvl="1">
      <w:lvlJc w:val="left"/>
      <w:lvlText w:val="-"/>
      <w:numFmt w:val="bullet"/>
      <w:start w:val="1"/>
    </w:lvl>
  </w:abstractNum>
  <w:abstractNum w:abstractNumId="479">
    <w:nsid w:val="6B431F25"/>
    <w:multiLevelType w:val="hybridMultilevel"/>
    <w:lvl w:ilvl="0">
      <w:lvlJc w:val="left"/>
      <w:lvlText w:val="(%1)"/>
      <w:numFmt w:val="lowerLetter"/>
      <w:start w:val="2"/>
    </w:lvl>
  </w:abstractNum>
  <w:abstractNum w:abstractNumId="480">
    <w:nsid w:val="13CD8DCB"/>
    <w:multiLevelType w:val="hybridMultilevel"/>
    <w:lvl w:ilvl="0">
      <w:lvlJc w:val="left"/>
      <w:lvlText w:val="(%1)"/>
      <w:numFmt w:val="lowerLetter"/>
      <w:start w:val="1"/>
    </w:lvl>
    <w:lvl w:ilvl="1">
      <w:lvlJc w:val="left"/>
      <w:lvlText w:val="-"/>
      <w:numFmt w:val="bullet"/>
      <w:start w:val="1"/>
    </w:lvl>
  </w:abstractNum>
  <w:abstractNum w:abstractNumId="481">
    <w:nsid w:val="563A1A5C"/>
    <w:multiLevelType w:val="hybridMultilevel"/>
    <w:lvl w:ilvl="0">
      <w:lvlJc w:val="left"/>
      <w:lvlText w:val="(%1)"/>
      <w:numFmt w:val="lowerLetter"/>
      <w:start w:val="3"/>
    </w:lvl>
  </w:abstractNum>
  <w:abstractNum w:abstractNumId="482">
    <w:nsid w:val="2973F88F"/>
    <w:multiLevelType w:val="hybridMultilevel"/>
    <w:lvl w:ilvl="0">
      <w:lvlJc w:val="left"/>
      <w:lvlText w:val="(%1)"/>
      <w:numFmt w:val="lowerLetter"/>
      <w:start w:val="1"/>
    </w:lvl>
    <w:lvl w:ilvl="1">
      <w:lvlJc w:val="left"/>
      <w:lvlText w:val="-"/>
      <w:numFmt w:val="bullet"/>
      <w:start w:val="1"/>
    </w:lvl>
  </w:abstractNum>
  <w:abstractNum w:abstractNumId="483">
    <w:nsid w:val="2C70EDAE"/>
    <w:multiLevelType w:val="hybridMultilevel"/>
    <w:lvl w:ilvl="0">
      <w:lvlJc w:val="left"/>
      <w:lvlText w:val="(%1)"/>
      <w:numFmt w:val="lowerLetter"/>
      <w:start w:val="3"/>
    </w:lvl>
    <w:lvl w:ilvl="1">
      <w:lvlJc w:val="left"/>
      <w:lvlText w:val="(%2)"/>
      <w:numFmt w:val="lowerRoman"/>
      <w:start w:val="1"/>
    </w:lvl>
  </w:abstractNum>
  <w:abstractNum w:abstractNumId="484">
    <w:nsid w:val="44296C6D"/>
    <w:multiLevelType w:val="hybridMultilevel"/>
    <w:lvl w:ilvl="0">
      <w:lvlJc w:val="left"/>
      <w:lvlText w:val="(%1)"/>
      <w:numFmt w:val="lowerLetter"/>
      <w:start w:val="1"/>
    </w:lvl>
    <w:lvl w:ilvl="1">
      <w:lvlJc w:val="left"/>
      <w:lvlText w:val="-"/>
      <w:numFmt w:val="bullet"/>
      <w:start w:val="1"/>
    </w:lvl>
  </w:abstractNum>
  <w:abstractNum w:abstractNumId="485">
    <w:nsid w:val="3A86D445"/>
    <w:multiLevelType w:val="hybridMultilevel"/>
    <w:lvl w:ilvl="0">
      <w:lvlJc w:val="left"/>
      <w:lvlText w:val="(%1)"/>
      <w:numFmt w:val="lowerLetter"/>
      <w:start w:val="3"/>
    </w:lvl>
  </w:abstractNum>
  <w:abstractNum w:abstractNumId="486">
    <w:nsid w:val="51F79246"/>
    <w:multiLevelType w:val="hybridMultilevel"/>
    <w:lvl w:ilvl="0">
      <w:lvlJc w:val="left"/>
      <w:lvlText w:val="(%1)"/>
      <w:numFmt w:val="lowerLetter"/>
      <w:start w:val="1"/>
    </w:lvl>
  </w:abstractNum>
  <w:abstractNum w:abstractNumId="487">
    <w:nsid w:val="5BC9A827"/>
    <w:multiLevelType w:val="hybridMultilevel"/>
    <w:lvl w:ilvl="0">
      <w:lvlJc w:val="left"/>
      <w:lvlText w:val="(%1)"/>
      <w:numFmt w:val="lowerLetter"/>
      <w:start w:val="4"/>
    </w:lvl>
    <w:lvl w:ilvl="1">
      <w:lvlJc w:val="left"/>
      <w:lvlText w:val="-"/>
      <w:numFmt w:val="bullet"/>
      <w:start w:val="1"/>
    </w:lvl>
  </w:abstractNum>
  <w:abstractNum w:abstractNumId="488">
    <w:nsid w:val="3AE37D86"/>
    <w:multiLevelType w:val="hybridMultilevel"/>
    <w:lvl w:ilvl="0">
      <w:lvlJc w:val="left"/>
      <w:lvlText w:val="(%1)"/>
      <w:numFmt w:val="lowerLetter"/>
      <w:start w:val="1"/>
    </w:lvl>
    <w:lvl w:ilvl="1">
      <w:lvlJc w:val="left"/>
      <w:lvlText w:val="-"/>
      <w:numFmt w:val="bullet"/>
      <w:start w:val="1"/>
    </w:lvl>
  </w:abstractNum>
  <w:abstractNum w:abstractNumId="489">
    <w:nsid w:val="45440FE5"/>
    <w:multiLevelType w:val="hybridMultilevel"/>
    <w:lvl w:ilvl="0">
      <w:lvlJc w:val="left"/>
      <w:lvlText w:val="(%1)"/>
      <w:numFmt w:val="lowerLetter"/>
      <w:start w:val="1"/>
    </w:lvl>
  </w:abstractNum>
  <w:abstractNum w:abstractNumId="490">
    <w:nsid w:val="BF783F"/>
    <w:multiLevelType w:val="hybridMultilevel"/>
    <w:lvl w:ilvl="0">
      <w:lvlJc w:val="left"/>
      <w:lvlText w:val="(%1)"/>
      <w:numFmt w:val="lowerLetter"/>
      <w:start w:val="2"/>
    </w:lvl>
  </w:abstractNum>
  <w:abstractNum w:abstractNumId="491">
    <w:nsid w:val="22643EA9"/>
    <w:multiLevelType w:val="hybridMultilevel"/>
    <w:lvl w:ilvl="0">
      <w:lvlJc w:val="left"/>
      <w:lvlText w:val="(%1)"/>
      <w:numFmt w:val="lowerLetter"/>
      <w:start w:val="2"/>
    </w:lvl>
  </w:abstractNum>
  <w:abstractNum w:abstractNumId="492">
    <w:nsid w:val="1887578D"/>
    <w:multiLevelType w:val="hybridMultilevel"/>
    <w:lvl w:ilvl="0">
      <w:lvlJc w:val="left"/>
      <w:lvlText w:val="(%1)"/>
      <w:numFmt w:val="lowerLetter"/>
      <w:start w:val="3"/>
    </w:lvl>
  </w:abstractNum>
  <w:abstractNum w:abstractNumId="493">
    <w:nsid w:val="58C05B8A"/>
    <w:multiLevelType w:val="hybridMultilevel"/>
    <w:lvl w:ilvl="0">
      <w:lvlJc w:val="left"/>
      <w:lvlText w:val="(%1)"/>
      <w:numFmt w:val="lowerLetter"/>
      <w:start w:val="4"/>
    </w:lvl>
  </w:abstractNum>
  <w:abstractNum w:abstractNumId="494">
    <w:nsid w:val="38D82E71"/>
    <w:multiLevelType w:val="hybridMultilevel"/>
    <w:lvl w:ilvl="0">
      <w:lvlJc w:val="left"/>
      <w:lvlText w:val="(%1)"/>
      <w:numFmt w:val="lowerLetter"/>
      <w:start w:val="1"/>
    </w:lvl>
  </w:abstractNum>
  <w:abstractNum w:abstractNumId="495">
    <w:nsid w:val="1E41098A"/>
    <w:multiLevelType w:val="hybridMultilevel"/>
    <w:lvl w:ilvl="0">
      <w:lvlJc w:val="left"/>
      <w:lvlText w:val="(%1)"/>
      <w:numFmt w:val="lowerLetter"/>
      <w:start w:val="2"/>
    </w:lvl>
  </w:abstractNum>
  <w:abstractNum w:abstractNumId="496">
    <w:nsid w:val="5398582C"/>
    <w:multiLevelType w:val="hybridMultilevel"/>
    <w:lvl w:ilvl="0">
      <w:lvlJc w:val="left"/>
      <w:lvlText w:val="(%1)"/>
      <w:numFmt w:val="lowerLetter"/>
      <w:start w:val="4"/>
    </w:lvl>
  </w:abstractNum>
  <w:abstractNum w:abstractNumId="497">
    <w:nsid w:val="1C0D4475"/>
    <w:multiLevelType w:val="hybridMultilevel"/>
    <w:lvl w:ilvl="0">
      <w:lvlJc w:val="left"/>
      <w:lvlText w:val="(%1)"/>
      <w:numFmt w:val="lowerLetter"/>
      <w:start w:val="1"/>
    </w:lvl>
    <w:lvl w:ilvl="1">
      <w:lvlJc w:val="left"/>
      <w:lvlText w:val="(%2)"/>
      <w:numFmt w:val="lowerRoman"/>
      <w:start w:val="1"/>
    </w:lvl>
  </w:abstractNum>
  <w:abstractNum w:abstractNumId="498">
    <w:nsid w:val="2CB6A6A4"/>
    <w:multiLevelType w:val="hybridMultilevel"/>
    <w:lvl w:ilvl="0">
      <w:lvlJc w:val="left"/>
      <w:lvlText w:val="(%1)"/>
      <w:numFmt w:val="lowerLetter"/>
      <w:start w:val="1"/>
    </w:lvl>
  </w:abstractNum>
  <w:abstractNum w:abstractNumId="499">
    <w:nsid w:val="41D646BC"/>
    <w:multiLevelType w:val="hybridMultilevel"/>
    <w:lvl w:ilvl="0">
      <w:lvlJc w:val="left"/>
      <w:lvlText w:val="(%1)"/>
      <w:numFmt w:val="lowerLetter"/>
      <w:start w:val="2"/>
    </w:lvl>
  </w:abstractNum>
  <w:abstractNum w:abstractNumId="500">
    <w:nsid w:val="3694A76A"/>
    <w:multiLevelType w:val="hybridMultilevel"/>
    <w:lvl w:ilvl="0">
      <w:lvlJc w:val="left"/>
      <w:lvlText w:val="(%1)"/>
      <w:numFmt w:val="lowerLetter"/>
      <w:start w:val="1"/>
    </w:lvl>
  </w:abstractNum>
  <w:abstractNum w:abstractNumId="501">
    <w:nsid w:val="2BF876EE"/>
    <w:multiLevelType w:val="hybridMultilevel"/>
    <w:lvl w:ilvl="0">
      <w:lvlJc w:val="left"/>
      <w:lvlText w:val="(%1)"/>
      <w:numFmt w:val="lowerLetter"/>
      <w:start w:val="7"/>
    </w:lvl>
  </w:abstractNum>
  <w:abstractNum w:abstractNumId="502">
    <w:nsid w:val="675ADBA"/>
    <w:multiLevelType w:val="hybridMultilevel"/>
    <w:lvl w:ilvl="0">
      <w:lvlJc w:val="left"/>
      <w:lvlText w:val="*"/>
      <w:numFmt w:val="bullet"/>
      <w:start w:val="1"/>
    </w:lvl>
  </w:abstractNum>
  <w:abstractNum w:abstractNumId="503">
    <w:nsid w:val="C12AC7F"/>
    <w:multiLevelType w:val="hybridMultilevel"/>
    <w:lvl w:ilvl="0">
      <w:lvlJc w:val="left"/>
      <w:lvlText w:val="(%1)"/>
      <w:numFmt w:val="lowerLetter"/>
      <w:start w:val="1"/>
    </w:lvl>
  </w:abstractNum>
  <w:abstractNum w:abstractNumId="504">
    <w:nsid w:val="6798F039"/>
    <w:multiLevelType w:val="hybridMultilevel"/>
    <w:lvl w:ilvl="0">
      <w:lvlJc w:val="left"/>
      <w:lvlText w:val="(%1)"/>
      <w:numFmt w:val="decimal"/>
      <w:start w:val="1"/>
    </w:lvl>
  </w:abstractNum>
  <w:abstractNum w:abstractNumId="505">
    <w:nsid w:val="70837C02"/>
    <w:multiLevelType w:val="hybridMultilevel"/>
    <w:lvl w:ilvl="0">
      <w:lvlJc w:val="left"/>
      <w:lvlText w:val="(%1)"/>
      <w:numFmt w:val="decimal"/>
      <w:start w:val="1"/>
    </w:lvl>
  </w:abstractNum>
  <w:abstractNum w:abstractNumId="506">
    <w:nsid w:val="7E4A5715"/>
    <w:multiLevelType w:val="hybridMultilevel"/>
    <w:lvl w:ilvl="0">
      <w:lvlJc w:val="left"/>
      <w:lvlText w:val="●"/>
      <w:numFmt w:val="bullet"/>
      <w:start w:val="1"/>
    </w:lvl>
  </w:abstractNum>
  <w:abstractNum w:abstractNumId="507">
    <w:nsid w:val="42B8AC67"/>
    <w:multiLevelType w:val="hybridMultilevel"/>
    <w:lvl w:ilvl="0">
      <w:lvlJc w:val="left"/>
      <w:lvlText w:val="(%1)"/>
      <w:numFmt w:val="upperLetter"/>
      <w:start w:val="1"/>
    </w:lvl>
  </w:abstractNum>
  <w:abstractNum w:abstractNumId="508">
    <w:nsid w:val="246348EA"/>
    <w:multiLevelType w:val="hybridMultilevel"/>
    <w:lvl w:ilvl="0">
      <w:lvlJc w:val="left"/>
      <w:lvlText w:val="●"/>
      <w:numFmt w:val="bullet"/>
      <w:start w:val="1"/>
    </w:lvl>
  </w:abstractNum>
  <w:abstractNum w:abstractNumId="509">
    <w:nsid w:val="170EB52B"/>
    <w:multiLevelType w:val="hybridMultilevel"/>
    <w:lvl w:ilvl="0">
      <w:lvlJc w:val="left"/>
      <w:lvlText w:val="*"/>
      <w:numFmt w:val="bullet"/>
      <w:start w:val="1"/>
    </w:lvl>
  </w:abstractNum>
  <w:abstractNum w:abstractNumId="510">
    <w:nsid w:val="2DFBCB8C"/>
    <w:multiLevelType w:val="hybridMultilevel"/>
    <w:lvl w:ilvl="0">
      <w:lvlJc w:val="left"/>
      <w:lvlText w:val="•"/>
      <w:numFmt w:val="bullet"/>
      <w:start w:val="1"/>
    </w:lvl>
  </w:abstractNum>
  <w:abstractNum w:abstractNumId="511">
    <w:nsid w:val="3830D6B6"/>
    <w:multiLevelType w:val="hybridMultilevel"/>
    <w:lvl w:ilvl="0">
      <w:lvlJc w:val="left"/>
      <w:lvlText w:val="%1."/>
      <w:numFmt w:val="decimal"/>
      <w:start w:val="1"/>
    </w:lvl>
    <w:lvl w:ilvl="1">
      <w:lvlJc w:val="left"/>
      <w:lvlText w:val="%2)"/>
      <w:numFmt w:val="lowerLetter"/>
      <w:start w:val="1"/>
    </w:lvl>
  </w:abstractNum>
  <w:abstractNum w:abstractNumId="512">
    <w:nsid w:val="6D48CF87"/>
    <w:multiLevelType w:val="hybridMultilevel"/>
    <w:lvl w:ilvl="0">
      <w:lvlJc w:val="left"/>
      <w:lvlText w:val="%1."/>
      <w:numFmt w:val="decimal"/>
      <w:start w:val="1"/>
    </w:lvl>
    <w:lvl w:ilvl="1">
      <w:lvlJc w:val="left"/>
      <w:lvlText w:val="%2)"/>
      <w:numFmt w:val="lowerLetter"/>
      <w:start w:val="1"/>
    </w:lvl>
  </w:abstractNum>
  <w:abstractNum w:abstractNumId="513">
    <w:nsid w:val="576FC41B"/>
    <w:multiLevelType w:val="hybridMultilevel"/>
    <w:lvl w:ilvl="0">
      <w:lvlJc w:val="left"/>
      <w:lvlText w:val="(%1)"/>
      <w:numFmt w:val="decimal"/>
      <w:start w:val="1"/>
    </w:lvl>
  </w:abstractNum>
  <w:abstractNum w:abstractNumId="514">
    <w:nsid w:val="64A1C46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jpe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jpe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pn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png"/><Relationship Id="rId528" Type="http://schemas.openxmlformats.org/officeDocument/2006/relationships/image" Target="media/image514.png"/><Relationship Id="rId529" Type="http://schemas.openxmlformats.org/officeDocument/2006/relationships/image" Target="media/image515.png"/><Relationship Id="rId530" Type="http://schemas.openxmlformats.org/officeDocument/2006/relationships/image" Target="media/image516.pn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pn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pn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png"/><Relationship Id="rId540" Type="http://schemas.openxmlformats.org/officeDocument/2006/relationships/image" Target="media/image526.png"/><Relationship Id="rId541" Type="http://schemas.openxmlformats.org/officeDocument/2006/relationships/image" Target="media/image527.png"/><Relationship Id="rId542" Type="http://schemas.openxmlformats.org/officeDocument/2006/relationships/image" Target="media/image528.png"/><Relationship Id="rId543" Type="http://schemas.openxmlformats.org/officeDocument/2006/relationships/image" Target="media/image529.png"/><Relationship Id="rId544" Type="http://schemas.openxmlformats.org/officeDocument/2006/relationships/image" Target="media/image530.png"/><Relationship Id="rId545" Type="http://schemas.openxmlformats.org/officeDocument/2006/relationships/image" Target="media/image531.pn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550" Type="http://schemas.openxmlformats.org/officeDocument/2006/relationships/image" Target="media/image536.png"/><Relationship Id="rId551" Type="http://schemas.openxmlformats.org/officeDocument/2006/relationships/image" Target="media/image537.png"/><Relationship Id="rId552" Type="http://schemas.openxmlformats.org/officeDocument/2006/relationships/image" Target="media/image538.png"/><Relationship Id="rId553" Type="http://schemas.openxmlformats.org/officeDocument/2006/relationships/image" Target="media/image539.png"/><Relationship Id="rId554" Type="http://schemas.openxmlformats.org/officeDocument/2006/relationships/image" Target="media/image540.png"/><Relationship Id="rId555" Type="http://schemas.openxmlformats.org/officeDocument/2006/relationships/image" Target="media/image541.png"/><Relationship Id="rId556" Type="http://schemas.openxmlformats.org/officeDocument/2006/relationships/image" Target="media/image542.png"/><Relationship Id="rId557" Type="http://schemas.openxmlformats.org/officeDocument/2006/relationships/image" Target="media/image543.png"/><Relationship Id="rId558" Type="http://schemas.openxmlformats.org/officeDocument/2006/relationships/image" Target="media/image544.png"/><Relationship Id="rId559" Type="http://schemas.openxmlformats.org/officeDocument/2006/relationships/image" Target="media/image545.png"/><Relationship Id="rId560" Type="http://schemas.openxmlformats.org/officeDocument/2006/relationships/image" Target="media/image546.png"/><Relationship Id="rId561" Type="http://schemas.openxmlformats.org/officeDocument/2006/relationships/image" Target="media/image547.png"/><Relationship Id="rId562" Type="http://schemas.openxmlformats.org/officeDocument/2006/relationships/image" Target="media/image548.png"/><Relationship Id="rId563" Type="http://schemas.openxmlformats.org/officeDocument/2006/relationships/image" Target="media/image549.png"/><Relationship Id="rId564" Type="http://schemas.openxmlformats.org/officeDocument/2006/relationships/image" Target="media/image550.png"/><Relationship Id="rId565" Type="http://schemas.openxmlformats.org/officeDocument/2006/relationships/image" Target="media/image551.png"/><Relationship Id="rId566" Type="http://schemas.openxmlformats.org/officeDocument/2006/relationships/image" Target="media/image552.png"/><Relationship Id="rId567" Type="http://schemas.openxmlformats.org/officeDocument/2006/relationships/image" Target="media/image553.png"/><Relationship Id="rId568" Type="http://schemas.openxmlformats.org/officeDocument/2006/relationships/image" Target="media/image554.png"/><Relationship Id="rId569" Type="http://schemas.openxmlformats.org/officeDocument/2006/relationships/image" Target="media/image555.png"/><Relationship Id="rId570" Type="http://schemas.openxmlformats.org/officeDocument/2006/relationships/image" Target="media/image556.png"/><Relationship Id="rId571" Type="http://schemas.openxmlformats.org/officeDocument/2006/relationships/image" Target="media/image557.png"/><Relationship Id="rId572" Type="http://schemas.openxmlformats.org/officeDocument/2006/relationships/image" Target="media/image558.png"/><Relationship Id="rId573" Type="http://schemas.openxmlformats.org/officeDocument/2006/relationships/image" Target="media/image559.png"/><Relationship Id="rId574" Type="http://schemas.openxmlformats.org/officeDocument/2006/relationships/image" Target="media/image560.png"/><Relationship Id="rId575" Type="http://schemas.openxmlformats.org/officeDocument/2006/relationships/image" Target="media/image561.png"/><Relationship Id="rId576" Type="http://schemas.openxmlformats.org/officeDocument/2006/relationships/image" Target="media/image562.png"/><Relationship Id="rId577" Type="http://schemas.openxmlformats.org/officeDocument/2006/relationships/image" Target="media/image563.png"/><Relationship Id="rId578" Type="http://schemas.openxmlformats.org/officeDocument/2006/relationships/image" Target="media/image564.png"/><Relationship Id="rId579" Type="http://schemas.openxmlformats.org/officeDocument/2006/relationships/image" Target="media/image565.png"/><Relationship Id="rId580" Type="http://schemas.openxmlformats.org/officeDocument/2006/relationships/image" Target="media/image566.png"/><Relationship Id="rId581" Type="http://schemas.openxmlformats.org/officeDocument/2006/relationships/image" Target="media/image567.png"/><Relationship Id="rId582" Type="http://schemas.openxmlformats.org/officeDocument/2006/relationships/image" Target="media/image568.png"/><Relationship Id="rId583" Type="http://schemas.openxmlformats.org/officeDocument/2006/relationships/image" Target="media/image569.png"/><Relationship Id="rId584" Type="http://schemas.openxmlformats.org/officeDocument/2006/relationships/image" Target="media/image570.png"/><Relationship Id="rId585" Type="http://schemas.openxmlformats.org/officeDocument/2006/relationships/image" Target="media/image571.png"/><Relationship Id="rId586" Type="http://schemas.openxmlformats.org/officeDocument/2006/relationships/image" Target="media/image572.png"/><Relationship Id="rId587" Type="http://schemas.openxmlformats.org/officeDocument/2006/relationships/image" Target="media/image573.png"/><Relationship Id="rId588" Type="http://schemas.openxmlformats.org/officeDocument/2006/relationships/image" Target="media/image574.png"/><Relationship Id="rId589" Type="http://schemas.openxmlformats.org/officeDocument/2006/relationships/image" Target="media/image575.png"/><Relationship Id="rId590" Type="http://schemas.openxmlformats.org/officeDocument/2006/relationships/image" Target="media/image576.png"/><Relationship Id="rId591" Type="http://schemas.openxmlformats.org/officeDocument/2006/relationships/image" Target="media/image577.png"/><Relationship Id="rId592" Type="http://schemas.openxmlformats.org/officeDocument/2006/relationships/image" Target="media/image578.png"/><Relationship Id="rId593" Type="http://schemas.openxmlformats.org/officeDocument/2006/relationships/image" Target="media/image579.jpeg"/><Relationship Id="rId594" Type="http://schemas.openxmlformats.org/officeDocument/2006/relationships/image" Target="media/image580.png"/><Relationship Id="rId595" Type="http://schemas.openxmlformats.org/officeDocument/2006/relationships/image" Target="media/image581.png"/><Relationship Id="rId596" Type="http://schemas.openxmlformats.org/officeDocument/2006/relationships/image" Target="media/image582.png"/><Relationship Id="rId597" Type="http://schemas.openxmlformats.org/officeDocument/2006/relationships/image" Target="media/image583.png"/><Relationship Id="rId598" Type="http://schemas.openxmlformats.org/officeDocument/2006/relationships/image" Target="media/image584.png"/><Relationship Id="rId599" Type="http://schemas.openxmlformats.org/officeDocument/2006/relationships/image" Target="media/image585.png"/><Relationship Id="rId600" Type="http://schemas.openxmlformats.org/officeDocument/2006/relationships/image" Target="media/image586.png"/><Relationship Id="rId601" Type="http://schemas.openxmlformats.org/officeDocument/2006/relationships/image" Target="media/image587.png"/><Relationship Id="rId602" Type="http://schemas.openxmlformats.org/officeDocument/2006/relationships/image" Target="media/image588.png"/><Relationship Id="rId603" Type="http://schemas.openxmlformats.org/officeDocument/2006/relationships/image" Target="media/image589.png"/><Relationship Id="rId604" Type="http://schemas.openxmlformats.org/officeDocument/2006/relationships/image" Target="media/image590.png"/><Relationship Id="rId605" Type="http://schemas.openxmlformats.org/officeDocument/2006/relationships/image" Target="media/image591.png"/><Relationship Id="rId606" Type="http://schemas.openxmlformats.org/officeDocument/2006/relationships/image" Target="media/image592.png"/><Relationship Id="rId607" Type="http://schemas.openxmlformats.org/officeDocument/2006/relationships/image" Target="media/image593.png"/><Relationship Id="rId608" Type="http://schemas.openxmlformats.org/officeDocument/2006/relationships/image" Target="media/image594.png"/><Relationship Id="rId609" Type="http://schemas.openxmlformats.org/officeDocument/2006/relationships/image" Target="media/image595.png"/><Relationship Id="rId610" Type="http://schemas.openxmlformats.org/officeDocument/2006/relationships/image" Target="media/image596.png"/><Relationship Id="rId611" Type="http://schemas.openxmlformats.org/officeDocument/2006/relationships/image" Target="media/image597.png"/><Relationship Id="rId612" Type="http://schemas.openxmlformats.org/officeDocument/2006/relationships/image" Target="media/image598.png"/><Relationship Id="rId613" Type="http://schemas.openxmlformats.org/officeDocument/2006/relationships/image" Target="media/image599.png"/><Relationship Id="rId614" Type="http://schemas.openxmlformats.org/officeDocument/2006/relationships/image" Target="media/image600.png"/><Relationship Id="rId615" Type="http://schemas.openxmlformats.org/officeDocument/2006/relationships/image" Target="media/image601.png"/><Relationship Id="rId616" Type="http://schemas.openxmlformats.org/officeDocument/2006/relationships/image" Target="media/image602.png"/><Relationship Id="rId617" Type="http://schemas.openxmlformats.org/officeDocument/2006/relationships/image" Target="media/image603.png"/><Relationship Id="rId618" Type="http://schemas.openxmlformats.org/officeDocument/2006/relationships/image" Target="media/image604.png"/><Relationship Id="rId619" Type="http://schemas.openxmlformats.org/officeDocument/2006/relationships/image" Target="media/image605.png"/><Relationship Id="rId620" Type="http://schemas.openxmlformats.org/officeDocument/2006/relationships/image" Target="media/image606.png"/><Relationship Id="rId621" Type="http://schemas.openxmlformats.org/officeDocument/2006/relationships/image" Target="media/image607.png"/><Relationship Id="rId622" Type="http://schemas.openxmlformats.org/officeDocument/2006/relationships/image" Target="media/image608.png"/><Relationship Id="rId623" Type="http://schemas.openxmlformats.org/officeDocument/2006/relationships/image" Target="media/image609.png"/><Relationship Id="rId624" Type="http://schemas.openxmlformats.org/officeDocument/2006/relationships/image" Target="media/image610.png"/><Relationship Id="rId625" Type="http://schemas.openxmlformats.org/officeDocument/2006/relationships/image" Target="media/image611.png"/><Relationship Id="rId626" Type="http://schemas.openxmlformats.org/officeDocument/2006/relationships/image" Target="media/image612.png"/><Relationship Id="rId627" Type="http://schemas.openxmlformats.org/officeDocument/2006/relationships/image" Target="media/image613.png"/><Relationship Id="rId628" Type="http://schemas.openxmlformats.org/officeDocument/2006/relationships/image" Target="media/image614.png"/><Relationship Id="rId629" Type="http://schemas.openxmlformats.org/officeDocument/2006/relationships/image" Target="media/image615.png"/><Relationship Id="rId630" Type="http://schemas.openxmlformats.org/officeDocument/2006/relationships/image" Target="media/image616.png"/><Relationship Id="rId631" Type="http://schemas.openxmlformats.org/officeDocument/2006/relationships/image" Target="media/image617.png"/><Relationship Id="rId632" Type="http://schemas.openxmlformats.org/officeDocument/2006/relationships/image" Target="media/image618.png"/><Relationship Id="rId633" Type="http://schemas.openxmlformats.org/officeDocument/2006/relationships/image" Target="media/image619.png"/><Relationship Id="rId634" Type="http://schemas.openxmlformats.org/officeDocument/2006/relationships/image" Target="media/image620.png"/><Relationship Id="rId635" Type="http://schemas.openxmlformats.org/officeDocument/2006/relationships/image" Target="media/image621.png"/><Relationship Id="rId636" Type="http://schemas.openxmlformats.org/officeDocument/2006/relationships/image" Target="media/image622.jpeg"/><Relationship Id="rId637" Type="http://schemas.openxmlformats.org/officeDocument/2006/relationships/image" Target="media/image623.png"/><Relationship Id="rId638" Type="http://schemas.openxmlformats.org/officeDocument/2006/relationships/image" Target="media/image624.png"/><Relationship Id="rId639" Type="http://schemas.openxmlformats.org/officeDocument/2006/relationships/image" Target="media/image625.png"/><Relationship Id="rId640" Type="http://schemas.openxmlformats.org/officeDocument/2006/relationships/image" Target="media/image626.png"/><Relationship Id="rId641" Type="http://schemas.openxmlformats.org/officeDocument/2006/relationships/image" Target="media/image627.png"/><Relationship Id="rId642" Type="http://schemas.openxmlformats.org/officeDocument/2006/relationships/image" Target="media/image628.png"/><Relationship Id="rId643" Type="http://schemas.openxmlformats.org/officeDocument/2006/relationships/image" Target="media/image629.png"/><Relationship Id="rId644" Type="http://schemas.openxmlformats.org/officeDocument/2006/relationships/image" Target="media/image630.png"/><Relationship Id="rId645" Type="http://schemas.openxmlformats.org/officeDocument/2006/relationships/image" Target="media/image631.png"/><Relationship Id="rId646" Type="http://schemas.openxmlformats.org/officeDocument/2006/relationships/image" Target="media/image632.png"/><Relationship Id="rId647" Type="http://schemas.openxmlformats.org/officeDocument/2006/relationships/image" Target="media/image633.png"/><Relationship Id="rId648" Type="http://schemas.openxmlformats.org/officeDocument/2006/relationships/image" Target="media/image634.png"/><Relationship Id="rId649" Type="http://schemas.openxmlformats.org/officeDocument/2006/relationships/image" Target="media/image635.png"/><Relationship Id="rId650" Type="http://schemas.openxmlformats.org/officeDocument/2006/relationships/image" Target="media/image636.png"/><Relationship Id="rId651" Type="http://schemas.openxmlformats.org/officeDocument/2006/relationships/image" Target="media/image637.png"/><Relationship Id="rId652" Type="http://schemas.openxmlformats.org/officeDocument/2006/relationships/image" Target="media/image638.png"/><Relationship Id="rId653" Type="http://schemas.openxmlformats.org/officeDocument/2006/relationships/image" Target="media/image639.png"/><Relationship Id="rId654" Type="http://schemas.openxmlformats.org/officeDocument/2006/relationships/image" Target="media/image640.png"/><Relationship Id="rId655" Type="http://schemas.openxmlformats.org/officeDocument/2006/relationships/image" Target="media/image641.png"/><Relationship Id="rId656" Type="http://schemas.openxmlformats.org/officeDocument/2006/relationships/image" Target="media/image642.png"/><Relationship Id="rId657" Type="http://schemas.openxmlformats.org/officeDocument/2006/relationships/image" Target="media/image643.png"/><Relationship Id="rId658" Type="http://schemas.openxmlformats.org/officeDocument/2006/relationships/image" Target="media/image644.png"/><Relationship Id="rId659" Type="http://schemas.openxmlformats.org/officeDocument/2006/relationships/image" Target="media/image645.png"/><Relationship Id="rId660" Type="http://schemas.openxmlformats.org/officeDocument/2006/relationships/image" Target="media/image646.png"/><Relationship Id="rId661" Type="http://schemas.openxmlformats.org/officeDocument/2006/relationships/image" Target="media/image647.png"/><Relationship Id="rId662" Type="http://schemas.openxmlformats.org/officeDocument/2006/relationships/image" Target="media/image648.png"/><Relationship Id="rId663" Type="http://schemas.openxmlformats.org/officeDocument/2006/relationships/image" Target="media/image649.png"/><Relationship Id="rId664" Type="http://schemas.openxmlformats.org/officeDocument/2006/relationships/image" Target="media/image650.png"/><Relationship Id="rId665" Type="http://schemas.openxmlformats.org/officeDocument/2006/relationships/image" Target="media/image651.png"/><Relationship Id="rId666" Type="http://schemas.openxmlformats.org/officeDocument/2006/relationships/image" Target="media/image652.png"/><Relationship Id="rId667" Type="http://schemas.openxmlformats.org/officeDocument/2006/relationships/image" Target="media/image653.png"/><Relationship Id="rId668" Type="http://schemas.openxmlformats.org/officeDocument/2006/relationships/image" Target="media/image654.png"/><Relationship Id="rId669" Type="http://schemas.openxmlformats.org/officeDocument/2006/relationships/image" Target="media/image655.png"/><Relationship Id="rId670" Type="http://schemas.openxmlformats.org/officeDocument/2006/relationships/image" Target="media/image656.png"/><Relationship Id="rId671" Type="http://schemas.openxmlformats.org/officeDocument/2006/relationships/image" Target="media/image657.png"/><Relationship Id="rId672" Type="http://schemas.openxmlformats.org/officeDocument/2006/relationships/image" Target="media/image658.png"/><Relationship Id="rId673" Type="http://schemas.openxmlformats.org/officeDocument/2006/relationships/image" Target="media/image659.png"/><Relationship Id="rId674" Type="http://schemas.openxmlformats.org/officeDocument/2006/relationships/image" Target="media/image660.png"/><Relationship Id="rId675" Type="http://schemas.openxmlformats.org/officeDocument/2006/relationships/image" Target="media/image661.png"/><Relationship Id="rId676" Type="http://schemas.openxmlformats.org/officeDocument/2006/relationships/image" Target="media/image662.png"/><Relationship Id="rId677" Type="http://schemas.openxmlformats.org/officeDocument/2006/relationships/image" Target="media/image663.png"/><Relationship Id="rId678" Type="http://schemas.openxmlformats.org/officeDocument/2006/relationships/image" Target="media/image664.png"/><Relationship Id="rId679" Type="http://schemas.openxmlformats.org/officeDocument/2006/relationships/image" Target="media/image665.png"/><Relationship Id="rId680" Type="http://schemas.openxmlformats.org/officeDocument/2006/relationships/image" Target="media/image666.png"/><Relationship Id="rId681" Type="http://schemas.openxmlformats.org/officeDocument/2006/relationships/image" Target="media/image667.png"/><Relationship Id="rId682" Type="http://schemas.openxmlformats.org/officeDocument/2006/relationships/image" Target="media/image668.png"/><Relationship Id="rId683" Type="http://schemas.openxmlformats.org/officeDocument/2006/relationships/image" Target="media/image669.png"/><Relationship Id="rId684" Type="http://schemas.openxmlformats.org/officeDocument/2006/relationships/image" Target="media/image670.png"/><Relationship Id="rId685" Type="http://schemas.openxmlformats.org/officeDocument/2006/relationships/image" Target="media/image671.png"/><Relationship Id="rId686" Type="http://schemas.openxmlformats.org/officeDocument/2006/relationships/image" Target="media/image672.png"/><Relationship Id="rId687" Type="http://schemas.openxmlformats.org/officeDocument/2006/relationships/image" Target="media/image673.png"/><Relationship Id="rId688" Type="http://schemas.openxmlformats.org/officeDocument/2006/relationships/image" Target="media/image674.png"/><Relationship Id="rId689" Type="http://schemas.openxmlformats.org/officeDocument/2006/relationships/image" Target="media/image675.png"/><Relationship Id="rId690" Type="http://schemas.openxmlformats.org/officeDocument/2006/relationships/image" Target="media/image676.png"/><Relationship Id="rId691" Type="http://schemas.openxmlformats.org/officeDocument/2006/relationships/image" Target="media/image677.png"/><Relationship Id="rId692" Type="http://schemas.openxmlformats.org/officeDocument/2006/relationships/image" Target="media/image678.png"/><Relationship Id="rId693" Type="http://schemas.openxmlformats.org/officeDocument/2006/relationships/image" Target="media/image679.png"/><Relationship Id="rId694" Type="http://schemas.openxmlformats.org/officeDocument/2006/relationships/image" Target="media/image680.png"/><Relationship Id="rId695" Type="http://schemas.openxmlformats.org/officeDocument/2006/relationships/image" Target="media/image681.png"/><Relationship Id="rId696" Type="http://schemas.openxmlformats.org/officeDocument/2006/relationships/image" Target="media/image682.png"/><Relationship Id="rId697" Type="http://schemas.openxmlformats.org/officeDocument/2006/relationships/image" Target="media/image683.png"/><Relationship Id="rId698" Type="http://schemas.openxmlformats.org/officeDocument/2006/relationships/image" Target="media/image684.jpeg"/><Relationship Id="rId699" Type="http://schemas.openxmlformats.org/officeDocument/2006/relationships/image" Target="media/image685.png"/><Relationship Id="rId700" Type="http://schemas.openxmlformats.org/officeDocument/2006/relationships/image" Target="media/image686.png"/><Relationship Id="rId701" Type="http://schemas.openxmlformats.org/officeDocument/2006/relationships/image" Target="media/image687.png"/><Relationship Id="rId702" Type="http://schemas.openxmlformats.org/officeDocument/2006/relationships/image" Target="media/image688.png"/><Relationship Id="rId703" Type="http://schemas.openxmlformats.org/officeDocument/2006/relationships/image" Target="media/image689.png"/><Relationship Id="rId704" Type="http://schemas.openxmlformats.org/officeDocument/2006/relationships/image" Target="media/image690.png"/><Relationship Id="rId705" Type="http://schemas.openxmlformats.org/officeDocument/2006/relationships/image" Target="media/image691.png"/><Relationship Id="rId706" Type="http://schemas.openxmlformats.org/officeDocument/2006/relationships/image" Target="media/image692.png"/><Relationship Id="rId707" Type="http://schemas.openxmlformats.org/officeDocument/2006/relationships/image" Target="media/image693.png"/><Relationship Id="rId708" Type="http://schemas.openxmlformats.org/officeDocument/2006/relationships/image" Target="media/image694.png"/><Relationship Id="rId709" Type="http://schemas.openxmlformats.org/officeDocument/2006/relationships/image" Target="media/image695.png"/><Relationship Id="rId710" Type="http://schemas.openxmlformats.org/officeDocument/2006/relationships/image" Target="media/image696.png"/><Relationship Id="rId711" Type="http://schemas.openxmlformats.org/officeDocument/2006/relationships/image" Target="media/image697.png"/><Relationship Id="rId712" Type="http://schemas.openxmlformats.org/officeDocument/2006/relationships/image" Target="media/image698.jpeg"/><Relationship Id="rId713" Type="http://schemas.openxmlformats.org/officeDocument/2006/relationships/image" Target="media/image699.png"/><Relationship Id="rId714" Type="http://schemas.openxmlformats.org/officeDocument/2006/relationships/image" Target="media/image700.png"/><Relationship Id="rId715" Type="http://schemas.openxmlformats.org/officeDocument/2006/relationships/image" Target="media/image701.jpeg"/><Relationship Id="rId716" Type="http://schemas.openxmlformats.org/officeDocument/2006/relationships/image" Target="media/image702.png"/><Relationship Id="rId717" Type="http://schemas.openxmlformats.org/officeDocument/2006/relationships/image" Target="media/image703.png"/><Relationship Id="rId718" Type="http://schemas.openxmlformats.org/officeDocument/2006/relationships/image" Target="media/image704.png"/><Relationship Id="rId719" Type="http://schemas.openxmlformats.org/officeDocument/2006/relationships/image" Target="media/image705.png"/><Relationship Id="rId720" Type="http://schemas.openxmlformats.org/officeDocument/2006/relationships/image" Target="media/image706.png"/><Relationship Id="rId721" Type="http://schemas.openxmlformats.org/officeDocument/2006/relationships/image" Target="media/image707.png"/><Relationship Id="rId722" Type="http://schemas.openxmlformats.org/officeDocument/2006/relationships/image" Target="media/image708.png"/><Relationship Id="rId723" Type="http://schemas.openxmlformats.org/officeDocument/2006/relationships/image" Target="media/image709.png"/><Relationship Id="rId724" Type="http://schemas.openxmlformats.org/officeDocument/2006/relationships/image" Target="media/image710.png"/><Relationship Id="rId725" Type="http://schemas.openxmlformats.org/officeDocument/2006/relationships/image" Target="media/image711.png"/><Relationship Id="rId726" Type="http://schemas.openxmlformats.org/officeDocument/2006/relationships/image" Target="media/image712.png"/><Relationship Id="rId727" Type="http://schemas.openxmlformats.org/officeDocument/2006/relationships/image" Target="media/image713.png"/><Relationship Id="rId728" Type="http://schemas.openxmlformats.org/officeDocument/2006/relationships/image" Target="media/image714.png"/><Relationship Id="rId729" Type="http://schemas.openxmlformats.org/officeDocument/2006/relationships/image" Target="media/image715.png"/><Relationship Id="rId730" Type="http://schemas.openxmlformats.org/officeDocument/2006/relationships/image" Target="media/image716.png"/><Relationship Id="rId731" Type="http://schemas.openxmlformats.org/officeDocument/2006/relationships/image" Target="media/image717.png"/><Relationship Id="rId732" Type="http://schemas.openxmlformats.org/officeDocument/2006/relationships/image" Target="media/image718.png"/><Relationship Id="rId733" Type="http://schemas.openxmlformats.org/officeDocument/2006/relationships/image" Target="media/image719.png"/><Relationship Id="rId734" Type="http://schemas.openxmlformats.org/officeDocument/2006/relationships/image" Target="media/image720.png"/><Relationship Id="rId735" Type="http://schemas.openxmlformats.org/officeDocument/2006/relationships/image" Target="media/image721.png"/><Relationship Id="rId736" Type="http://schemas.openxmlformats.org/officeDocument/2006/relationships/image" Target="media/image722.png"/><Relationship Id="rId737" Type="http://schemas.openxmlformats.org/officeDocument/2006/relationships/image" Target="media/image723.png"/><Relationship Id="rId738" Type="http://schemas.openxmlformats.org/officeDocument/2006/relationships/image" Target="media/image724.png"/><Relationship Id="rId739" Type="http://schemas.openxmlformats.org/officeDocument/2006/relationships/image" Target="media/image725.png"/><Relationship Id="rId740" Type="http://schemas.openxmlformats.org/officeDocument/2006/relationships/image" Target="media/image726.png"/><Relationship Id="rId741" Type="http://schemas.openxmlformats.org/officeDocument/2006/relationships/image" Target="media/image727.png"/><Relationship Id="rId742" Type="http://schemas.openxmlformats.org/officeDocument/2006/relationships/image" Target="media/image728.png"/><Relationship Id="rId743" Type="http://schemas.openxmlformats.org/officeDocument/2006/relationships/image" Target="media/image729.png"/><Relationship Id="rId744" Type="http://schemas.openxmlformats.org/officeDocument/2006/relationships/image" Target="media/image730.png"/><Relationship Id="rId745" Type="http://schemas.openxmlformats.org/officeDocument/2006/relationships/image" Target="media/image731.png"/><Relationship Id="rId746" Type="http://schemas.openxmlformats.org/officeDocument/2006/relationships/image" Target="media/image732.png"/><Relationship Id="rId747" Type="http://schemas.openxmlformats.org/officeDocument/2006/relationships/image" Target="media/image733.png"/><Relationship Id="rId748" Type="http://schemas.openxmlformats.org/officeDocument/2006/relationships/image" Target="media/image734.png"/><Relationship Id="rId749" Type="http://schemas.openxmlformats.org/officeDocument/2006/relationships/image" Target="media/image735.png"/><Relationship Id="rId750" Type="http://schemas.openxmlformats.org/officeDocument/2006/relationships/image" Target="media/image736.png"/><Relationship Id="rId751" Type="http://schemas.openxmlformats.org/officeDocument/2006/relationships/image" Target="media/image737.png"/><Relationship Id="rId752" Type="http://schemas.openxmlformats.org/officeDocument/2006/relationships/image" Target="media/image738.png"/><Relationship Id="rId753" Type="http://schemas.openxmlformats.org/officeDocument/2006/relationships/image" Target="media/image739.png"/><Relationship Id="rId24" Type="http://schemas.openxmlformats.org/officeDocument/2006/relationships/hyperlink" Target="http://www.sec.gov/Archives/edgar/data/39092/000143774916043636/ex3-1.htm" TargetMode="External"/><Relationship Id="rId25" Type="http://schemas.openxmlformats.org/officeDocument/2006/relationships/hyperlink" Target="http://www.sec.gov/Archives/edgar/data/39092/000143774921027176/ex_309205.htm" TargetMode="External"/><Relationship Id="rId26" Type="http://schemas.openxmlformats.org/officeDocument/2006/relationships/hyperlink" Target="http://www.sec.gov/Archives/edgar/data/39092/000143774916043636/ex4-2.htm" TargetMode="External"/><Relationship Id="rId27" Type="http://schemas.openxmlformats.org/officeDocument/2006/relationships/hyperlink" Target="http://www.sec.gov/Archives/edgar/data/39092/000143774916043636/ex4-3.htm" TargetMode="External"/><Relationship Id="rId28" Type="http://schemas.openxmlformats.org/officeDocument/2006/relationships/hyperlink" Target="http://www.sec.gov/Archives/edgar/data/39092/000143774919014733/frd20190725_def14a.htm" TargetMode="External"/><Relationship Id="rId29" Type="http://schemas.openxmlformats.org/officeDocument/2006/relationships/hyperlink" Target="http://www.sec.gov/Archives/edgar/data/39092/000143774921016577/ex_259622.htm" TargetMode="External"/><Relationship Id="rId30" Type="http://schemas.openxmlformats.org/officeDocument/2006/relationships/hyperlink" Target="http://www.sec.gov/Archives/edgar/data/39092/000143774921016577/ex_2596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2022-08-02T15:38:52Z</dcterms:created>
  <dcterms:modified xsi:type="dcterms:W3CDTF">2022-08-02T15:38:52Z</dcterms:modified>
</cp:coreProperties>
</file>