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rd20260630_10q.htm"/>
      <w:bookmarkStart w:id="1" w:name="ksfrd2026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UNITED STATES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SECURITIES AND EXCHANGE COMMISSION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150" w:type="dxa"/>
        <w:jc w:val="left"/>
        <w:tblInd w:w="0" w:type="dxa"/>
        <w:tblLayout w:type="fixed"/>
        <w:tblCellMar>
          <w:top w:w="0" w:type="dxa"/>
          <w:left w:w="0" w:type="dxa"/>
          <w:bottom w:w="0" w:type="dxa"/>
          <w:right w:w="0" w:type="dxa"/>
        </w:tblCellMar>
      </w:tblPr>
      <w:tblGrid>
        <w:gridCol w:w="230"/>
        <w:gridCol w:w="9920"/>
      </w:tblGrid>
      <w:tr>
        <w:trPr/>
        <w:tc>
          <w:tcPr>
            <w:tcW w:w="230" w:type="dxa"/>
            <w:tcBorders/>
            <w:vAlign w:val="center"/>
          </w:tcPr>
          <w:p>
            <w:pPr>
              <w:pStyle w:val="TableContents"/>
              <w:bidi w:val="0"/>
              <w:spacing w:before="0" w:after="0"/>
              <w:ind w:left="0" w:right="0" w:hanging="0"/>
              <w:jc w:val="left"/>
              <w:rPr/>
            </w:pPr>
            <w:r>
              <w:rPr/>
              <w:t>☒</w:t>
            </w:r>
          </w:p>
        </w:tc>
        <w:tc>
          <w:tcPr>
            <w:tcW w:w="99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w:t>
      </w:r>
      <w:r>
        <w:rPr>
          <w:rFonts w:ascii="Times New Roman;Times;serif" w:hAnsi="Times New Roman;Times;serif"/>
          <w:sz w:val="20"/>
        </w:rPr>
        <w:t xml:space="preserve"> </w:t>
      </w:r>
      <w:r>
        <w:rPr>
          <w:rFonts w:ascii="Times New Roman;Times;serif" w:hAnsi="Times New Roman;Times;serif"/>
          <w:b/>
          <w:sz w:val="20"/>
        </w:rPr>
        <w:t>June 30, 2026</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OR </w:t>
      </w:r>
    </w:p>
    <w:p>
      <w:pPr>
        <w:pStyle w:val="TextBody"/>
        <w:bidi w:val="0"/>
        <w:spacing w:before="0" w:after="0"/>
        <w:ind w:left="0" w:right="0" w:hanging="0"/>
        <w:jc w:val="left"/>
        <w:rPr/>
      </w:pPr>
      <w:r>
        <w:rPr/>
        <w:t> </w:t>
      </w:r>
    </w:p>
    <w:tbl>
      <w:tblPr>
        <w:tblW w:w="10135" w:type="dxa"/>
        <w:jc w:val="left"/>
        <w:tblInd w:w="0" w:type="dxa"/>
        <w:tblLayout w:type="fixed"/>
        <w:tblCellMar>
          <w:top w:w="0" w:type="dxa"/>
          <w:left w:w="0" w:type="dxa"/>
          <w:bottom w:w="0" w:type="dxa"/>
          <w:right w:w="0" w:type="dxa"/>
        </w:tblCellMar>
      </w:tblPr>
      <w:tblGrid>
        <w:gridCol w:w="230"/>
        <w:gridCol w:w="9905"/>
      </w:tblGrid>
      <w:tr>
        <w:trPr/>
        <w:tc>
          <w:tcPr>
            <w:tcW w:w="230" w:type="dxa"/>
            <w:tcBorders/>
            <w:vAlign w:val="center"/>
          </w:tcPr>
          <w:p>
            <w:pPr>
              <w:pStyle w:val="TableContents"/>
              <w:bidi w:val="0"/>
              <w:spacing w:before="0" w:after="0"/>
              <w:ind w:left="0" w:right="0" w:hanging="0"/>
              <w:jc w:val="left"/>
              <w:rPr/>
            </w:pPr>
            <w:r>
              <w:rPr/>
              <w:t>☐</w:t>
            </w:r>
          </w:p>
        </w:tc>
        <w:tc>
          <w:tcPr>
            <w:tcW w:w="9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TRANSITION REPORT PURSUANT TO SECTION 13 OR 15(d) OF THE SECURITIES EXCHANGE ACT OF 1934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FROM THE TRANSITION PERIOD FROM </w:t>
      </w:r>
      <w:r>
        <w:rPr>
          <w:rFonts w:ascii="Times New Roman;Times;serif" w:hAnsi="Times New Roman;Times;serif"/>
          <w:sz w:val="20"/>
          <w:u w:val="single"/>
        </w:rPr>
        <w:t>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u w:val="single"/>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COMMISSION FILE NUMBER 1-7521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 xml:space="preserve">FRIEDMAN INDUSTRIES, INCORPORATED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600" w:type="dxa"/>
        <w:jc w:val="left"/>
        <w:tblInd w:w="0" w:type="dxa"/>
        <w:tblLayout w:type="fixed"/>
        <w:tblCellMar>
          <w:top w:w="0" w:type="dxa"/>
          <w:left w:w="0" w:type="dxa"/>
          <w:bottom w:w="0" w:type="dxa"/>
          <w:right w:w="0" w:type="dxa"/>
        </w:tblCellMar>
      </w:tblPr>
      <w:tblGrid>
        <w:gridCol w:w="2645"/>
        <w:gridCol w:w="1955"/>
      </w:tblGrid>
      <w:tr>
        <w:trPr/>
        <w:tc>
          <w:tcPr>
            <w:tcW w:w="26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Texas</w:t>
            </w:r>
          </w:p>
        </w:tc>
        <w:tc>
          <w:tcPr>
            <w:tcW w:w="19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74-1504405</w:t>
            </w:r>
          </w:p>
        </w:tc>
      </w:tr>
      <w:tr>
        <w:trPr/>
        <w:tc>
          <w:tcPr>
            <w:tcW w:w="26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19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Number)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1121 Judson Road, Suite 124, Longview, Texas 75601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(Address of principal executive offices) (Zip Code)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(903)758-3431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Former name, former address and former fiscal year,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 </w:t>
      </w:r>
    </w:p>
    <w:tbl>
      <w:tblPr>
        <w:tblW w:w="6330" w:type="dxa"/>
        <w:jc w:val="left"/>
        <w:tblInd w:w="0" w:type="dxa"/>
        <w:tblLayout w:type="fixed"/>
        <w:tblCellMar>
          <w:top w:w="0" w:type="dxa"/>
          <w:left w:w="0" w:type="dxa"/>
          <w:bottom w:w="28" w:type="dxa"/>
          <w:right w:w="0" w:type="dxa"/>
        </w:tblCellMar>
      </w:tblPr>
      <w:tblGrid>
        <w:gridCol w:w="2405"/>
        <w:gridCol w:w="60"/>
        <w:gridCol w:w="1415"/>
        <w:gridCol w:w="60"/>
        <w:gridCol w:w="2390"/>
      </w:tblGrid>
      <w:tr>
        <w:trPr/>
        <w:tc>
          <w:tcPr>
            <w:tcW w:w="24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24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FRD</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0"/>
              <w:ind w:left="0" w:right="0" w:hanging="0"/>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(Check one):    Yes  ☐    No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At</w:t>
      </w:r>
      <w:r>
        <w:rPr>
          <w:rFonts w:ascii="Times New Roman;Times;serif" w:hAnsi="Times New Roman;Times;serif"/>
          <w:sz w:val="20"/>
        </w:rPr>
        <w:t> August 6, 2026, the number of shares outstanding of the issuer’s only class of stock was 7,212,791 shares of Common Stock.</w:t>
      </w:r>
    </w:p>
    <w:p>
      <w:pPr>
        <w:pStyle w:val="TextBody"/>
        <w:bidi w:val="0"/>
        <w:spacing w:before="0" w:after="0"/>
        <w:ind w:left="0" w:right="0" w:firstLine="49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u w:val="single"/>
        </w:rPr>
      </w:pPr>
      <w:bookmarkStart w:id="2" w:name="toc"/>
      <w:bookmarkEnd w:id="2"/>
      <w:r>
        <w:rPr>
          <w:rFonts w:ascii="Times New Roman;Times;serif" w:hAnsi="Times New Roman;Times;serif"/>
          <w:b/>
          <w:sz w:val="20"/>
          <w:u w:val="single"/>
        </w:rPr>
        <w:t xml:space="preserve">TABLE OF CONTENTS </w:t>
      </w:r>
    </w:p>
    <w:p>
      <w:pPr>
        <w:pStyle w:val="TextBody"/>
        <w:bidi w:val="0"/>
        <w:spacing w:before="0" w:after="0"/>
        <w:ind w:left="0" w:right="0" w:hanging="0"/>
        <w:jc w:val="left"/>
        <w:rPr/>
      </w:pPr>
      <w:r>
        <w:rPr/>
        <w:t> </w:t>
      </w:r>
    </w:p>
    <w:tbl>
      <w:tblPr>
        <w:tblW w:w="8140" w:type="dxa"/>
        <w:jc w:val="left"/>
        <w:tblInd w:w="0" w:type="dxa"/>
        <w:tblLayout w:type="fixed"/>
        <w:tblCellMar>
          <w:top w:w="0" w:type="dxa"/>
          <w:left w:w="0" w:type="dxa"/>
          <w:bottom w:w="0" w:type="dxa"/>
          <w:right w:w="0" w:type="dxa"/>
        </w:tblCellMar>
      </w:tblPr>
      <w:tblGrid>
        <w:gridCol w:w="7880"/>
        <w:gridCol w:w="260"/>
      </w:tblGrid>
      <w:tr>
        <w:trPr/>
        <w:tc>
          <w:tcPr>
            <w:tcW w:w="7880" w:type="dxa"/>
            <w:tcBorders/>
            <w:shd w:fill="CCEEFF" w:val="clear"/>
            <w:vAlign w:val="center"/>
          </w:tcPr>
          <w:p>
            <w:pPr>
              <w:pStyle w:val="TableContents"/>
              <w:bidi w:val="0"/>
              <w:spacing w:before="0" w:after="0"/>
              <w:ind w:left="240" w:right="0" w:hanging="240"/>
              <w:jc w:val="left"/>
              <w:rPr/>
            </w:pPr>
            <w:hyperlink w:anchor="fininfo">
              <w:r>
                <w:rPr>
                  <w:rStyle w:val="InternetLink"/>
                  <w:rFonts w:ascii="Times New Roman;Times;serif" w:hAnsi="Times New Roman;Times;serif"/>
                  <w:sz w:val="20"/>
                </w:rPr>
                <w:t>Part I — FINANCIAL INFORMATION</w:t>
              </w:r>
            </w:hyperlink>
          </w:p>
        </w:tc>
        <w:tc>
          <w:tcPr>
            <w:tcW w:w="260" w:type="dxa"/>
            <w:tcBorders/>
            <w:shd w:fill="CCEEFF" w:val="clear"/>
            <w:vAlign w:val="center"/>
          </w:tcPr>
          <w:p>
            <w:pPr>
              <w:pStyle w:val="TableContents"/>
              <w:bidi w:val="0"/>
              <w:spacing w:before="0" w:after="283"/>
              <w:jc w:val="right"/>
              <w:rPr/>
            </w:pPr>
            <w:hyperlink w:anchor="fininfo">
              <w:r>
                <w:rPr>
                  <w:rStyle w:val="InternetLink"/>
                </w:rPr>
                <w:t>3</w:t>
              </w:r>
            </w:hyperlink>
          </w:p>
        </w:tc>
      </w:tr>
      <w:tr>
        <w:trPr/>
        <w:tc>
          <w:tcPr>
            <w:tcW w:w="7880" w:type="dxa"/>
            <w:tcBorders/>
            <w:shd w:fill="FFFFFF" w:val="clear"/>
            <w:vAlign w:val="center"/>
          </w:tcPr>
          <w:p>
            <w:pPr>
              <w:pStyle w:val="TableContents"/>
              <w:bidi w:val="0"/>
              <w:spacing w:before="0" w:after="0"/>
              <w:ind w:left="720" w:right="0" w:hanging="240"/>
              <w:jc w:val="left"/>
              <w:rPr/>
            </w:pPr>
            <w:hyperlink w:anchor="finstat">
              <w:r>
                <w:rPr>
                  <w:rStyle w:val="InternetLink"/>
                  <w:rFonts w:ascii="Times New Roman;Times;serif" w:hAnsi="Times New Roman;Times;serif"/>
                  <w:sz w:val="20"/>
                </w:rPr>
                <w:t>Item 1. Financial Statements (Unaudited)</w:t>
              </w:r>
            </w:hyperlink>
          </w:p>
        </w:tc>
        <w:tc>
          <w:tcPr>
            <w:tcW w:w="260" w:type="dxa"/>
            <w:tcBorders/>
            <w:shd w:fill="FFFFFF" w:val="clear"/>
            <w:vAlign w:val="center"/>
          </w:tcPr>
          <w:p>
            <w:pPr>
              <w:pStyle w:val="TableContents"/>
              <w:bidi w:val="0"/>
              <w:spacing w:before="0" w:after="283"/>
              <w:jc w:val="right"/>
              <w:rPr/>
            </w:pPr>
            <w:hyperlink w:anchor="finstat">
              <w:r>
                <w:rPr>
                  <w:rStyle w:val="InternetLink"/>
                </w:rPr>
                <w:t>3</w:t>
              </w:r>
            </w:hyperlink>
          </w:p>
        </w:tc>
      </w:tr>
      <w:tr>
        <w:trPr/>
        <w:tc>
          <w:tcPr>
            <w:tcW w:w="7880" w:type="dxa"/>
            <w:tcBorders/>
            <w:shd w:fill="CCEEFF" w:val="clear"/>
            <w:vAlign w:val="center"/>
          </w:tcPr>
          <w:p>
            <w:pPr>
              <w:pStyle w:val="TableContents"/>
              <w:bidi w:val="0"/>
              <w:spacing w:before="0" w:after="0"/>
              <w:ind w:left="720" w:right="0" w:hanging="240"/>
              <w:jc w:val="left"/>
              <w:rPr/>
            </w:pPr>
            <w:hyperlink w:anchor="mgmtdis">
              <w:r>
                <w:rPr>
                  <w:rStyle w:val="InternetLink"/>
                  <w:rFonts w:ascii="Times New Roman;Times;serif" w:hAnsi="Times New Roman;Times;serif"/>
                  <w:sz w:val="20"/>
                </w:rPr>
                <w:t>Item 2. Management’s Discussion and Analysis of Financial Condition and Results of Operations</w:t>
              </w:r>
            </w:hyperlink>
          </w:p>
        </w:tc>
        <w:tc>
          <w:tcPr>
            <w:tcW w:w="260" w:type="dxa"/>
            <w:tcBorders/>
            <w:shd w:fill="CCEEFF" w:val="clear"/>
            <w:vAlign w:val="center"/>
          </w:tcPr>
          <w:p>
            <w:pPr>
              <w:pStyle w:val="TableContents"/>
              <w:bidi w:val="0"/>
              <w:spacing w:before="0" w:after="283"/>
              <w:jc w:val="right"/>
              <w:rPr/>
            </w:pPr>
            <w:hyperlink w:anchor="mgmtdis">
              <w:r>
                <w:rPr>
                  <w:rStyle w:val="InternetLink"/>
                </w:rPr>
                <w:t>15</w:t>
              </w:r>
            </w:hyperlink>
          </w:p>
        </w:tc>
      </w:tr>
      <w:tr>
        <w:trPr/>
        <w:tc>
          <w:tcPr>
            <w:tcW w:w="7880" w:type="dxa"/>
            <w:tcBorders/>
            <w:shd w:fill="FFFFFF" w:val="clear"/>
            <w:vAlign w:val="center"/>
          </w:tcPr>
          <w:p>
            <w:pPr>
              <w:pStyle w:val="TableContents"/>
              <w:bidi w:val="0"/>
              <w:spacing w:before="0" w:after="0"/>
              <w:ind w:left="720" w:right="0" w:hanging="240"/>
              <w:jc w:val="left"/>
              <w:rPr/>
            </w:pPr>
            <w:hyperlink w:anchor="quan">
              <w:r>
                <w:rPr>
                  <w:rStyle w:val="InternetLink"/>
                  <w:rFonts w:ascii="Times New Roman;Times;serif" w:hAnsi="Times New Roman;Times;serif"/>
                  <w:sz w:val="20"/>
                </w:rPr>
                <w:t>Item 3. Quantitative and Qualitative Disclosures About Market Risk</w:t>
              </w:r>
            </w:hyperlink>
          </w:p>
        </w:tc>
        <w:tc>
          <w:tcPr>
            <w:tcW w:w="260" w:type="dxa"/>
            <w:tcBorders/>
            <w:shd w:fill="FFFFFF" w:val="clear"/>
            <w:vAlign w:val="center"/>
          </w:tcPr>
          <w:p>
            <w:pPr>
              <w:pStyle w:val="TableContents"/>
              <w:bidi w:val="0"/>
              <w:spacing w:before="0" w:after="283"/>
              <w:jc w:val="right"/>
              <w:rPr/>
            </w:pPr>
            <w:hyperlink w:anchor="quan">
              <w:r>
                <w:rPr>
                  <w:rStyle w:val="InternetLink"/>
                </w:rPr>
                <w:t>18</w:t>
              </w:r>
            </w:hyperlink>
          </w:p>
        </w:tc>
      </w:tr>
      <w:tr>
        <w:trPr/>
        <w:tc>
          <w:tcPr>
            <w:tcW w:w="7880" w:type="dxa"/>
            <w:tcBorders/>
            <w:shd w:fill="CCEEFF" w:val="clear"/>
            <w:vAlign w:val="center"/>
          </w:tcPr>
          <w:p>
            <w:pPr>
              <w:pStyle w:val="TableContents"/>
              <w:bidi w:val="0"/>
              <w:spacing w:before="0" w:after="0"/>
              <w:ind w:left="720" w:right="0" w:hanging="240"/>
              <w:jc w:val="left"/>
              <w:rPr/>
            </w:pPr>
            <w:hyperlink w:anchor="conpro">
              <w:r>
                <w:rPr>
                  <w:rStyle w:val="InternetLink"/>
                  <w:rFonts w:ascii="Times New Roman;Times;serif" w:hAnsi="Times New Roman;Times;serif"/>
                  <w:sz w:val="20"/>
                </w:rPr>
                <w:t>Item 4. Controls and Procedures</w:t>
              </w:r>
            </w:hyperlink>
          </w:p>
        </w:tc>
        <w:tc>
          <w:tcPr>
            <w:tcW w:w="260" w:type="dxa"/>
            <w:tcBorders/>
            <w:shd w:fill="CCEEFF" w:val="clear"/>
            <w:vAlign w:val="center"/>
          </w:tcPr>
          <w:p>
            <w:pPr>
              <w:pStyle w:val="TableContents"/>
              <w:bidi w:val="0"/>
              <w:spacing w:before="0" w:after="283"/>
              <w:jc w:val="right"/>
              <w:rPr/>
            </w:pPr>
            <w:hyperlink w:anchor="conpro">
              <w:r>
                <w:rPr>
                  <w:rStyle w:val="InternetLink"/>
                </w:rPr>
                <w:t>18</w:t>
              </w:r>
            </w:hyperlink>
          </w:p>
        </w:tc>
      </w:tr>
      <w:tr>
        <w:trPr/>
        <w:tc>
          <w:tcPr>
            <w:tcW w:w="7880" w:type="dxa"/>
            <w:tcBorders/>
            <w:shd w:fill="FFFFFF" w:val="clear"/>
            <w:vAlign w:val="center"/>
          </w:tcPr>
          <w:p>
            <w:pPr>
              <w:pStyle w:val="TableContents"/>
              <w:bidi w:val="0"/>
              <w:spacing w:before="0" w:after="0"/>
              <w:ind w:left="240" w:right="0" w:hanging="240"/>
              <w:jc w:val="left"/>
              <w:rPr/>
            </w:pPr>
            <w:hyperlink w:anchor="ptwo">
              <w:r>
                <w:rPr>
                  <w:rStyle w:val="InternetLink"/>
                  <w:rFonts w:ascii="Times New Roman;Times;serif" w:hAnsi="Times New Roman;Times;serif"/>
                  <w:sz w:val="20"/>
                </w:rPr>
                <w:t>Part II — OTHER INFORMATION</w:t>
              </w:r>
            </w:hyperlink>
          </w:p>
        </w:tc>
        <w:tc>
          <w:tcPr>
            <w:tcW w:w="260" w:type="dxa"/>
            <w:tcBorders/>
            <w:shd w:fill="FFFFFF" w:val="clear"/>
            <w:vAlign w:val="center"/>
          </w:tcPr>
          <w:p>
            <w:pPr>
              <w:pStyle w:val="TableContents"/>
              <w:bidi w:val="0"/>
              <w:spacing w:before="0" w:after="283"/>
              <w:jc w:val="right"/>
              <w:rPr/>
            </w:pPr>
            <w:hyperlink w:anchor="ptwo">
              <w:r>
                <w:rPr>
                  <w:rStyle w:val="InternetLink"/>
                </w:rPr>
                <w:t>19</w:t>
              </w:r>
            </w:hyperlink>
          </w:p>
        </w:tc>
      </w:tr>
      <w:tr>
        <w:trPr/>
        <w:tc>
          <w:tcPr>
            <w:tcW w:w="7880" w:type="dxa"/>
            <w:tcBorders/>
            <w:shd w:fill="CCEEFF" w:val="clear"/>
            <w:vAlign w:val="center"/>
          </w:tcPr>
          <w:p>
            <w:pPr>
              <w:pStyle w:val="TableContents"/>
              <w:bidi w:val="0"/>
              <w:spacing w:before="0" w:after="0"/>
              <w:ind w:left="720" w:right="0" w:hanging="240"/>
              <w:jc w:val="left"/>
              <w:rPr/>
            </w:pPr>
            <w:hyperlink w:anchor="item5">
              <w:r>
                <w:rPr>
                  <w:rStyle w:val="InternetLink"/>
                  <w:rFonts w:ascii="Times New Roman;Times;serif" w:hAnsi="Times New Roman;Times;serif"/>
                  <w:sz w:val="20"/>
                </w:rPr>
                <w:t>Item 5. Other Information</w:t>
              </w:r>
            </w:hyperlink>
          </w:p>
        </w:tc>
        <w:tc>
          <w:tcPr>
            <w:tcW w:w="260" w:type="dxa"/>
            <w:tcBorders/>
            <w:shd w:fill="CCEEFF" w:val="clear"/>
            <w:vAlign w:val="center"/>
          </w:tcPr>
          <w:p>
            <w:pPr>
              <w:pStyle w:val="TableContents"/>
              <w:bidi w:val="0"/>
              <w:spacing w:before="0" w:after="283"/>
              <w:jc w:val="right"/>
              <w:rPr/>
            </w:pPr>
            <w:hyperlink w:anchor="item5">
              <w:r>
                <w:rPr>
                  <w:rStyle w:val="InternetLink"/>
                </w:rPr>
                <w:t>19</w:t>
              </w:r>
            </w:hyperlink>
          </w:p>
        </w:tc>
      </w:tr>
      <w:tr>
        <w:trPr/>
        <w:tc>
          <w:tcPr>
            <w:tcW w:w="7880" w:type="dxa"/>
            <w:tcBorders/>
            <w:shd w:fill="FFFFFF" w:val="clear"/>
            <w:vAlign w:val="center"/>
          </w:tcPr>
          <w:p>
            <w:pPr>
              <w:pStyle w:val="TableContents"/>
              <w:bidi w:val="0"/>
              <w:spacing w:before="0" w:after="0"/>
              <w:ind w:left="720" w:right="0" w:hanging="240"/>
              <w:jc w:val="left"/>
              <w:rPr/>
            </w:pPr>
            <w:hyperlink w:anchor="exes">
              <w:r>
                <w:rPr>
                  <w:rStyle w:val="InternetLink"/>
                  <w:rFonts w:ascii="Times New Roman;Times;serif" w:hAnsi="Times New Roman;Times;serif"/>
                  <w:sz w:val="20"/>
                </w:rPr>
                <w:t>Item 6. Exhibits</w:t>
              </w:r>
            </w:hyperlink>
          </w:p>
        </w:tc>
        <w:tc>
          <w:tcPr>
            <w:tcW w:w="260" w:type="dxa"/>
            <w:tcBorders/>
            <w:shd w:fill="FFFFFF" w:val="clear"/>
            <w:vAlign w:val="center"/>
          </w:tcPr>
          <w:p>
            <w:pPr>
              <w:pStyle w:val="TableContents"/>
              <w:bidi w:val="0"/>
              <w:spacing w:before="0" w:after="283"/>
              <w:jc w:val="right"/>
              <w:rPr/>
            </w:pPr>
            <w:hyperlink w:anchor="exes">
              <w:r>
                <w:rPr>
                  <w:rStyle w:val="InternetLink"/>
                </w:rPr>
                <w:t>19</w:t>
              </w:r>
            </w:hyperlink>
          </w:p>
        </w:tc>
      </w:tr>
      <w:tr>
        <w:trPr/>
        <w:tc>
          <w:tcPr>
            <w:tcW w:w="7880" w:type="dxa"/>
            <w:tcBorders/>
            <w:shd w:fill="CCEEFF" w:val="clear"/>
            <w:vAlign w:val="center"/>
          </w:tcPr>
          <w:p>
            <w:pPr>
              <w:pStyle w:val="TableContents"/>
              <w:bidi w:val="0"/>
              <w:spacing w:before="0" w:after="0"/>
              <w:ind w:left="240" w:right="0" w:hanging="240"/>
              <w:jc w:val="left"/>
              <w:rPr/>
            </w:pPr>
            <w:hyperlink w:anchor="sigs">
              <w:r>
                <w:rPr>
                  <w:rStyle w:val="InternetLink"/>
                  <w:rFonts w:ascii="Times New Roman;Times;serif" w:hAnsi="Times New Roman;Times;serif"/>
                  <w:sz w:val="20"/>
                </w:rPr>
                <w:t>SIGNATURES</w:t>
              </w:r>
            </w:hyperlink>
          </w:p>
        </w:tc>
        <w:tc>
          <w:tcPr>
            <w:tcW w:w="260" w:type="dxa"/>
            <w:tcBorders/>
            <w:shd w:fill="CCEEFF" w:val="clear"/>
            <w:vAlign w:val="center"/>
          </w:tcPr>
          <w:p>
            <w:pPr>
              <w:pStyle w:val="TableContents"/>
              <w:bidi w:val="0"/>
              <w:spacing w:before="0" w:after="283"/>
              <w:jc w:val="right"/>
              <w:rPr/>
            </w:pPr>
            <w:hyperlink w:anchor="sigs">
              <w:r>
                <w:rPr>
                  <w:rStyle w:val="InternetLink"/>
                </w:rPr>
                <w:t>20</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fininfo"/>
      <w:bookmarkEnd w:id="3"/>
      <w:r>
        <w:rPr>
          <w:rFonts w:ascii="Times New Roman;Times;serif" w:hAnsi="Times New Roman;Times;serif"/>
          <w:b/>
          <w:sz w:val="20"/>
        </w:rPr>
        <w:t xml:space="preserve">Part I — FINANCIAL INFORMATION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4" w:name="finstat"/>
      <w:bookmarkEnd w:id="4"/>
      <w:r>
        <w:rPr>
          <w:rFonts w:ascii="Times New Roman;Times;serif" w:hAnsi="Times New Roman;Times;serif"/>
          <w:b/>
          <w:sz w:val="20"/>
        </w:rPr>
        <w:t xml:space="preserve">Item 1. Financial Statements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BALANCE SHEETS — 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97"/>
        <w:gridCol w:w="60"/>
        <w:gridCol w:w="167"/>
        <w:gridCol w:w="930"/>
        <w:gridCol w:w="80"/>
        <w:gridCol w:w="60"/>
        <w:gridCol w:w="187"/>
        <w:gridCol w:w="1042"/>
        <w:gridCol w:w="82"/>
      </w:tblGrid>
      <w:tr>
        <w:trPr/>
        <w:tc>
          <w:tcPr>
            <w:tcW w:w="75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2,450</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allowances for credit losses of $624 and $426 at June 30, and March 31, 2026, respectively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80,174</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172,223</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derivative assets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receivable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257,039</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11,642</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yard improvements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32,667</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65,512</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process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(37,137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73,618</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336,810</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67,169</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payable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compensation and related expenses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8,270</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derivative liability</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76,149</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POSTRETIREMENT BENEFITS OTHER THAN PENSIONS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LIABILITY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6,761</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LEASE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4,097</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SELLER NOTE PAYABLE, NET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CONTINGENT CONSIDERATION LIABILITY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BASED LENDING FACILITY</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92,564</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185,316</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(SEE NOTE 2)</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$1: Authorized shares — 10,000,000; Issued shares — 9,124,805 and 9,019,505 shares at June 30, and March 31, 2026</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35,934</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(shares 1,912,014 and 1,907,323 shares at June 30, and March 31, 2026, respectively)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119,650</w:t>
            </w:r>
          </w:p>
        </w:tc>
        <w:tc>
          <w:tcPr>
            <w:tcW w:w="82" w:type="dxa"/>
            <w:tcBorders/>
            <w:shd w:fill="CCEEFF" w:val="clear"/>
            <w:vAlign w:val="center"/>
          </w:tcPr>
          <w:p>
            <w:pPr>
              <w:pStyle w:val="TableContents"/>
              <w:bidi w:val="0"/>
              <w:spacing w:before="0" w:after="283"/>
              <w:jc w:val="left"/>
              <w:rPr/>
            </w:pPr>
            <w:r>
              <w:rPr/>
              <w:t> </w:t>
            </w:r>
          </w:p>
        </w:tc>
      </w:tr>
      <w:tr>
        <w:trPr/>
        <w:tc>
          <w:tcPr>
            <w:tcW w:w="7597"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151,494</w:t>
            </w:r>
          </w:p>
        </w:tc>
        <w:tc>
          <w:tcPr>
            <w:tcW w:w="82" w:type="dxa"/>
            <w:tcBorders/>
            <w:shd w:fill="FFFFFF" w:val="clear"/>
            <w:vAlign w:val="center"/>
          </w:tcPr>
          <w:p>
            <w:pPr>
              <w:pStyle w:val="TableContents"/>
              <w:bidi w:val="0"/>
              <w:spacing w:before="0" w:after="283"/>
              <w:jc w:val="left"/>
              <w:rPr/>
            </w:pPr>
            <w:r>
              <w:rPr/>
              <w:t> </w:t>
            </w:r>
          </w:p>
        </w:tc>
      </w:tr>
      <w:tr>
        <w:trPr/>
        <w:tc>
          <w:tcPr>
            <w:tcW w:w="7597"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336,810</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firstLine="36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 OF OPERATIONS</w:t>
      </w:r>
      <w:r>
        <w:rPr>
          <w:rFonts w:ascii="Times New Roman;Times;serif" w:hAnsi="Times New Roman;Times;serif"/>
          <w:sz w:val="20"/>
        </w:rPr>
        <w:t xml:space="preserve"> — </w:t>
      </w:r>
      <w:r>
        <w:rPr>
          <w:rFonts w:ascii="Times New Roman;Times;serif" w:hAnsi="Times New Roman;Times;serif"/>
          <w:b/>
          <w:sz w:val="20"/>
        </w:rPr>
        <w:t xml:space="preserve">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7618" w:type="dxa"/>
        <w:jc w:val="left"/>
        <w:tblInd w:w="0" w:type="dxa"/>
        <w:tblLayout w:type="fixed"/>
        <w:tblCellMar>
          <w:top w:w="0" w:type="dxa"/>
          <w:left w:w="0" w:type="dxa"/>
          <w:bottom w:w="0" w:type="dxa"/>
          <w:right w:w="0" w:type="dxa"/>
        </w:tblCellMar>
      </w:tblPr>
      <w:tblGrid>
        <w:gridCol w:w="5195"/>
        <w:gridCol w:w="60"/>
        <w:gridCol w:w="160"/>
        <w:gridCol w:w="892"/>
        <w:gridCol w:w="102"/>
        <w:gridCol w:w="77"/>
        <w:gridCol w:w="160"/>
        <w:gridCol w:w="892"/>
        <w:gridCol w:w="80"/>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239,971</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134,777</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materials sold (excludes items shown separately below)</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184,219</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105,704</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and warehousing expense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13,427</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9,328</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9,385</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10,837</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5,455</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218,937</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127,734</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51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OPERATIONS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21,034</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7,043</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economic hedges of risk</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51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16,977</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6,645</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51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12,784</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share: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declared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CASH FLOWS — 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972"/>
        <w:gridCol w:w="60"/>
        <w:gridCol w:w="199"/>
        <w:gridCol w:w="1205"/>
        <w:gridCol w:w="127"/>
        <w:gridCol w:w="95"/>
        <w:gridCol w:w="199"/>
        <w:gridCol w:w="1205"/>
        <w:gridCol w:w="1143"/>
      </w:tblGrid>
      <w:tr>
        <w:trPr/>
        <w:tc>
          <w:tcPr>
            <w:tcW w:w="59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4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expense for restricted stock</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postretirement benefits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143" w:type="dxa"/>
            <w:tcBorders/>
            <w:shd w:fill="CCEEFF" w:val="clear"/>
            <w:vAlign w:val="center"/>
          </w:tcPr>
          <w:p>
            <w:pPr>
              <w:pStyle w:val="TableContents"/>
              <w:bidi w:val="0"/>
              <w:spacing w:before="0" w:after="283"/>
              <w:ind w:left="0" w:right="0" w:firstLine="1080"/>
              <w:jc w:val="left"/>
              <w:rPr/>
            </w:pPr>
            <w:r>
              <w:rPr/>
              <w:t> </w:t>
            </w:r>
          </w:p>
        </w:tc>
      </w:tr>
      <w:tr>
        <w:trPr/>
        <w:tc>
          <w:tcPr>
            <w:tcW w:w="59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cash surrender value of officers' life insurance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1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recognized on open derivatives not designated for hedge accounting</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143" w:type="dxa"/>
            <w:tcBorders/>
            <w:shd w:fill="CCEE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right-of-use asset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operating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(11,584</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(3,241</w:t>
            </w:r>
          </w:p>
        </w:tc>
        <w:tc>
          <w:tcPr>
            <w:tcW w:w="11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(18,857</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10,231</w:t>
            </w:r>
          </w:p>
        </w:tc>
        <w:tc>
          <w:tcPr>
            <w:tcW w:w="1143" w:type="dxa"/>
            <w:tcBorders/>
            <w:shd w:fill="CCEE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income taxes recoverable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143" w:type="dxa"/>
            <w:tcBorders/>
            <w:shd w:fill="CCEE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operating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20,586</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1143" w:type="dxa"/>
            <w:tcBorders/>
            <w:shd w:fill="CCEE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7,311</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15,486</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Century business combination working capital true-up</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pPr>
            <w:r>
              <w:rPr/>
              <w:t>—</w:t>
            </w:r>
          </w:p>
        </w:tc>
        <w:tc>
          <w:tcPr>
            <w:tcW w:w="1143" w:type="dxa"/>
            <w:tcBorders/>
            <w:shd w:fill="FFFFFF" w:val="clear"/>
            <w:vAlign w:val="center"/>
          </w:tcPr>
          <w:p>
            <w:pPr>
              <w:pStyle w:val="TableContents"/>
              <w:bidi w:val="0"/>
              <w:spacing w:before="0" w:after="283"/>
              <w:ind w:left="0" w:right="0" w:firstLine="540"/>
              <w:jc w:val="left"/>
              <w:rPr/>
            </w:pPr>
            <w:r>
              <w:rPr/>
              <w:t> </w:t>
            </w:r>
          </w:p>
        </w:tc>
      </w:tr>
      <w:tr>
        <w:trPr/>
        <w:tc>
          <w:tcPr>
            <w:tcW w:w="59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w:t>
            </w:r>
          </w:p>
        </w:tc>
        <w:tc>
          <w:tcPr>
            <w:tcW w:w="1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w:t>
            </w:r>
          </w:p>
        </w:tc>
        <w:tc>
          <w:tcPr>
            <w:tcW w:w="11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r>
      <w:tr>
        <w:trPr/>
        <w:tc>
          <w:tcPr>
            <w:tcW w:w="597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paid</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11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share repurchases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on asset based lending facility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229,697</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196,322</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on asset based lending facility</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(230,774</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(211,011</w:t>
            </w:r>
          </w:p>
        </w:tc>
        <w:tc>
          <w:tcPr>
            <w:tcW w:w="1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(14,981</w:t>
            </w:r>
          </w:p>
        </w:tc>
        <w:tc>
          <w:tcPr>
            <w:tcW w:w="11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CASH AND RESTRICTED CASH</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4,761</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w:t>
            </w:r>
          </w:p>
        </w:tc>
        <w:tc>
          <w:tcPr>
            <w:tcW w:w="1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4,148</w:t>
            </w:r>
          </w:p>
        </w:tc>
        <w:tc>
          <w:tcPr>
            <w:tcW w:w="1143" w:type="dxa"/>
            <w:tcBorders/>
            <w:shd w:fill="FFFFFF" w:val="clear"/>
            <w:vAlign w:val="center"/>
          </w:tcPr>
          <w:p>
            <w:pPr>
              <w:pStyle w:val="TableContents"/>
              <w:bidi w:val="0"/>
              <w:spacing w:before="0" w:after="283"/>
              <w:jc w:val="left"/>
              <w:rPr/>
            </w:pPr>
            <w:r>
              <w:rPr/>
              <w:t> </w:t>
            </w:r>
          </w:p>
        </w:tc>
      </w:tr>
      <w:tr>
        <w:trPr/>
        <w:tc>
          <w:tcPr>
            <w:tcW w:w="59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w:t>
            </w:r>
          </w:p>
        </w:tc>
        <w:tc>
          <w:tcPr>
            <w:tcW w:w="114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Times;serif" w:hAnsi="Times New Roman;Times;serif"/>
          <w:sz w:val="20"/>
        </w:rPr>
        <w:t>Cash and restricted cash at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included approximately $3.0 million and $0.8 million, respectively, of cash required to collateralize open derivative positions. These amounts are reported in "Other current assets" on the Company's consolidated balance sheets at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The Company had approximately $0.8 million in restricted cash as of </w:t>
      </w:r>
      <w:r>
        <w:rPr>
          <w:rStyle w:val="Emphasis"/>
          <w:rFonts w:ascii="Times New Roman;Times;serif" w:hAnsi="Times New Roman;Times;serif"/>
          <w:sz w:val="20"/>
        </w:rPr>
        <w:t xml:space="preserve"> June 30, 2025</w:t>
      </w:r>
      <w:r>
        <w:rPr>
          <w:rFonts w:ascii="Times New Roman;Times;serif" w:hAnsi="Times New Roman;Times;serif"/>
          <w:sz w:val="20"/>
        </w:rPr>
        <w:t>.</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firstLine="360"/>
        <w:jc w:val="left"/>
        <w:rPr/>
      </w:pPr>
      <w:r>
        <w:rPr/>
        <w:t> </w:t>
      </w:r>
    </w:p>
    <w:p>
      <w:pPr>
        <w:pStyle w:val="TextBody"/>
        <w:bidi w:val="0"/>
        <w:jc w:val="left"/>
        <w:rPr/>
      </w:pPr>
      <w:r>
        <w:rPr/>
        <w:t> </w:t>
      </w:r>
    </w:p>
    <w:p>
      <w:pPr>
        <w:pStyle w:val="TextBody"/>
        <w:bidi w:val="0"/>
        <w:spacing w:before="0" w:after="0"/>
        <w:ind w:left="0" w:right="0" w:hanging="0"/>
        <w:jc w:val="center"/>
        <w:rPr/>
      </w:pPr>
      <w:r>
        <w:rPr>
          <w:rStyle w:val="Emphasis"/>
          <w:rFonts w:ascii="Times New Roman" w:hAnsi="Times New Roman"/>
          <w:sz w:val="20"/>
        </w:rPr>
        <w:t>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NOTES TO QUARTERLY REPORT — UNAUDITED</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1</w:t>
      </w:r>
      <w:r>
        <w:rPr>
          <w:rFonts w:ascii="Times New Roman;Times;serif" w:hAnsi="Times New Roman;Times;serif"/>
          <w:sz w:val="20"/>
        </w:rPr>
        <w:t> — BASIS OF PRESENTATION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accompanying unaudited, condensed consolidated financial statements have been prepared in accordance with the instructions to Form </w:t>
      </w:r>
      <w:r>
        <w:rPr>
          <w:rStyle w:val="Emphasis"/>
          <w:rFonts w:ascii="Times New Roman;Times;serif" w:hAnsi="Times New Roman;Times;serif"/>
          <w:sz w:val="20"/>
        </w:rPr>
        <w:t>10</w:t>
      </w:r>
      <w:r>
        <w:rPr>
          <w:rFonts w:ascii="Times New Roman;Times;serif" w:hAnsi="Times New Roman;Times;serif"/>
          <w:sz w:val="20"/>
        </w:rPr>
        <w:t xml:space="preserve">-Q and do </w:t>
      </w:r>
      <w:r>
        <w:rPr>
          <w:rStyle w:val="Emphasis"/>
          <w:rFonts w:ascii="Times New Roman;Times;serif" w:hAnsi="Times New Roman;Times;serif"/>
          <w:sz w:val="20"/>
        </w:rPr>
        <w:t>not</w:t>
      </w:r>
      <w:r>
        <w:rPr>
          <w:rFonts w:ascii="Times New Roman;Times;serif" w:hAnsi="Times New Roman;Times;serif"/>
          <w:sz w:val="20"/>
        </w:rPr>
        <w:t xml:space="preserve">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March 31, 2026</w:t>
      </w:r>
      <w:r>
        <w:rPr>
          <w:rFonts w:ascii="Times New Roman;Times;serif" w:hAnsi="Times New Roman;Times;serif"/>
          <w:sz w:val="20"/>
        </w:rPr>
        <w:t>.</w:t>
      </w:r>
    </w:p>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NOTE </w:t>
      </w:r>
      <w:r>
        <w:rPr>
          <w:rStyle w:val="Emphasis"/>
          <w:rFonts w:ascii="Times New Roman;Times;serif" w:hAnsi="Times New Roman;Times;serif"/>
          <w:sz w:val="20"/>
        </w:rPr>
        <w:t>2</w:t>
      </w:r>
      <w:r>
        <w:rPr>
          <w:rFonts w:ascii="Times New Roman;Times;serif" w:hAnsi="Times New Roman;Times;serif"/>
          <w:sz w:val="20"/>
        </w:rPr>
        <w:t> — BUSINESS COMBINATIONS</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August 29, 2025, (</w:t>
      </w:r>
      <w:r>
        <w:rPr>
          <w:rFonts w:ascii="Times New Roman" w:hAnsi="Times New Roman"/>
          <w:caps w:val="false"/>
          <w:smallCaps w:val="false"/>
          <w:sz w:val="20"/>
        </w:rPr>
        <w:t>the “Acquisition Date”), the Company acquired certain assets and liabilities of Century Metals &amp; Supplies Inc. (“Century”) based in Miami, Florida. The Company acquired the working capital, buildings, processing and other equipment, and the related real estate of Century (the “Transaction”). In addition to the owned facilities in Miami, the Transaction also included leased distribution and warehouse facilities in Orlando, Florida and Tampa, Florida. The operations continue as Century Metals and Supplies LLC ("Century"), a wholly owned subsidiary of the Company. Century is a metals processing company with cut-to-length and coil slitting capabilities which operates as part of the Company's flat-roll business segment. As a result of the Transaction, the Company expanded its presence in the southeastern U.S. and Latin American markets and broadened the Company's product offerings to include cold-rolled, coated, and stainless steels, as well as non-ferrous materials such as aluminum, copper, and brass.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The Transaction resulted in the Company acquiring all the ownership interests in the assets noted above, for a total consideration of approximately $51.6 million, after final net working capital adjustments. The total consideration consists of (i) approximately $45.6 million of cash at close, (ii)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-year seller's note with a fair value of approximately $3.5 million, (iii) contingent consideration possible through earn-out provisions with an initial fair value of approximately $3.6 million and a post-closing final working capital adjustment in favor of the Company of approximately $1.1 million. The contingent consideration allows for up to $10 million in additional consideration over a four-year period based on certain performance metrics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contingent on the sellers employment with Century at the time of the payout and, as such, the fair value of such contingent consideration was recognized as consideration transferred.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The seller’s note was fair valued using a discounted cash flow analysis of the expected future payments, for which the significant inputs included the rate of return based on a reference rate plus a spread and the expected cash flows associated with the seller’s note over the remaining time to maturity. The contingent consideration was fair valued using a Monte Carlo simulation of the potential cash payments to the sellers utilizing an estimate of the average future EBITDA, which was discounted to present value. The significant inputs to the Monte Carlo simulation included projected future EBITDA, a discount rate, EBITDA targets, maximum payout and EBITDA volatility. Such contingent consideration is required to be measured at fair value at inception and at each reporting period.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valuation methodology during the interim period.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value of the contingent consideration was approximately $2.2 million and is reported on the consolidated balance sheet under non-current contingent consideration.</w:t>
      </w:r>
    </w:p>
    <w:p>
      <w:pPr>
        <w:pStyle w:val="TextBody"/>
        <w:bidi w:val="0"/>
        <w:spacing w:before="0" w:after="0"/>
        <w:ind w:left="160" w:right="0" w:firstLine="50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The Transaction was accounted for using the acquisition method of accounting, in accordance with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residual goodwill.</w:t>
      </w:r>
    </w:p>
    <w:p>
      <w:pPr>
        <w:pStyle w:val="TextBody"/>
        <w:bidi w:val="0"/>
        <w:spacing w:before="0" w:after="0"/>
        <w:ind w:left="0" w:right="0" w:hanging="0"/>
        <w:jc w:val="both"/>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5630"/>
        <w:gridCol w:w="60"/>
        <w:gridCol w:w="125"/>
        <w:gridCol w:w="590"/>
        <w:gridCol w:w="80"/>
      </w:tblGrid>
      <w:tr>
        <w:trPr/>
        <w:tc>
          <w:tcPr>
            <w:tcW w:w="563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assets acquired and liabilities assumed (in thousands):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34,623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NOTE </w:t>
      </w:r>
      <w:r>
        <w:rPr>
          <w:rStyle w:val="Emphasis"/>
          <w:rFonts w:ascii="Times New Roman" w:hAnsi="Times New Roman"/>
          <w:caps w:val="false"/>
          <w:smallCaps w:val="false"/>
          <w:sz w:val="20"/>
        </w:rPr>
        <w:t>3</w:t>
      </w:r>
      <w:r>
        <w:rPr>
          <w:rFonts w:ascii="Times New Roman" w:hAnsi="Times New Roman"/>
          <w:caps w:val="false"/>
          <w:smallCaps w:val="false"/>
          <w:sz w:val="20"/>
        </w:rPr>
        <w:t> — 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issued Accounting Standards Update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 – Reporting Comprehensive Income – Expense Disaggregation Disclosures: Disaggregation of Income Statement Expenses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require more detailed information about the types of expenses in commonly presented income statement captions such as “Cost of sales” and “Selling, general and administrative expenses”. The new guidance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with early adoption permitted. The Company is evaluating the impact that adoption of the provisions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have on its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4</w:t>
      </w:r>
      <w:r>
        <w:rPr>
          <w:rFonts w:ascii="Times New Roman;Times;serif" w:hAnsi="Times New Roman;Times;serif"/>
          <w:sz w:val="20"/>
        </w:rPr>
        <w:t> — INVENTORIES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operates in two segments: the flat-roll segment and the tubular segment. Both the flat-roll segment and tubular segment inventories consist of raw material and finished goods. Cost for all of the Company's flat-roll segment inventory, except for inventory of the Century Metals &amp; Supplies subsidiary, is determined using the weighted average cost method. The cost of Century Metals &amp; Supplies is determined using the specific identification method. Cost for all of the Company's tubular segment inventory is determined using the weighted average cost method. All inventories are valued at the lower of cost or net realizable value. Flat-roll raw material inventory consists primarily of carbon steel, stainless steel and aluminum flat-roll products the Company will process into sheet, plate or slit coil. Flat-roll finished goods consists of processed sheet, plate or slit coil inventory. Tubular raw material inventory consists of hot-rolled steel coils that the Company will manufacture into pipe. Tubular finished goods inventory consists of pipe the Company has manufactured. Inventory costs include the costs of the purchased metals, inbound freight, transfer freight, certain external processing, internal processing, direct labor and applicable overhead costs.</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A summary of inventory values by product group follows (in thousands):</w:t>
      </w:r>
    </w:p>
    <w:p>
      <w:pPr>
        <w:pStyle w:val="TextBody"/>
        <w:bidi w:val="0"/>
        <w:spacing w:before="0" w:after="0"/>
        <w:ind w:left="0" w:right="0" w:hanging="0"/>
        <w:jc w:val="left"/>
        <w:rPr/>
      </w:pPr>
      <w:r>
        <w:rPr/>
        <w:t> </w:t>
      </w:r>
    </w:p>
    <w:tbl>
      <w:tblPr>
        <w:tblW w:w="4768" w:type="dxa"/>
        <w:jc w:val="left"/>
        <w:tblInd w:w="0" w:type="dxa"/>
        <w:tblLayout w:type="fixed"/>
        <w:tblCellMar>
          <w:top w:w="0" w:type="dxa"/>
          <w:left w:w="0" w:type="dxa"/>
          <w:bottom w:w="0" w:type="dxa"/>
          <w:right w:w="0" w:type="dxa"/>
        </w:tblCellMar>
      </w:tblPr>
      <w:tblGrid>
        <w:gridCol w:w="2000"/>
        <w:gridCol w:w="60"/>
        <w:gridCol w:w="181"/>
        <w:gridCol w:w="1008"/>
        <w:gridCol w:w="60"/>
        <w:gridCol w:w="60"/>
        <w:gridCol w:w="204"/>
        <w:gridCol w:w="1135"/>
        <w:gridCol w:w="60"/>
      </w:tblGrid>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Flat-Roll raw material</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120,763</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Flat-Roll finished goods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31,068</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Tubular raw material</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9,441</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Tubular finished goods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10,951</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5</w:t>
      </w:r>
      <w:r>
        <w:rPr>
          <w:rFonts w:ascii="Times New Roman;Times;serif" w:hAnsi="Times New Roman;Times;serif"/>
          <w:sz w:val="20"/>
        </w:rPr>
        <w:t> — DEBT</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 xml:space="preserve">The Company has a $140 million asset-based lending facility ("ABL Facility") led by JPMorgan Chase Bank, N.A. with Wells Fargo Bank, N.A. as a </w:t>
      </w:r>
      <w:r>
        <w:rPr>
          <w:rStyle w:val="Emphasis"/>
          <w:rFonts w:ascii="Times New Roman;Times;serif" w:hAnsi="Times New Roman;Times;serif"/>
          <w:sz w:val="20"/>
        </w:rPr>
        <w:t>40%</w:t>
      </w:r>
      <w:r>
        <w:rPr>
          <w:rFonts w:ascii="Times New Roman;Times;serif" w:hAnsi="Times New Roman;Times;serif"/>
          <w:sz w:val="20"/>
        </w:rPr>
        <w:t xml:space="preserve"> syndicated participant. The ABL Facility matures on </w:t>
      </w:r>
      <w:r>
        <w:rPr>
          <w:rStyle w:val="Emphasis"/>
          <w:rFonts w:ascii="Times New Roman;Times;serif" w:hAnsi="Times New Roman;Times;serif"/>
          <w:sz w:val="20"/>
        </w:rPr>
        <w:t>August 29, 2030 </w:t>
      </w:r>
      <w:r>
        <w:rPr>
          <w:rFonts w:ascii="Times New Roman;Times;serif" w:hAnsi="Times New Roman;Times;serif"/>
          <w:sz w:val="20"/>
        </w:rPr>
        <w:t xml:space="preserve">and is secured by substantially all of the assets of the Company. The Company can elect borrowings on a floating rate basis or a term basis. Floating rate borrowings accrue interest at a rate equal to the prime rate minus 1.45% per annum. Term rate borrowings accrue interest at a rate equal to the SOFR rate applicable to the selected term plus 1.65%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10% of the revolving commitment or $14.0 million. The financial covenant restricts the Company from allowing its fixed charge coverage ratio to be, as of the end of any calendar month, less than 1.00 to </w:t>
      </w:r>
      <w:r>
        <w:rPr>
          <w:rStyle w:val="Emphasis"/>
          <w:rFonts w:ascii="Times New Roman;Times;serif" w:hAnsi="Times New Roman;Times;serif"/>
          <w:sz w:val="20"/>
        </w:rPr>
        <w:t>1.00</w:t>
      </w:r>
      <w:r>
        <w:rPr>
          <w:rFonts w:ascii="Times New Roman;Times;serif" w:hAnsi="Times New Roman;Times;serif"/>
          <w:sz w:val="20"/>
        </w:rPr>
        <w:t xml:space="preserve"> for the trailing </w:t>
      </w:r>
      <w:r>
        <w:rPr>
          <w:rStyle w:val="Emphasis"/>
          <w:rFonts w:ascii="Times New Roman;Times;serif" w:hAnsi="Times New Roman;Times;serif"/>
          <w:sz w:val="20"/>
        </w:rPr>
        <w:t>twelve</w:t>
      </w:r>
      <w:r>
        <w:rPr>
          <w:rFonts w:ascii="Times New Roman;Times;serif" w:hAnsi="Times New Roman;Times;serif"/>
          <w:sz w:val="20"/>
        </w:rPr>
        <w:t xml:space="preser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w:t>
      </w:r>
      <w:r>
        <w:rPr>
          <w:rStyle w:val="Emphasis"/>
          <w:rFonts w:ascii="Times New Roman;Times;serif" w:hAnsi="Times New Roman;Times;serif"/>
          <w:sz w:val="20"/>
        </w:rPr>
        <w:t xml:space="preserve">may </w:t>
      </w:r>
      <w:r>
        <w:rPr>
          <w:rFonts w:ascii="Times New Roman;Times;serif" w:hAnsi="Times New Roman;Times;serif"/>
          <w:sz w:val="20"/>
        </w:rPr>
        <w:t>be increased up to an aggregate of $60 million, in minimum increments of $5 million. At </w:t>
      </w:r>
      <w:r>
        <w:rPr>
          <w:rStyle w:val="Emphasis"/>
          <w:rFonts w:ascii="Times New Roman;Times;serif" w:hAnsi="Times New Roman;Times;serif"/>
          <w:sz w:val="20"/>
        </w:rPr>
        <w:t xml:space="preserve"> June 30, 2026</w:t>
      </w:r>
      <w:r>
        <w:rPr>
          <w:rFonts w:ascii="Times New Roman;Times;serif" w:hAnsi="Times New Roman;Times;serif"/>
          <w:sz w:val="20"/>
        </w:rPr>
        <w:t>, the Company had a balance of approximately $91.5 million under the ABL Facility with an applicable interest rate of 5.3%. At </w:t>
      </w:r>
      <w:r>
        <w:rPr>
          <w:rStyle w:val="Emphasis"/>
          <w:rFonts w:ascii="Times New Roman;Times;serif" w:hAnsi="Times New Roman;Times;serif"/>
          <w:sz w:val="20"/>
        </w:rPr>
        <w:t xml:space="preserve"> June 30, 2026</w:t>
      </w:r>
      <w:r>
        <w:rPr>
          <w:rFonts w:ascii="Times New Roman;Times;serif" w:hAnsi="Times New Roman;Times;serif"/>
          <w:sz w:val="20"/>
        </w:rPr>
        <w:t>, the Company's borrowing base supported full access to the ABL Facility.</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issued a seller's note of $3.5 million related to the acquisition of Century described in Note </w:t>
      </w:r>
      <w:r>
        <w:rPr>
          <w:rStyle w:val="Emphasis"/>
          <w:rFonts w:ascii="Times New Roman;Times;serif" w:hAnsi="Times New Roman;Times;serif"/>
          <w:sz w:val="20"/>
        </w:rPr>
        <w:t>2.</w:t>
      </w:r>
      <w:r>
        <w:rPr>
          <w:rFonts w:ascii="Times New Roman;Times;serif" w:hAnsi="Times New Roman;Times;serif"/>
          <w:sz w:val="20"/>
        </w:rPr>
        <w:t xml:space="preserve"> The promissory note has a maturity date of </w:t>
      </w:r>
      <w:r>
        <w:rPr>
          <w:rStyle w:val="Emphasis"/>
          <w:rFonts w:ascii="Times New Roman;Times;serif" w:hAnsi="Times New Roman;Times;serif"/>
          <w:sz w:val="20"/>
        </w:rPr>
        <w:t xml:space="preserve">August 29, 2030 </w:t>
      </w:r>
      <w:r>
        <w:rPr>
          <w:rFonts w:ascii="Times New Roman;Times;serif" w:hAnsi="Times New Roman;Times;serif"/>
          <w:sz w:val="20"/>
        </w:rPr>
        <w:t xml:space="preserve">and accrues interest at a rate of 6.5% per annum, payable quarterly in arrears on the last date of each quarter, commencing </w:t>
      </w:r>
      <w:r>
        <w:rPr>
          <w:rStyle w:val="Emphasis"/>
          <w:rFonts w:ascii="Times New Roman;Times;serif" w:hAnsi="Times New Roman;Times;serif"/>
          <w:sz w:val="20"/>
        </w:rPr>
        <w:t>September 30, 2025.</w:t>
      </w:r>
    </w:p>
    <w:p>
      <w:pPr>
        <w:pStyle w:val="TextBody"/>
        <w:bidi w:val="0"/>
        <w:spacing w:before="0" w:after="0"/>
        <w:ind w:left="0" w:right="0" w:firstLine="490"/>
        <w:jc w:val="both"/>
        <w:rPr/>
      </w:pPr>
      <w:r>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r>
        <w:rPr>
          <w:rFonts w:ascii="Times New Roman;Times;serif" w:hAnsi="Times New Roman;Times;serif"/>
          <w:sz w:val="20"/>
        </w:rPr>
        <w:t xml:space="preserve">NOTE </w:t>
      </w:r>
      <w:r>
        <w:rPr>
          <w:rStyle w:val="Emphasis"/>
          <w:rFonts w:ascii="Times New Roman;Times;serif" w:hAnsi="Times New Roman;Times;serif"/>
          <w:sz w:val="20"/>
        </w:rPr>
        <w:t>6</w:t>
      </w:r>
      <w:r>
        <w:rPr>
          <w:rFonts w:ascii="Times New Roman;Times;serif" w:hAnsi="Times New Roman;Times;serif"/>
          <w:sz w:val="20"/>
        </w:rPr>
        <w:t> — LEASES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In </w:t>
      </w:r>
      <w:r>
        <w:rPr>
          <w:rStyle w:val="Emphasis"/>
          <w:rFonts w:ascii="Times New Roman;Times;serif" w:hAnsi="Times New Roman;Times;serif"/>
          <w:sz w:val="20"/>
        </w:rPr>
        <w:t>June 2026,</w:t>
      </w:r>
      <w:r>
        <w:rPr>
          <w:rFonts w:ascii="Times New Roman;Times;serif" w:hAnsi="Times New Roman;Times;serif"/>
          <w:sz w:val="20"/>
        </w:rPr>
        <w:t xml:space="preserve"> the Company entered into a new operating lease for additional warehouse space in Miami, FL for Century's operations. This lease expires </w:t>
      </w:r>
      <w:r>
        <w:rPr>
          <w:rStyle w:val="Emphasis"/>
          <w:rFonts w:ascii="Times New Roman;Times;serif" w:hAnsi="Times New Roman;Times;serif"/>
          <w:sz w:val="20"/>
        </w:rPr>
        <w:t>July 31, 2029 </w:t>
      </w:r>
      <w:r>
        <w:rPr>
          <w:rFonts w:ascii="Times New Roman;Times;serif" w:hAnsi="Times New Roman;Times;serif"/>
          <w:sz w:val="20"/>
        </w:rPr>
        <w:t xml:space="preserve">and calls for monthly rental payments of approximately $47,000. The Company recognized initial right-of-use ("ROU") assets and lease liabilities of approximately $1.7 million related to the new lease. The Company's other ROU assets and lease liabilities consist primarily of operating leases for the operations facilities in Granite City, IL, Orlando, FL and Tampa, FL and administrative office spaces in The Woodlands, TX and Longview, TX. The Company’s other operating leases for items such as operations equipment, IT equipment and storage space are either short-term in nature or immaterial. The Company does </w:t>
      </w:r>
      <w:r>
        <w:rPr>
          <w:rStyle w:val="Emphasis"/>
          <w:rFonts w:ascii="Times New Roman;Times;serif" w:hAnsi="Times New Roman;Times;serif"/>
          <w:sz w:val="20"/>
        </w:rPr>
        <w:t>not</w:t>
      </w:r>
      <w:r>
        <w:rPr>
          <w:rFonts w:ascii="Times New Roman;Times;serif" w:hAnsi="Times New Roman;Times;serif"/>
          <w:sz w:val="20"/>
        </w:rPr>
        <w:t xml:space="preserve"> have any finance leases in place.</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determines if an arrangement contains a lease at inception based on if the arrangement conveys the right to control the use of an identified asset for a period of time in exchange for consideration and allows the Company to obtain substantially all of the economic benefit from the use of the identified asset. Certain lease agreements contain rent escalation clauses and </w:t>
      </w:r>
      <w:r>
        <w:rPr>
          <w:rStyle w:val="Emphasis"/>
          <w:rFonts w:ascii="Times New Roman;Times;serif" w:hAnsi="Times New Roman;Times;serif"/>
          <w:sz w:val="20"/>
        </w:rPr>
        <w:t>one</w:t>
      </w:r>
      <w:r>
        <w:rPr>
          <w:rFonts w:ascii="Times New Roman;Times;serif" w:hAnsi="Times New Roman;Times;serif"/>
          <w:sz w:val="20"/>
        </w:rPr>
        <w:t xml:space="preserve"> or more options to extend the lease. The Company considers these provisions when calculating operating lease obligations. The Company uses its incremental borrowing rate at lease commencement to determine the present value of lease payments.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components of expense related to leases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are as follows (in thousands):</w:t>
      </w:r>
    </w:p>
    <w:p>
      <w:pPr>
        <w:pStyle w:val="TextBody"/>
        <w:bidi w:val="0"/>
        <w:spacing w:before="0" w:after="0"/>
        <w:ind w:left="0" w:right="0" w:firstLine="490"/>
        <w:jc w:val="both"/>
        <w:rPr/>
      </w:pPr>
      <w:r>
        <w:rPr/>
        <w:t> </w:t>
      </w:r>
    </w:p>
    <w:tbl>
      <w:tblPr>
        <w:tblW w:w="3893" w:type="dxa"/>
        <w:jc w:val="left"/>
        <w:tblInd w:w="0" w:type="dxa"/>
        <w:tblLayout w:type="fixed"/>
        <w:tblCellMar>
          <w:top w:w="0" w:type="dxa"/>
          <w:left w:w="0" w:type="dxa"/>
          <w:bottom w:w="0" w:type="dxa"/>
          <w:right w:w="0" w:type="dxa"/>
        </w:tblCellMar>
      </w:tblPr>
      <w:tblGrid>
        <w:gridCol w:w="1985"/>
        <w:gridCol w:w="60"/>
        <w:gridCol w:w="215"/>
        <w:gridCol w:w="576"/>
        <w:gridCol w:w="103"/>
        <w:gridCol w:w="103"/>
        <w:gridCol w:w="215"/>
        <w:gridCol w:w="576"/>
        <w:gridCol w:w="6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illustrates the balance sheet classification for ROU assets and lease liabilities 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March 31, 2026</w:t>
      </w:r>
      <w:r>
        <w:rPr>
          <w:rFonts w:ascii="Times New Roman;Times;serif" w:hAnsi="Times New Roman;Times;serif"/>
          <w:sz w:val="20"/>
        </w:rPr>
        <w:t> (in thousands):</w:t>
      </w:r>
    </w:p>
    <w:p>
      <w:pPr>
        <w:pStyle w:val="TextBody"/>
        <w:bidi w:val="0"/>
        <w:spacing w:before="0" w:after="0"/>
        <w:ind w:left="0" w:right="0" w:firstLine="490"/>
        <w:jc w:val="both"/>
        <w:rPr/>
      </w:pPr>
      <w:r>
        <w:rPr/>
        <w:t> </w:t>
      </w:r>
    </w:p>
    <w:tbl>
      <w:tblPr>
        <w:tblW w:w="8568" w:type="dxa"/>
        <w:jc w:val="left"/>
        <w:tblInd w:w="0" w:type="dxa"/>
        <w:tblLayout w:type="fixed"/>
        <w:tblCellMar>
          <w:top w:w="0" w:type="dxa"/>
          <w:left w:w="0" w:type="dxa"/>
          <w:bottom w:w="0" w:type="dxa"/>
          <w:right w:w="0" w:type="dxa"/>
        </w:tblCellMar>
      </w:tblPr>
      <w:tblGrid>
        <w:gridCol w:w="3020"/>
        <w:gridCol w:w="60"/>
        <w:gridCol w:w="243"/>
        <w:gridCol w:w="946"/>
        <w:gridCol w:w="60"/>
        <w:gridCol w:w="60"/>
        <w:gridCol w:w="274"/>
        <w:gridCol w:w="1065"/>
        <w:gridCol w:w="60"/>
        <w:gridCol w:w="278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 Classification</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4,702</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Operating lease right-of-use asset</w:t>
            </w:r>
          </w:p>
        </w:tc>
      </w:tr>
      <w:tr>
        <w:trPr/>
        <w:tc>
          <w:tcPr>
            <w:tcW w:w="30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4,702</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rStyle w:val="Emphasis"/>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756</w:t>
            </w:r>
          </w:p>
        </w:tc>
        <w:tc>
          <w:tcPr>
            <w:tcW w:w="60" w:type="dxa"/>
            <w:tcBorders/>
            <w:shd w:fill="CCEEFF" w:val="clear"/>
            <w:vAlign w:val="center"/>
          </w:tcPr>
          <w:p>
            <w:pPr>
              <w:pStyle w:val="TableContents"/>
              <w:bidi w:val="0"/>
              <w:spacing w:before="0" w:after="283"/>
              <w:ind w:left="0" w:right="0" w:hanging="0"/>
              <w:jc w:val="left"/>
              <w:rPr/>
            </w:pPr>
            <w:r>
              <w:rPr/>
              <w:t> </w:t>
            </w:r>
          </w:p>
        </w:tc>
        <w:tc>
          <w:tcPr>
            <w:tcW w:w="278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Accrued expenses</w:t>
            </w:r>
          </w:p>
        </w:tc>
      </w:tr>
      <w:tr>
        <w:trPr/>
        <w:tc>
          <w:tcPr>
            <w:tcW w:w="30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non-current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4,097</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Non-current lease liabilities</w:t>
            </w:r>
          </w:p>
        </w:tc>
      </w:tr>
      <w:tr>
        <w:trPr/>
        <w:tc>
          <w:tcPr>
            <w:tcW w:w="30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4,853</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the weighted-average remaining lease term was 10.1 years for operating leases. The weighted average discount rate was 7.0% for operating leases</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Maturities of lease liabilities as of </w:t>
      </w:r>
      <w:r>
        <w:rPr>
          <w:rStyle w:val="Emphasis"/>
          <w:rFonts w:ascii="Times New Roman;Times;serif" w:hAnsi="Times New Roman;Times;serif"/>
          <w:sz w:val="20"/>
        </w:rPr>
        <w:t>June 30, 2026</w:t>
      </w:r>
      <w:r>
        <w:rPr>
          <w:rFonts w:ascii="Times New Roman;Times;serif" w:hAnsi="Times New Roman;Times;serif"/>
          <w:sz w:val="20"/>
        </w:rPr>
        <w:t xml:space="preserve"> were as follows (in thousands):</w:t>
      </w:r>
    </w:p>
    <w:p>
      <w:pPr>
        <w:pStyle w:val="TextBody"/>
        <w:bidi w:val="0"/>
        <w:spacing w:before="0" w:after="0"/>
        <w:ind w:left="0" w:right="0" w:firstLine="490"/>
        <w:jc w:val="both"/>
        <w:rPr/>
      </w:pPr>
      <w:r>
        <w:rPr/>
        <w:t> </w:t>
      </w:r>
    </w:p>
    <w:tbl>
      <w:tblPr>
        <w:tblW w:w="4619" w:type="dxa"/>
        <w:jc w:val="left"/>
        <w:tblInd w:w="0" w:type="dxa"/>
        <w:tblLayout w:type="fixed"/>
        <w:tblCellMar>
          <w:top w:w="0" w:type="dxa"/>
          <w:left w:w="0" w:type="dxa"/>
          <w:bottom w:w="0" w:type="dxa"/>
          <w:right w:w="0" w:type="dxa"/>
        </w:tblCellMar>
      </w:tblPr>
      <w:tblGrid>
        <w:gridCol w:w="3020"/>
        <w:gridCol w:w="60"/>
        <w:gridCol w:w="271"/>
        <w:gridCol w:w="1188"/>
        <w:gridCol w:w="8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2027 (remainder of fiscal year)</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w:t>
            </w:r>
          </w:p>
        </w:tc>
        <w:tc>
          <w:tcPr>
            <w:tcW w:w="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2028</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w:t>
            </w:r>
          </w:p>
        </w:tc>
        <w:tc>
          <w:tcPr>
            <w:tcW w:w="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2029</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1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w:t>
            </w:r>
          </w:p>
        </w:tc>
        <w:tc>
          <w:tcPr>
            <w:tcW w:w="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2030</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2031 and beyond</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4,544</w:t>
            </w:r>
          </w:p>
        </w:tc>
        <w:tc>
          <w:tcPr>
            <w:tcW w:w="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9,587</w:t>
            </w:r>
          </w:p>
        </w:tc>
        <w:tc>
          <w:tcPr>
            <w:tcW w:w="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7</w:t>
      </w:r>
      <w:r>
        <w:rPr>
          <w:rFonts w:ascii="Times New Roman;Times;serif" w:hAnsi="Times New Roman;Times;serif"/>
          <w:sz w:val="20"/>
        </w:rPr>
        <w:t> — PROPERTY, PLANT AND EQUIPMENT</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At </w:t>
      </w:r>
      <w:r>
        <w:rPr>
          <w:rStyle w:val="Emphasis"/>
          <w:rFonts w:ascii="Times New Roman;Times;serif" w:hAnsi="Times New Roman;Times;serif"/>
          <w:sz w:val="20"/>
        </w:rPr>
        <w:t>June 30, 2026</w:t>
      </w:r>
      <w:r>
        <w:rPr>
          <w:rFonts w:ascii="Times New Roman;Times;serif" w:hAnsi="Times New Roman;Times;serif"/>
          <w:sz w:val="20"/>
        </w:rPr>
        <w:t>, the Company's construction in process balance of approximately $2.7 million consisted primarily of approximately $1.8 million associated with a building and processing capability expansion project at the Sinton, TX facility. The remaining balance consists of several smaller projects among our facilities. </w:t>
      </w:r>
    </w:p>
    <w:p>
      <w:pPr>
        <w:pStyle w:val="TextBody"/>
        <w:bidi w:val="0"/>
        <w:spacing w:before="0" w:after="0"/>
        <w:ind w:left="0" w:right="0" w:firstLine="54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8</w:t>
      </w:r>
      <w:r>
        <w:rPr>
          <w:rFonts w:ascii="Times New Roman;Times;serif" w:hAnsi="Times New Roman;Times;serif"/>
          <w:sz w:val="20"/>
        </w:rPr>
        <w:t> — STOCK BASED COMPENSATION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maintains </w:t>
      </w:r>
      <w:r>
        <w:rPr>
          <w:rStyle w:val="Emphasis"/>
          <w:rFonts w:ascii="Times New Roman;Times;serif" w:hAnsi="Times New Roman;Times;serif"/>
          <w:sz w:val="20"/>
        </w:rPr>
        <w:t>two</w:t>
      </w:r>
      <w:r>
        <w:rPr>
          <w:rFonts w:ascii="Times New Roman;Times;serif" w:hAnsi="Times New Roman;Times;serif"/>
          <w:sz w:val="20"/>
        </w:rPr>
        <w:t xml:space="preserve"> stock based compensation plans: the Friedman Industries, Incorporated </w:t>
      </w:r>
      <w:r>
        <w:rPr>
          <w:rStyle w:val="Emphasis"/>
          <w:rFonts w:ascii="Times New Roman;Times;serif" w:hAnsi="Times New Roman;Times;serif"/>
          <w:sz w:val="20"/>
        </w:rPr>
        <w:t>2016</w:t>
      </w:r>
      <w:r>
        <w:rPr>
          <w:rFonts w:ascii="Times New Roman;Times;serif" w:hAnsi="Times New Roman;Times;serif"/>
          <w:sz w:val="20"/>
        </w:rPr>
        <w:t xml:space="preserve"> Restricted Stock Plan (the </w:t>
      </w:r>
      <w:r>
        <w:rPr>
          <w:rStyle w:val="Emphasis"/>
          <w:rFonts w:ascii="Times New Roman;Times;serif" w:hAnsi="Times New Roman;Times;serif"/>
          <w:sz w:val="20"/>
        </w:rPr>
        <w:t>“2016</w:t>
      </w:r>
      <w:r>
        <w:rPr>
          <w:rFonts w:ascii="Times New Roman;Times;serif" w:hAnsi="Times New Roman;Times;serif"/>
          <w:sz w:val="20"/>
        </w:rPr>
        <w:t xml:space="preserve"> Plan”) and the Friedman Industries, Incorporated </w:t>
      </w:r>
      <w:r>
        <w:rPr>
          <w:rStyle w:val="Emphasis"/>
          <w:rFonts w:ascii="Times New Roman;Times;serif" w:hAnsi="Times New Roman;Times;serif"/>
          <w:sz w:val="20"/>
        </w:rPr>
        <w:t>2025</w:t>
      </w:r>
      <w:r>
        <w:rPr>
          <w:rFonts w:ascii="Times New Roman;Times;serif" w:hAnsi="Times New Roman;Times;serif"/>
          <w:sz w:val="20"/>
        </w:rPr>
        <w:t xml:space="preserve"> Long-Term Incentive Plan (the </w:t>
      </w:r>
      <w:r>
        <w:rPr>
          <w:rStyle w:val="Emphasis"/>
          <w:rFonts w:ascii="Times New Roman;Times;serif" w:hAnsi="Times New Roman;Times;serif"/>
          <w:sz w:val="20"/>
        </w:rPr>
        <w:t>"2025</w:t>
      </w:r>
      <w:r>
        <w:rPr>
          <w:rFonts w:ascii="Times New Roman;Times;serif" w:hAnsi="Times New Roman;Times;serif"/>
          <w:sz w:val="20"/>
        </w:rPr>
        <w:t xml:space="preserve"> Plan"). The plans are administered by the Compensation Committee of the Board of Directors (the “Board”) and continue indefinitely until terminated by the Board or until all shares allowed by the plans have been awarded and earned. All shares authorized under the </w:t>
      </w:r>
      <w:r>
        <w:rPr>
          <w:rStyle w:val="Emphasis"/>
          <w:rFonts w:ascii="Times New Roman;Times;serif" w:hAnsi="Times New Roman;Times;serif"/>
          <w:sz w:val="20"/>
        </w:rPr>
        <w:t>2016</w:t>
      </w:r>
      <w:r>
        <w:rPr>
          <w:rFonts w:ascii="Times New Roman;Times;serif" w:hAnsi="Times New Roman;Times;serif"/>
          <w:sz w:val="20"/>
        </w:rPr>
        <w:t xml:space="preserve"> Plan have been awarded with some of those shares still under vesting restrictions at </w:t>
      </w:r>
      <w:r>
        <w:rPr>
          <w:rStyle w:val="Emphasis"/>
          <w:rFonts w:ascii="Times New Roman;Times;serif" w:hAnsi="Times New Roman;Times;serif"/>
          <w:sz w:val="20"/>
        </w:rPr>
        <w:t xml:space="preserve"> June 30, 2026</w:t>
      </w:r>
      <w:r>
        <w:rPr>
          <w:rFonts w:ascii="Times New Roman;Times;serif" w:hAnsi="Times New Roman;Times;serif"/>
          <w:sz w:val="20"/>
        </w:rPr>
        <w:t xml:space="preserve">. Under the </w:t>
      </w:r>
      <w:r>
        <w:rPr>
          <w:rStyle w:val="Emphasis"/>
          <w:rFonts w:ascii="Times New Roman;Times;serif" w:hAnsi="Times New Roman;Times;serif"/>
          <w:sz w:val="20"/>
        </w:rPr>
        <w:t>2025</w:t>
      </w:r>
      <w:r>
        <w:rPr>
          <w:rFonts w:ascii="Times New Roman;Times;serif" w:hAnsi="Times New Roman;Times;serif"/>
          <w:sz w:val="20"/>
        </w:rPr>
        <w:t xml:space="preserve"> Plan,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award stock-based compensation to employees, non-employee directors and </w:t>
      </w:r>
      <w:r>
        <w:rPr>
          <w:rStyle w:val="Emphasis"/>
          <w:rFonts w:ascii="Times New Roman;Times;serif" w:hAnsi="Times New Roman;Times;serif"/>
          <w:sz w:val="20"/>
        </w:rPr>
        <w:t>third</w:t>
      </w:r>
      <w:r>
        <w:rPr>
          <w:rFonts w:ascii="Times New Roman;Times;serif" w:hAnsi="Times New Roman;Times;serif"/>
          <w:sz w:val="20"/>
        </w:rPr>
        <w:t xml:space="preserve">-party service providers. The </w:t>
      </w:r>
      <w:r>
        <w:rPr>
          <w:rStyle w:val="Emphasis"/>
          <w:rFonts w:ascii="Times New Roman;Times;serif" w:hAnsi="Times New Roman;Times;serif"/>
          <w:sz w:val="20"/>
        </w:rPr>
        <w:t>2025</w:t>
      </w:r>
      <w:r>
        <w:rPr>
          <w:rFonts w:ascii="Times New Roman;Times;serif" w:hAnsi="Times New Roman;Times;serif"/>
          <w:sz w:val="20"/>
        </w:rPr>
        <w:t xml:space="preserve"> Plan permits the award of stock options, restricted stock awards, restricted stock units, stock appreciation rights and other stock-based awards for up to 550,000 shares of the Company's common stock. As of  </w:t>
      </w:r>
      <w:r>
        <w:rPr>
          <w:rStyle w:val="Emphasis"/>
          <w:rFonts w:ascii="Times New Roman;Times;serif" w:hAnsi="Times New Roman;Times;serif"/>
          <w:sz w:val="20"/>
        </w:rPr>
        <w:t>June 30, 2026</w:t>
      </w:r>
      <w:r>
        <w:rPr>
          <w:rFonts w:ascii="Times New Roman;Times;serif" w:hAnsi="Times New Roman;Times;serif"/>
          <w:sz w:val="20"/>
        </w:rPr>
        <w:t xml:space="preserve">, all stock based compensation issued under the </w:t>
      </w:r>
      <w:r>
        <w:rPr>
          <w:rStyle w:val="Emphasis"/>
          <w:rFonts w:ascii="Times New Roman;Times;serif" w:hAnsi="Times New Roman;Times;serif"/>
          <w:sz w:val="20"/>
        </w:rPr>
        <w:t>2025</w:t>
      </w:r>
      <w:r>
        <w:rPr>
          <w:rFonts w:ascii="Times New Roman;Times;serif" w:hAnsi="Times New Roman;Times;serif"/>
          <w:sz w:val="20"/>
        </w:rPr>
        <w:t xml:space="preserve"> plan was in the form of restricted stock awards and a total of 416,396 shares were still available to be issued under the plan.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summarizes the activity related to restricted stock awards for the three months ended </w:t>
      </w:r>
      <w:r>
        <w:rPr>
          <w:rStyle w:val="Emphasis"/>
          <w:rFonts w:ascii="Times New Roman;Times;serif" w:hAnsi="Times New Roman;Times;serif"/>
          <w:sz w:val="20"/>
        </w:rPr>
        <w:t>June 30, 2026</w:t>
      </w:r>
      <w:r>
        <w:rPr>
          <w:rFonts w:ascii="Times New Roman;Times;serif" w:hAnsi="Times New Roman;Times;serif"/>
          <w:sz w:val="20"/>
        </w:rPr>
        <w:t>:</w:t>
      </w:r>
    </w:p>
    <w:p>
      <w:pPr>
        <w:pStyle w:val="TextBody"/>
        <w:bidi w:val="0"/>
        <w:spacing w:before="0" w:after="0"/>
        <w:ind w:left="0" w:right="0" w:firstLine="490"/>
        <w:jc w:val="both"/>
        <w:rPr/>
      </w:pPr>
      <w:r>
        <w:rPr/>
        <w:t> </w:t>
      </w:r>
    </w:p>
    <w:tbl>
      <w:tblPr>
        <w:tblW w:w="6813" w:type="dxa"/>
        <w:jc w:val="left"/>
        <w:tblInd w:w="0" w:type="dxa"/>
        <w:tblLayout w:type="fixed"/>
        <w:tblCellMar>
          <w:top w:w="0" w:type="dxa"/>
          <w:left w:w="0" w:type="dxa"/>
          <w:bottom w:w="0" w:type="dxa"/>
          <w:right w:w="0" w:type="dxa"/>
        </w:tblCellMar>
      </w:tblPr>
      <w:tblGrid>
        <w:gridCol w:w="2315"/>
        <w:gridCol w:w="60"/>
        <w:gridCol w:w="118"/>
        <w:gridCol w:w="1371"/>
        <w:gridCol w:w="80"/>
        <w:gridCol w:w="60"/>
        <w:gridCol w:w="562"/>
        <w:gridCol w:w="2187"/>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7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 Average</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Grant Date Fair Value Per Share</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March 31, 2026</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3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3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ind w:left="0" w:right="0" w:hanging="0"/>
              <w:jc w:val="left"/>
              <w:rPr/>
            </w:pPr>
            <w:r>
              <w:rPr/>
              <w:t> </w:t>
            </w:r>
          </w:p>
        </w:tc>
        <w:tc>
          <w:tcPr>
            <w:tcW w:w="21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June 30, 2026</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measures compensation expense for restricted stock awards at the market price of the common stock as of the grant date. Compensation expense for awards with time based restrictions is recognized over the requisite service period applicable to each award. Compensation expense for awards with performance based restrictions is recognized once it is probable the performance conditions will be satisfied with a cumulative effect adjustment and the remaining expense recognized over the remaining service period. The stock awards granted during the three months ended </w:t>
      </w:r>
      <w:r>
        <w:rPr>
          <w:rStyle w:val="Emphasis"/>
          <w:rFonts w:ascii="Times New Roman;Times;serif" w:hAnsi="Times New Roman;Times;serif"/>
          <w:sz w:val="20"/>
        </w:rPr>
        <w:t xml:space="preserve">June 30, 2026 </w:t>
      </w:r>
      <w:r>
        <w:rPr>
          <w:rFonts w:ascii="Times New Roman;Times;serif" w:hAnsi="Times New Roman;Times;serif"/>
          <w:sz w:val="20"/>
        </w:rPr>
        <w:t>consist of 71,550 time restricted shares with annual ratable vesting over a three year period and 33,750 performance restricted shares with vesting thresholds dependent on the percentage of average earnings before tax to average accounts receivable, inventory and net PP&amp;E over a three year period. The Company recorded compensation expen</w:t>
      </w:r>
      <w:r>
        <w:rPr>
          <w:rFonts w:ascii="Times New Roman;Times;serif" w:hAnsi="Times New Roman;Times;serif"/>
          <w:sz w:val="20"/>
          <w:shd w:fill="FFFFFF" w:val="clear"/>
        </w:rPr>
        <w:t xml:space="preserve">se of approximately </w:t>
      </w:r>
      <w:r>
        <w:rPr>
          <w:rFonts w:ascii="Times New Roman;Times;serif" w:hAnsi="Times New Roman;Times;serif"/>
          <w:sz w:val="20"/>
        </w:rPr>
        <w:t xml:space="preserve">$0.2 million and $0.1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respectively, relating to the restricted stock issued under the plans. As of </w:t>
      </w:r>
      <w:r>
        <w:rPr>
          <w:rStyle w:val="Emphasis"/>
          <w:rFonts w:ascii="Times New Roman;Times;serif" w:hAnsi="Times New Roman;Times;serif"/>
          <w:sz w:val="20"/>
        </w:rPr>
        <w:t>June 30, 2026</w:t>
      </w:r>
      <w:r>
        <w:rPr>
          <w:rFonts w:ascii="Times New Roman;Times;serif" w:hAnsi="Times New Roman;Times;serif"/>
          <w:sz w:val="20"/>
        </w:rPr>
        <w:t>, unrecognized compensation expense related to unvested restricted stock was approximately $3.1 million which is expected to be recognized over a weighted average period of approximately 2.2 years.</w:t>
      </w:r>
    </w:p>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NOTE </w:t>
      </w:r>
      <w:r>
        <w:rPr>
          <w:rStyle w:val="Emphasis"/>
          <w:rFonts w:ascii="Times New Roman" w:hAnsi="Times New Roman"/>
          <w:caps w:val="false"/>
          <w:smallCaps w:val="false"/>
          <w:sz w:val="20"/>
          <w:shd w:fill="FFFFFF" w:val="clear"/>
        </w:rPr>
        <w:t>9</w:t>
      </w:r>
      <w:r>
        <w:rPr>
          <w:rFonts w:ascii="Times New Roman" w:hAnsi="Times New Roman"/>
          <w:caps w:val="false"/>
          <w:smallCaps w:val="false"/>
          <w:sz w:val="20"/>
          <w:shd w:fill="FFFFFF" w:val="clear"/>
        </w:rPr>
        <w:t xml:space="preserve"> — </w:t>
      </w:r>
      <w:r>
        <w:rPr>
          <w:rFonts w:ascii="Times New Roman" w:hAnsi="Times New Roman"/>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From time to time, we expect to utilize futures, options or swaps to manage our exposure to metals price risk that is inherent in our business. </w:t>
      </w:r>
      <w:r>
        <w:rPr>
          <w:rFonts w:ascii="Times New Roman" w:hAnsi="Times New Roman"/>
          <w:caps w:val="false"/>
          <w:smallCaps w:val="false"/>
          <w:sz w:val="20"/>
          <w:shd w:fill="FFFFFF" w:val="clear"/>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all of the Company's hedging activities were classified as economic hedges of risk with mark-to-market ("MTM") accounting treatment.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any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The Company has forward physical purchase supply agreements in place with some of its suppliers for a portion of its monthly physical steel needs. These supply agreements are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subject to mark-to-market accounting due to the Company electing the normal purchase normal sale exclusion provided in ASC </w:t>
      </w:r>
      <w:r>
        <w:rPr>
          <w:rStyle w:val="Emphasis"/>
          <w:rFonts w:ascii="Times New Roman" w:hAnsi="Times New Roman"/>
          <w:caps w:val="false"/>
          <w:smallCaps w:val="false"/>
          <w:sz w:val="20"/>
          <w:shd w:fill="FFFFFF" w:val="clear"/>
        </w:rPr>
        <w:t>815.</w:t>
      </w:r>
      <w:r>
        <w:rPr>
          <w:rFonts w:ascii="Times New Roman" w:hAnsi="Times New Roman"/>
          <w:caps w:val="false"/>
          <w:smallCaps w:val="false"/>
          <w:sz w:val="20"/>
          <w:shd w:fill="FFFFFF" w:val="clea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derivatives designated as hedging instruments and classified as cash flow or fair value hedges.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 xml:space="preserve">The following table summarizes the fair value of the Company’s derivative financial instruments and the respective line in which they were recorded in the Consolidated Balance Sheet as of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(in thousands):</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0"/>
        <w:gridCol w:w="2365"/>
        <w:gridCol w:w="60"/>
        <w:gridCol w:w="221"/>
        <w:gridCol w:w="599"/>
        <w:gridCol w:w="60"/>
        <w:gridCol w:w="2496"/>
        <w:gridCol w:w="60"/>
        <w:gridCol w:w="173"/>
        <w:gridCol w:w="673"/>
        <w:gridCol w:w="78"/>
      </w:tblGrid>
      <w:tr>
        <w:trPr/>
        <w:tc>
          <w:tcPr>
            <w:tcW w:w="3420" w:type="dxa"/>
            <w:tcBorders/>
            <w:shd w:fill="FFFFFF" w:val="clear"/>
            <w:vAlign w:val="center"/>
          </w:tcPr>
          <w:p>
            <w:pPr>
              <w:pStyle w:val="TableContents"/>
              <w:bidi w:val="0"/>
              <w:spacing w:before="0" w:after="283"/>
              <w:ind w:left="0" w:right="0" w:hanging="0"/>
              <w:jc w:val="left"/>
              <w:rPr/>
            </w:pPr>
            <w:r>
              <w:rPr/>
              <w:t> </w:t>
            </w:r>
          </w:p>
        </w:tc>
        <w:tc>
          <w:tcPr>
            <w:tcW w:w="3245"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3402"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Liability Derivatives</w:t>
            </w:r>
          </w:p>
        </w:tc>
        <w:tc>
          <w:tcPr>
            <w:tcW w:w="78" w:type="dxa"/>
            <w:tcBorders/>
            <w:shd w:fill="FFFFFF" w:val="clear"/>
            <w:vAlign w:val="center"/>
          </w:tcPr>
          <w:p>
            <w:pPr>
              <w:pStyle w:val="TableContents"/>
              <w:bidi w:val="0"/>
              <w:spacing w:before="0" w:after="283"/>
              <w:jc w:val="left"/>
              <w:rPr/>
            </w:pPr>
            <w:r>
              <w:rPr/>
              <w:t> </w:t>
            </w:r>
          </w:p>
        </w:tc>
      </w:tr>
      <w:tr>
        <w:trPr/>
        <w:tc>
          <w:tcPr>
            <w:tcW w:w="3420" w:type="dxa"/>
            <w:tcBorders/>
            <w:shd w:fill="FFFFFF" w:val="clear"/>
            <w:vAlign w:val="center"/>
          </w:tcPr>
          <w:p>
            <w:pPr>
              <w:pStyle w:val="TableContents"/>
              <w:bidi w:val="0"/>
              <w:spacing w:before="0" w:after="283"/>
              <w:ind w:left="0" w:right="0" w:hanging="0"/>
              <w:jc w:val="left"/>
              <w:rPr/>
            </w:pPr>
            <w:r>
              <w:rPr/>
              <w:t> </w:t>
            </w:r>
          </w:p>
        </w:tc>
        <w:tc>
          <w:tcPr>
            <w:tcW w:w="236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6"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center"/>
              <w:rPr/>
            </w:pPr>
            <w:r>
              <w:rPr>
                <w:rStyle w:val="Emphasis"/>
              </w:rPr>
              <w:t> </w:t>
            </w:r>
          </w:p>
        </w:tc>
        <w:tc>
          <w:tcPr>
            <w:tcW w:w="78" w:type="dxa"/>
            <w:tcBorders/>
            <w:shd w:fill="FFFFFF" w:val="clear"/>
            <w:vAlign w:val="center"/>
          </w:tcPr>
          <w:p>
            <w:pPr>
              <w:pStyle w:val="TableContents"/>
              <w:bidi w:val="0"/>
              <w:spacing w:before="0" w:after="283"/>
              <w:jc w:val="left"/>
              <w:rPr/>
            </w:pPr>
            <w:r>
              <w:rPr/>
              <w:t> </w:t>
            </w:r>
          </w:p>
        </w:tc>
      </w:tr>
      <w:tr>
        <w:trPr/>
        <w:tc>
          <w:tcPr>
            <w:tcW w:w="3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not designated as hedging instruments:</w:t>
            </w:r>
          </w:p>
        </w:tc>
        <w:tc>
          <w:tcPr>
            <w:tcW w:w="236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49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78" w:type="dxa"/>
            <w:tcBorders/>
            <w:shd w:fill="FFFFFF" w:val="clear"/>
            <w:vAlign w:val="center"/>
          </w:tcPr>
          <w:p>
            <w:pPr>
              <w:pStyle w:val="TableContents"/>
              <w:bidi w:val="0"/>
              <w:spacing w:before="0" w:after="283"/>
              <w:jc w:val="left"/>
              <w:rPr/>
            </w:pPr>
            <w:r>
              <w:rPr/>
              <w:t> </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Hot-rolled coil steel contracts</w:t>
            </w:r>
          </w:p>
        </w:tc>
        <w:tc>
          <w:tcPr>
            <w:tcW w:w="236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derivative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60" w:type="dxa"/>
            <w:tcBorders/>
            <w:shd w:fill="CCEEFF" w:val="clear"/>
            <w:vAlign w:val="center"/>
          </w:tcPr>
          <w:p>
            <w:pPr>
              <w:pStyle w:val="TableContents"/>
              <w:bidi w:val="0"/>
              <w:spacing w:before="0" w:after="283"/>
              <w:ind w:left="0" w:right="0" w:hanging="0"/>
              <w:jc w:val="left"/>
              <w:rPr/>
            </w:pPr>
            <w:r>
              <w:rPr/>
              <w:t> </w:t>
            </w:r>
          </w:p>
        </w:tc>
        <w:tc>
          <w:tcPr>
            <w:tcW w:w="2496"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derivative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shd w:fill="FFFFFF" w:val="clear"/>
        </w:rPr>
        <w:t xml:space="preserve">The following table summarizes the fair value of the Company’s derivative financial instruments and the respective line in which they were recorded in the Consolidated Balance Sheet as of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(in thousands):</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30"/>
        <w:gridCol w:w="2371"/>
        <w:gridCol w:w="60"/>
        <w:gridCol w:w="221"/>
        <w:gridCol w:w="600"/>
        <w:gridCol w:w="60"/>
        <w:gridCol w:w="2503"/>
        <w:gridCol w:w="60"/>
        <w:gridCol w:w="221"/>
        <w:gridCol w:w="600"/>
        <w:gridCol w:w="79"/>
      </w:tblGrid>
      <w:tr>
        <w:trPr/>
        <w:tc>
          <w:tcPr>
            <w:tcW w:w="3430" w:type="dxa"/>
            <w:tcBorders/>
            <w:shd w:fill="FFFFFF" w:val="clear"/>
            <w:vAlign w:val="center"/>
          </w:tcPr>
          <w:p>
            <w:pPr>
              <w:pStyle w:val="TableContents"/>
              <w:bidi w:val="0"/>
              <w:spacing w:before="0" w:after="283"/>
              <w:ind w:left="0" w:right="0" w:hanging="0"/>
              <w:jc w:val="left"/>
              <w:rPr/>
            </w:pPr>
            <w:r>
              <w:rPr/>
              <w:t> </w:t>
            </w:r>
          </w:p>
        </w:tc>
        <w:tc>
          <w:tcPr>
            <w:tcW w:w="3252"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3384"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Liability Derivatives</w:t>
            </w:r>
          </w:p>
        </w:tc>
        <w:tc>
          <w:tcPr>
            <w:tcW w:w="79" w:type="dxa"/>
            <w:tcBorders/>
            <w:shd w:fill="FFFFFF" w:val="clear"/>
            <w:vAlign w:val="center"/>
          </w:tcPr>
          <w:p>
            <w:pPr>
              <w:pStyle w:val="TableContents"/>
              <w:bidi w:val="0"/>
              <w:spacing w:before="0" w:after="283"/>
              <w:jc w:val="left"/>
              <w:rPr/>
            </w:pPr>
            <w:r>
              <w:rPr/>
              <w:t> </w:t>
            </w:r>
          </w:p>
        </w:tc>
      </w:tr>
      <w:tr>
        <w:trPr/>
        <w:tc>
          <w:tcPr>
            <w:tcW w:w="3430" w:type="dxa"/>
            <w:tcBorders/>
            <w:shd w:fill="FFFFFF" w:val="clear"/>
            <w:vAlign w:val="center"/>
          </w:tcPr>
          <w:p>
            <w:pPr>
              <w:pStyle w:val="TableContents"/>
              <w:bidi w:val="0"/>
              <w:spacing w:before="0" w:after="283"/>
              <w:ind w:left="0" w:right="0" w:hanging="0"/>
              <w:jc w:val="left"/>
              <w:rPr/>
            </w:pPr>
            <w:r>
              <w:rPr/>
              <w:t> </w:t>
            </w:r>
          </w:p>
        </w:tc>
        <w:tc>
          <w:tcPr>
            <w:tcW w:w="2371"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3"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center"/>
              <w:rPr/>
            </w:pPr>
            <w:r>
              <w:rPr>
                <w:rStyle w:val="Emphasis"/>
              </w:rPr>
              <w:t> </w:t>
            </w:r>
          </w:p>
        </w:tc>
        <w:tc>
          <w:tcPr>
            <w:tcW w:w="79" w:type="dxa"/>
            <w:tcBorders/>
            <w:shd w:fill="FFFFFF" w:val="clear"/>
            <w:vAlign w:val="center"/>
          </w:tcPr>
          <w:p>
            <w:pPr>
              <w:pStyle w:val="TableContents"/>
              <w:bidi w:val="0"/>
              <w:spacing w:before="0" w:after="283"/>
              <w:jc w:val="left"/>
              <w:rPr/>
            </w:pPr>
            <w:r>
              <w:rPr/>
              <w:t> </w:t>
            </w:r>
          </w:p>
        </w:tc>
      </w:tr>
      <w:tr>
        <w:trPr/>
        <w:tc>
          <w:tcPr>
            <w:tcW w:w="34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not designated as hedging instruments:</w:t>
            </w:r>
          </w:p>
        </w:tc>
        <w:tc>
          <w:tcPr>
            <w:tcW w:w="237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50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79" w:type="dxa"/>
            <w:tcBorders/>
            <w:shd w:fill="FFFFFF" w:val="clear"/>
            <w:vAlign w:val="center"/>
          </w:tcPr>
          <w:p>
            <w:pPr>
              <w:pStyle w:val="TableContents"/>
              <w:bidi w:val="0"/>
              <w:spacing w:before="0" w:after="283"/>
              <w:jc w:val="left"/>
              <w:rPr/>
            </w:pPr>
            <w:r>
              <w:rPr/>
              <w:t> </w:t>
            </w:r>
          </w:p>
        </w:tc>
      </w:tr>
      <w:tr>
        <w:trPr/>
        <w:tc>
          <w:tcPr>
            <w:tcW w:w="3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Hot-rolled coil steel contracts</w:t>
            </w:r>
          </w:p>
        </w:tc>
        <w:tc>
          <w:tcPr>
            <w:tcW w:w="2371"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Current portion of derivative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0" w:type="dxa"/>
            <w:tcBorders/>
            <w:shd w:fill="CCEEFF" w:val="clear"/>
            <w:vAlign w:val="center"/>
          </w:tcPr>
          <w:p>
            <w:pPr>
              <w:pStyle w:val="TableContents"/>
              <w:bidi w:val="0"/>
              <w:spacing w:before="0" w:after="283"/>
              <w:ind w:left="0" w:right="0" w:hanging="0"/>
              <w:jc w:val="left"/>
              <w:rPr/>
            </w:pPr>
            <w:r>
              <w:rPr/>
              <w:t> </w:t>
            </w:r>
          </w:p>
        </w:tc>
        <w:tc>
          <w:tcPr>
            <w:tcW w:w="2503"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derivative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All derivatives are presented on a gross basis on the Consolidated Balance Sheets.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shd w:fill="FFFFFF" w:val="clear"/>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Fonts w:ascii="Times New Roman" w:hAnsi="Times New Roman"/>
          <w:caps w:val="false"/>
          <w:smallCaps w:val="false"/>
          <w:sz w:val="20"/>
          <w:shd w:fill="FFFFFF" w:val="clear"/>
        </w:rPr>
        <w:t xml:space="preserve"> the Company entered into hot-rolled coil futures and swap contracts that were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designated as hedging instruments for accounting purposes. Accordingly, the change in fair value related to these instruments was immediately recognized in earnings for these periods.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xml:space="preserve">, the Company did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 any transactions as hedging instruments for accounting purposes.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 xml:space="preserve">The following table summarizes the </w:t>
      </w:r>
      <w:r>
        <w:rPr>
          <w:rFonts w:ascii="Times New Roman" w:hAnsi="Times New Roman"/>
          <w:caps w:val="false"/>
          <w:smallCaps w:val="false"/>
          <w:sz w:val="20"/>
        </w:rPr>
        <w:t>loss </w:t>
      </w:r>
      <w:r>
        <w:rPr>
          <w:rFonts w:ascii="Times New Roman" w:hAnsi="Times New Roman"/>
          <w:caps w:val="false"/>
          <w:smallCaps w:val="false"/>
          <w:sz w:val="20"/>
          <w:shd w:fill="FFFFFF" w:val="clear"/>
        </w:rPr>
        <w:t xml:space="preserve">recognized in earnings for derivative instruments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designated as hedging instruments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(in thousands):</w:t>
      </w:r>
    </w:p>
    <w:p>
      <w:pPr>
        <w:pStyle w:val="TextBody"/>
        <w:bidi w:val="0"/>
        <w:spacing w:before="0" w:after="0"/>
        <w:ind w:left="0" w:right="0" w:firstLine="490"/>
        <w:jc w:val="both"/>
        <w:rPr>
          <w:caps w:val="false"/>
          <w:smallCaps w:val="false"/>
        </w:rPr>
      </w:pPr>
      <w:r>
        <w:rPr>
          <w:caps w:val="false"/>
          <w:smallCaps w:val="false"/>
        </w:rPr>
        <w:t> </w:t>
      </w:r>
    </w:p>
    <w:tbl>
      <w:tblPr>
        <w:tblW w:w="8134" w:type="dxa"/>
        <w:jc w:val="left"/>
        <w:tblInd w:w="0" w:type="dxa"/>
        <w:tblLayout w:type="fixed"/>
        <w:tblCellMar>
          <w:top w:w="0" w:type="dxa"/>
          <w:left w:w="0" w:type="dxa"/>
          <w:bottom w:w="0" w:type="dxa"/>
          <w:right w:w="0" w:type="dxa"/>
        </w:tblCellMar>
      </w:tblPr>
      <w:tblGrid>
        <w:gridCol w:w="2420"/>
        <w:gridCol w:w="3155"/>
        <w:gridCol w:w="60"/>
        <w:gridCol w:w="449"/>
        <w:gridCol w:w="1970"/>
        <w:gridCol w:w="80"/>
      </w:tblGrid>
      <w:tr>
        <w:trPr/>
        <w:tc>
          <w:tcPr>
            <w:tcW w:w="242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 Recognized in Earnings</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315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 of Loss</w:t>
            </w:r>
          </w:p>
        </w:tc>
        <w:tc>
          <w:tcPr>
            <w:tcW w:w="60" w:type="dxa"/>
            <w:tcBorders/>
            <w:shd w:fill="FFFFFF" w:val="clear"/>
            <w:vAlign w:val="center"/>
          </w:tcPr>
          <w:p>
            <w:pPr>
              <w:pStyle w:val="TableContents"/>
              <w:bidi w:val="0"/>
              <w:spacing w:before="0" w:after="283"/>
              <w:ind w:left="0" w:right="0" w:hanging="0"/>
              <w:jc w:val="left"/>
              <w:rPr/>
            </w:pPr>
            <w:r>
              <w:rPr/>
              <w:t> </w:t>
            </w:r>
          </w:p>
        </w:tc>
        <w:tc>
          <w:tcPr>
            <w:tcW w:w="24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31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Recognized in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4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2026</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Hot-rolled coil steel contracts</w:t>
            </w:r>
          </w:p>
        </w:tc>
        <w:tc>
          <w:tcPr>
            <w:tcW w:w="315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 (loss) on economic hedges of risk</w:t>
            </w:r>
          </w:p>
        </w:tc>
        <w:tc>
          <w:tcPr>
            <w:tcW w:w="60"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following table summarizes the gain recognized in earnings for derivative instruments </w:t>
      </w:r>
      <w:r>
        <w:rPr>
          <w:rStyle w:val="Emphasis"/>
          <w:rFonts w:ascii="Times New Roman;Times;serif" w:hAnsi="Times New Roman;Times;serif"/>
          <w:sz w:val="20"/>
        </w:rPr>
        <w:t>not</w:t>
      </w:r>
      <w:r>
        <w:rPr>
          <w:rFonts w:ascii="Times New Roman;Times;serif" w:hAnsi="Times New Roman;Times;serif"/>
          <w:sz w:val="20"/>
        </w:rPr>
        <w:t xml:space="preserve"> designated as hedging instruments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w:t>
      </w:r>
      <w:r>
        <w:rPr>
          <w:rFonts w:ascii="Times New Roman;Times;serif" w:hAnsi="Times New Roman;Times;serif"/>
          <w:sz w:val="20"/>
          <w:shd w:fill="FFFFFF" w:val="clear"/>
        </w:rPr>
        <w:t>(in thousands):</w:t>
      </w:r>
    </w:p>
    <w:p>
      <w:pPr>
        <w:pStyle w:val="TextBody"/>
        <w:bidi w:val="0"/>
        <w:spacing w:before="0" w:after="0"/>
        <w:ind w:left="0" w:right="0" w:hanging="0"/>
        <w:jc w:val="left"/>
        <w:rPr>
          <w:caps w:val="false"/>
          <w:smallCaps w:val="false"/>
        </w:rPr>
      </w:pPr>
      <w:r>
        <w:rPr>
          <w:caps w:val="false"/>
          <w:smallCaps w:val="false"/>
        </w:rPr>
        <w:t> </w:t>
      </w:r>
    </w:p>
    <w:tbl>
      <w:tblPr>
        <w:tblW w:w="8145" w:type="dxa"/>
        <w:jc w:val="left"/>
        <w:tblInd w:w="0" w:type="dxa"/>
        <w:tblLayout w:type="fixed"/>
        <w:tblCellMar>
          <w:top w:w="0" w:type="dxa"/>
          <w:left w:w="0" w:type="dxa"/>
          <w:bottom w:w="0" w:type="dxa"/>
          <w:right w:w="0" w:type="dxa"/>
        </w:tblCellMar>
      </w:tblPr>
      <w:tblGrid>
        <w:gridCol w:w="2420"/>
        <w:gridCol w:w="3155"/>
        <w:gridCol w:w="60"/>
        <w:gridCol w:w="665"/>
        <w:gridCol w:w="1785"/>
        <w:gridCol w:w="60"/>
      </w:tblGrid>
      <w:tr>
        <w:trPr/>
        <w:tc>
          <w:tcPr>
            <w:tcW w:w="242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Recognized in Earnings</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315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 of Gain</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31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Recognized in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Hot-rolled coil steel contracts</w:t>
            </w:r>
          </w:p>
        </w:tc>
        <w:tc>
          <w:tcPr>
            <w:tcW w:w="315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 (loss) on economic hedges of risk</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sz w:val="20"/>
        </w:rPr>
        <w:t>The following table summarizes the Company's economic (non-designated) derivative instruments outstanding at </w:t>
      </w:r>
      <w:r>
        <w:rPr>
          <w:rStyle w:val="Emphasis"/>
          <w:rFonts w:ascii="Times New Roman;Times;serif" w:hAnsi="Times New Roman;Times;serif"/>
          <w:sz w:val="20"/>
        </w:rPr>
        <w:t xml:space="preserve"> June 30, 2026</w:t>
      </w:r>
      <w:r>
        <w:rPr>
          <w:rFonts w:ascii="Times New Roman;Times;serif" w:hAnsi="Times New Roman;Times;serif"/>
          <w:sz w:val="20"/>
        </w:rPr>
        <w:t> (in</w:t>
      </w:r>
      <w:r>
        <w:rPr>
          <w:rFonts w:ascii="Times New Roman;Times;serif" w:hAnsi="Times New Roman;Times;serif"/>
          <w:sz w:val="20"/>
          <w:shd w:fill="FFFFFF" w:val="clear"/>
        </w:rPr>
        <w:t> thousands):</w:t>
      </w:r>
    </w:p>
    <w:p>
      <w:pPr>
        <w:pStyle w:val="TextBody"/>
        <w:bidi w:val="0"/>
        <w:spacing w:before="0" w:after="0"/>
        <w:ind w:left="0" w:right="0" w:firstLine="540"/>
        <w:jc w:val="both"/>
        <w:rPr/>
      </w:pPr>
      <w:r>
        <w:rPr/>
        <w:t> </w:t>
      </w:r>
    </w:p>
    <w:tbl>
      <w:tblPr>
        <w:tblW w:w="5899" w:type="dxa"/>
        <w:jc w:val="left"/>
        <w:tblInd w:w="0" w:type="dxa"/>
        <w:tblLayout w:type="fixed"/>
        <w:tblCellMar>
          <w:top w:w="0" w:type="dxa"/>
          <w:left w:w="0" w:type="dxa"/>
          <w:bottom w:w="0" w:type="dxa"/>
          <w:right w:w="0" w:type="dxa"/>
        </w:tblCellMar>
      </w:tblPr>
      <w:tblGrid>
        <w:gridCol w:w="2435"/>
        <w:gridCol w:w="237"/>
        <w:gridCol w:w="1237"/>
        <w:gridCol w:w="80"/>
        <w:gridCol w:w="1835"/>
        <w:gridCol w:w="75"/>
      </w:tblGrid>
      <w:tr>
        <w:trPr/>
        <w:tc>
          <w:tcPr>
            <w:tcW w:w="2435" w:type="dxa"/>
            <w:tcBorders/>
            <w:vAlign w:val="center"/>
          </w:tcPr>
          <w:p>
            <w:pPr>
              <w:pStyle w:val="TableContents"/>
              <w:bidi w:val="0"/>
              <w:spacing w:before="0" w:after="283"/>
              <w:jc w:val="left"/>
              <w:rPr/>
            </w:pPr>
            <w:r>
              <w:rPr/>
              <w:t> </w:t>
            </w:r>
          </w:p>
        </w:tc>
        <w:tc>
          <w:tcPr>
            <w:tcW w:w="14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Notional Amount</w:t>
            </w:r>
          </w:p>
        </w:tc>
        <w:tc>
          <w:tcPr>
            <w:tcW w:w="80" w:type="dxa"/>
            <w:tcBorders/>
            <w:vAlign w:val="center"/>
          </w:tcPr>
          <w:p>
            <w:pPr>
              <w:pStyle w:val="TableContents"/>
              <w:bidi w:val="0"/>
              <w:spacing w:before="0" w:after="283"/>
              <w:jc w:val="left"/>
              <w:rPr/>
            </w:pPr>
            <w:r>
              <w:rPr/>
              <w:t> </w:t>
            </w:r>
          </w:p>
        </w:tc>
        <w:tc>
          <w:tcPr>
            <w:tcW w:w="183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Maturity Date</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Hot-rolled coil steel contracts</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35" w:type="dxa"/>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July 2026 - June 2027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ind w:left="0" w:right="0" w:firstLine="540"/>
        <w:jc w:val="left"/>
        <w:rPr/>
      </w:pPr>
      <w:r>
        <w:rPr>
          <w:rFonts w:ascii="Times New Roman;Times;serif" w:hAnsi="Times New Roman;Times;serif"/>
          <w:sz w:val="20"/>
        </w:rPr>
        <w:t xml:space="preserve">The following table summarizes the Company's economic (non-designated) derivative instruments outstanding at  </w:t>
      </w:r>
      <w:r>
        <w:rPr>
          <w:rStyle w:val="Emphasis"/>
          <w:rFonts w:ascii="Times New Roman;Times;serif" w:hAnsi="Times New Roman;Times;serif"/>
          <w:sz w:val="20"/>
        </w:rPr>
        <w:t>March 31, 2026</w:t>
      </w:r>
      <w:r>
        <w:rPr>
          <w:rFonts w:ascii="Times New Roman;Times;serif" w:hAnsi="Times New Roman;Times;serif"/>
          <w:sz w:val="20"/>
        </w:rPr>
        <w:t xml:space="preserve">  (in </w:t>
      </w:r>
      <w:r>
        <w:rPr>
          <w:rFonts w:ascii="Times New Roman;Times;serif" w:hAnsi="Times New Roman;Times;serif"/>
          <w:sz w:val="20"/>
          <w:shd w:fill="FFFFFF" w:val="clear"/>
        </w:rPr>
        <w:t> thousands):</w:t>
      </w:r>
      <w:r>
        <w:rPr>
          <w:rFonts w:ascii="Times New Roman;Times;serif" w:hAnsi="Times New Roman;Times;serif"/>
          <w:sz w:val="20"/>
        </w:rPr>
        <w:t xml:space="preserve"> </w:t>
      </w:r>
    </w:p>
    <w:p>
      <w:pPr>
        <w:pStyle w:val="TextBody"/>
        <w:bidi w:val="0"/>
        <w:spacing w:before="0" w:after="0"/>
        <w:ind w:left="0" w:right="0" w:firstLine="540"/>
        <w:jc w:val="both"/>
        <w:rPr/>
      </w:pPr>
      <w:r>
        <w:rPr/>
        <w:t> </w:t>
      </w:r>
    </w:p>
    <w:tbl>
      <w:tblPr>
        <w:tblW w:w="6079" w:type="dxa"/>
        <w:jc w:val="left"/>
        <w:tblInd w:w="0" w:type="dxa"/>
        <w:tblLayout w:type="fixed"/>
        <w:tblCellMar>
          <w:top w:w="0" w:type="dxa"/>
          <w:left w:w="0" w:type="dxa"/>
          <w:bottom w:w="0" w:type="dxa"/>
          <w:right w:w="0" w:type="dxa"/>
        </w:tblCellMar>
      </w:tblPr>
      <w:tblGrid>
        <w:gridCol w:w="2480"/>
        <w:gridCol w:w="329"/>
        <w:gridCol w:w="1190"/>
        <w:gridCol w:w="80"/>
        <w:gridCol w:w="1925"/>
        <w:gridCol w:w="75"/>
      </w:tblGrid>
      <w:tr>
        <w:trPr/>
        <w:tc>
          <w:tcPr>
            <w:tcW w:w="2480" w:type="dxa"/>
            <w:tcBorders/>
            <w:vAlign w:val="center"/>
          </w:tcPr>
          <w:p>
            <w:pPr>
              <w:pStyle w:val="TableContents"/>
              <w:bidi w:val="0"/>
              <w:spacing w:before="0" w:after="283"/>
              <w:jc w:val="left"/>
              <w:rPr/>
            </w:pPr>
            <w:r>
              <w:rPr/>
              <w:t> </w:t>
            </w:r>
          </w:p>
        </w:tc>
        <w:tc>
          <w:tcPr>
            <w:tcW w:w="1519" w:type="dxa"/>
            <w:gridSpan w:val="2"/>
            <w:tcBorders>
              <w:bottom w:val="single" w:sz="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Notional Amount</w:t>
            </w:r>
            <w:r>
              <w:rPr>
                <w:rFonts w:ascii="Times New Roman;Times;serif" w:hAnsi="Times New Roman;Times;serif"/>
                <w:sz w:val="20"/>
              </w:rPr>
              <w:t xml:space="preserve"> </w:t>
            </w:r>
          </w:p>
        </w:tc>
        <w:tc>
          <w:tcPr>
            <w:tcW w:w="80" w:type="dxa"/>
            <w:tcBorders/>
            <w:vAlign w:val="center"/>
          </w:tcPr>
          <w:p>
            <w:pPr>
              <w:pStyle w:val="TableContents"/>
              <w:bidi w:val="0"/>
              <w:spacing w:before="0" w:after="283"/>
              <w:jc w:val="left"/>
              <w:rPr/>
            </w:pPr>
            <w:r>
              <w:rPr/>
              <w:t> </w:t>
            </w:r>
          </w:p>
        </w:tc>
        <w:tc>
          <w:tcPr>
            <w:tcW w:w="1925" w:type="dxa"/>
            <w:tcBorders>
              <w:bottom w:val="single" w:sz="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Maturity Date</w:t>
            </w:r>
            <w:r>
              <w:rPr>
                <w:rFonts w:ascii="Times New Roman;Times;serif" w:hAnsi="Times New Roman;Times;serif"/>
                <w:sz w:val="20"/>
              </w:rPr>
              <w:t xml:space="preserve"> </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Hot-rolled coil steel contracts </w:t>
            </w:r>
          </w:p>
        </w:tc>
        <w:tc>
          <w:tcPr>
            <w:tcW w:w="32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25" w:type="dxa"/>
            <w:tcBorders/>
            <w:shd w:fill="CCEEFF" w:val="clear"/>
            <w:vAlign w:val="center"/>
          </w:tcPr>
          <w:p>
            <w:pPr>
              <w:pStyle w:val="TableContents"/>
              <w:bidi w:val="0"/>
              <w:spacing w:before="0" w:after="0"/>
              <w:jc w:val="center"/>
              <w:rPr/>
            </w:pPr>
            <w:r>
              <w:rPr>
                <w:rStyle w:val="Emphasis"/>
                <w:rFonts w:ascii="Times New Roman;Times;serif" w:hAnsi="Times New Roman;Times;serif"/>
                <w:sz w:val="20"/>
              </w:rPr>
              <w:t>April 2026 - May 2027</w:t>
            </w:r>
            <w:r>
              <w:rPr>
                <w:rFonts w:ascii="Times New Roman;Times;serif" w:hAnsi="Times New Roman;Times;serif"/>
                <w:sz w:val="20"/>
              </w:rPr>
              <w:t xml:space="preserve">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cash of approximately $3.0 million and $0.8 million, respectively, was held by our clearing agent to collateralize our open derivative positions. These cash requirements are included in "Other current assets" on the Company's Consolidated Balance Sheets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10</w:t>
      </w:r>
      <w:r>
        <w:rPr>
          <w:rFonts w:ascii="Times New Roman;Times;serif" w:hAnsi="Times New Roman;Times;serif"/>
          <w:sz w:val="20"/>
        </w:rPr>
        <w:t> — FAIR VALUE MEASUREMENTS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Accounting standards provide a comprehensive framework for measuring fair value, define fair value, and establish a hierarchy prioritizing the inputs to valuation techniques. The hierarchy gives the highest priority to quoted prices in active markets for identical assets and liabilities and the lowest priority to unobservable inputs. Levels within the hierarchy are defined as follows:</w:t>
      </w:r>
    </w:p>
    <w:p>
      <w:pPr>
        <w:pStyle w:val="TextBody"/>
        <w:bidi w:val="0"/>
        <w:spacing w:before="0" w:after="0"/>
        <w:ind w:left="0" w:right="0" w:hanging="0"/>
        <w:jc w:val="left"/>
        <w:rPr/>
      </w:pPr>
      <w:r>
        <w:rPr/>
        <w:t> </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140"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1</w:t>
            </w:r>
            <w:r>
              <w:rPr>
                <w:rFonts w:ascii="Times New Roman;Times;serif" w:hAnsi="Times New Roman;Times;serif"/>
                <w:sz w:val="20"/>
              </w:rPr>
              <w:t xml:space="preserve"> – Quoted prices for identical assets and liabilities in active markets.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2</w:t>
            </w:r>
            <w:r>
              <w:rPr>
                <w:rFonts w:ascii="Times New Roman;Times;serif" w:hAnsi="Times New Roman;Times;serif"/>
                <w:sz w:val="20"/>
              </w:rPr>
              <w:t xml:space="preserve"> – Inputs other than quoted prices included within Level </w:t>
            </w:r>
            <w:r>
              <w:rPr>
                <w:rStyle w:val="Emphasis"/>
                <w:rFonts w:ascii="Times New Roman;Times;serif" w:hAnsi="Times New Roman;Times;serif"/>
                <w:sz w:val="20"/>
              </w:rPr>
              <w:t>1</w:t>
            </w:r>
            <w:r>
              <w:rPr>
                <w:rFonts w:ascii="Times New Roman;Times;serif" w:hAnsi="Times New Roman;Times;serif"/>
                <w:sz w:val="20"/>
              </w:rPr>
              <w:t xml:space="preserve"> that are observable for the assets and liabilities, either directly or indirectly.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3</w:t>
            </w:r>
            <w:r>
              <w:rPr>
                <w:rFonts w:ascii="Times New Roman;Times;serif" w:hAnsi="Times New Roman;Times;serif"/>
                <w:sz w:val="20"/>
              </w:rPr>
              <w:t xml:space="preserve"> – Unobservable inputs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activity and that are significant to the fair value of the assets and liabilities.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Recurring Fair Value Measurements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At </w:t>
      </w:r>
      <w:r>
        <w:rPr>
          <w:rStyle w:val="Emphasis"/>
          <w:rFonts w:ascii="Times New Roman;Times;serif" w:hAnsi="Times New Roman;Times;serif"/>
          <w:sz w:val="20"/>
        </w:rPr>
        <w:t xml:space="preserve"> June 30, 2026</w:t>
      </w:r>
      <w:r>
        <w:rPr>
          <w:rFonts w:ascii="Times New Roman;Times;serif" w:hAnsi="Times New Roman;Times;serif"/>
          <w:sz w:val="20"/>
        </w:rPr>
        <w:t>, our financial assets and liabilities, measured at fair value on a recurring basis were as follows (in thousands):</w:t>
      </w:r>
    </w:p>
    <w:p>
      <w:pPr>
        <w:pStyle w:val="TextBody"/>
        <w:bidi w:val="0"/>
        <w:spacing w:before="0" w:after="0"/>
        <w:ind w:left="0" w:right="0" w:firstLine="490"/>
        <w:jc w:val="both"/>
        <w:rPr/>
      </w:pPr>
      <w:r>
        <w:rPr/>
        <w:t> </w:t>
      </w:r>
    </w:p>
    <w:tbl>
      <w:tblPr>
        <w:tblW w:w="10205" w:type="dxa"/>
        <w:jc w:val="left"/>
        <w:tblInd w:w="0" w:type="dxa"/>
        <w:tblLayout w:type="fixed"/>
        <w:tblCellMar>
          <w:top w:w="0" w:type="dxa"/>
          <w:left w:w="0" w:type="dxa"/>
          <w:bottom w:w="0" w:type="dxa"/>
          <w:right w:w="0" w:type="dxa"/>
        </w:tblCellMar>
      </w:tblPr>
      <w:tblGrid>
        <w:gridCol w:w="5715"/>
        <w:gridCol w:w="60"/>
        <w:gridCol w:w="282"/>
        <w:gridCol w:w="887"/>
        <w:gridCol w:w="80"/>
        <w:gridCol w:w="60"/>
        <w:gridCol w:w="307"/>
        <w:gridCol w:w="643"/>
        <w:gridCol w:w="60"/>
        <w:gridCol w:w="60"/>
        <w:gridCol w:w="215"/>
        <w:gridCol w:w="945"/>
        <w:gridCol w:w="80"/>
        <w:gridCol w:w="60"/>
        <w:gridCol w:w="125"/>
        <w:gridCol w:w="545"/>
        <w:gridCol w:w="81"/>
      </w:tblGrid>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Quoted Prices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Active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Markets 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Significant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Identical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Unobservable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Inputs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futures – financial liabilities,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 for business combination - financial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At </w:t>
      </w:r>
      <w:r>
        <w:rPr>
          <w:rStyle w:val="Emphasis"/>
          <w:rFonts w:ascii="Times New Roman;Times;serif" w:hAnsi="Times New Roman;Times;serif"/>
          <w:sz w:val="20"/>
        </w:rPr>
        <w:t xml:space="preserve"> March 31, 2026</w:t>
      </w:r>
      <w:r>
        <w:rPr>
          <w:rFonts w:ascii="Times New Roman;Times;serif" w:hAnsi="Times New Roman;Times;serif"/>
          <w:sz w:val="20"/>
        </w:rPr>
        <w:t>, our financial assets and liabilities, measured at fair value on a recurring basis were as follows (in thousands):</w:t>
      </w:r>
    </w:p>
    <w:p>
      <w:pPr>
        <w:pStyle w:val="TextBody"/>
        <w:bidi w:val="0"/>
        <w:spacing w:before="0" w:after="0"/>
        <w:ind w:left="0" w:right="0" w:firstLine="490"/>
        <w:jc w:val="both"/>
        <w:rPr/>
      </w:pPr>
      <w:r>
        <w:rPr/>
        <w:t> </w:t>
      </w:r>
    </w:p>
    <w:tbl>
      <w:tblPr>
        <w:tblW w:w="10205" w:type="dxa"/>
        <w:jc w:val="left"/>
        <w:tblInd w:w="0" w:type="dxa"/>
        <w:tblLayout w:type="fixed"/>
        <w:tblCellMar>
          <w:top w:w="0" w:type="dxa"/>
          <w:left w:w="0" w:type="dxa"/>
          <w:bottom w:w="0" w:type="dxa"/>
          <w:right w:w="0" w:type="dxa"/>
        </w:tblCellMar>
      </w:tblPr>
      <w:tblGrid>
        <w:gridCol w:w="5715"/>
        <w:gridCol w:w="60"/>
        <w:gridCol w:w="282"/>
        <w:gridCol w:w="887"/>
        <w:gridCol w:w="80"/>
        <w:gridCol w:w="60"/>
        <w:gridCol w:w="307"/>
        <w:gridCol w:w="643"/>
        <w:gridCol w:w="60"/>
        <w:gridCol w:w="60"/>
        <w:gridCol w:w="215"/>
        <w:gridCol w:w="945"/>
        <w:gridCol w:w="80"/>
        <w:gridCol w:w="60"/>
        <w:gridCol w:w="125"/>
        <w:gridCol w:w="545"/>
        <w:gridCol w:w="81"/>
      </w:tblGrid>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Quoted Prices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Active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Markets 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Identical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Unobservable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Inputs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1" w:type="dxa"/>
            <w:tcBorders/>
            <w:shd w:fill="FFFFFF" w:val="clear"/>
            <w:vAlign w:val="center"/>
          </w:tcPr>
          <w:p>
            <w:pPr>
              <w:pStyle w:val="TableContents"/>
              <w:bidi w:val="0"/>
              <w:spacing w:before="0" w:after="283"/>
              <w:jc w:val="left"/>
              <w:rPr/>
            </w:pPr>
            <w:r>
              <w:rPr/>
              <w:t> </w:t>
            </w:r>
          </w:p>
        </w:tc>
      </w:tr>
      <w:tr>
        <w:trPr/>
        <w:tc>
          <w:tcPr>
            <w:tcW w:w="57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Commodity futures – financial liabilities,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 for business combination - financial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3"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(2,160</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(2,433</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490"/>
        <w:jc w:val="both"/>
        <w:rPr/>
      </w:pPr>
      <w:r>
        <w:rPr/>
        <w:t> </w:t>
      </w:r>
    </w:p>
    <w:p>
      <w:pPr>
        <w:pStyle w:val="TextBody"/>
        <w:bidi w:val="0"/>
        <w:spacing w:before="0" w:after="0"/>
        <w:ind w:left="540" w:right="0" w:hanging="0"/>
        <w:jc w:val="both"/>
        <w:rPr/>
      </w:pPr>
      <w:r>
        <w:rPr>
          <w:rFonts w:ascii="Times New Roman;Times;serif" w:hAnsi="Times New Roman;Times;serif"/>
          <w:sz w:val="20"/>
          <w:shd w:fill="FFFFFF" w:val="clear"/>
        </w:rPr>
        <w:t>At </w:t>
      </w:r>
      <w:r>
        <w:rPr>
          <w:rStyle w:val="Emphasis"/>
          <w:rFonts w:ascii="Times New Roman;Times;serif" w:hAnsi="Times New Roman;Times;serif"/>
          <w:sz w:val="20"/>
        </w:rPr>
        <w:t xml:space="preserve"> June 30, 2026</w:t>
      </w:r>
      <w:r>
        <w:rPr>
          <w:rFonts w:ascii="Times New Roman;Times;serif" w:hAnsi="Times New Roman;Times;serif"/>
          <w:sz w:val="20"/>
          <w:shd w:fill="FFFFFF" w:val="clear"/>
        </w:rPr>
        <w:t> and </w:t>
      </w:r>
      <w:r>
        <w:rPr>
          <w:rStyle w:val="Emphasis"/>
          <w:rFonts w:ascii="Times New Roman;Times;serif" w:hAnsi="Times New Roman;Times;serif"/>
          <w:sz w:val="20"/>
        </w:rPr>
        <w:t xml:space="preserve"> March 31, 2026</w:t>
      </w:r>
      <w:r>
        <w:rPr>
          <w:rFonts w:ascii="Times New Roman;Times;serif" w:hAnsi="Times New Roman;Times;serif"/>
          <w:sz w:val="20"/>
          <w:shd w:fill="FFFFFF" w:val="clear"/>
        </w:rPr>
        <w:t xml:space="preserve">, the Company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any fair value measurements on a non-recurring basis.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11</w:t>
      </w:r>
      <w:r>
        <w:rPr>
          <w:rFonts w:ascii="Times New Roman;Times;serif" w:hAnsi="Times New Roman;Times;serif"/>
          <w:sz w:val="20"/>
        </w:rPr>
        <w:t> — SEGMENT INFORMATION</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is engaged in the metals processing, pipe manufacturing, and metals and pipe distribution business. Within the Company, there are </w:t>
      </w:r>
      <w:r>
        <w:rPr>
          <w:rStyle w:val="Emphasis"/>
          <w:rFonts w:ascii="Times New Roman;Times;serif" w:hAnsi="Times New Roman;Times;serif"/>
          <w:sz w:val="20"/>
        </w:rPr>
        <w:t>two</w:t>
      </w:r>
      <w:r>
        <w:rPr>
          <w:rFonts w:ascii="Times New Roman;Times;serif" w:hAnsi="Times New Roman;Times;serif"/>
          <w:sz w:val="20"/>
        </w:rPr>
        <w:t xml:space="preserve"> product groups: flat-roll and tubular. The Company’s flat-roll operations consist primarily of converting carbon steel, stainless steel and aluminum flat-roll products into sheet, plate or slit coil. Through its tubular operations, the Company purchases, processes, manufactures and markets tubular products.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Segment results are reviewed regularly by the Company’s Chief Operating Decision Makers (“CODMs”). The Company’s CODMs are comprised of the Chief Executive Officer and the Chief Financial Officer. The CODMs assess segment performance and allocate resources based on a number of factors with the most emphasis placed on earnings from operations.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is a summary of significant financial information relating to the product groups (in thousands):</w:t>
      </w:r>
    </w:p>
    <w:p>
      <w:pPr>
        <w:pStyle w:val="TextBody"/>
        <w:bidi w:val="0"/>
        <w:spacing w:before="0" w:after="0"/>
        <w:ind w:left="0" w:right="0" w:firstLine="540"/>
        <w:jc w:val="both"/>
        <w:rPr/>
      </w:pPr>
      <w:r>
        <w:rPr/>
        <w:t> </w:t>
      </w:r>
    </w:p>
    <w:tbl>
      <w:tblPr>
        <w:tblW w:w="7045" w:type="dxa"/>
        <w:jc w:val="left"/>
        <w:tblInd w:w="0" w:type="dxa"/>
        <w:tblLayout w:type="fixed"/>
        <w:tblCellMar>
          <w:top w:w="0" w:type="dxa"/>
          <w:left w:w="0" w:type="dxa"/>
          <w:bottom w:w="0" w:type="dxa"/>
          <w:right w:w="0" w:type="dxa"/>
        </w:tblCellMar>
      </w:tblPr>
      <w:tblGrid>
        <w:gridCol w:w="3500"/>
        <w:gridCol w:w="60"/>
        <w:gridCol w:w="125"/>
        <w:gridCol w:w="695"/>
        <w:gridCol w:w="60"/>
        <w:gridCol w:w="60"/>
        <w:gridCol w:w="125"/>
        <w:gridCol w:w="590"/>
        <w:gridCol w:w="60"/>
        <w:gridCol w:w="60"/>
        <w:gridCol w:w="125"/>
        <w:gridCol w:w="545"/>
        <w:gridCol w:w="80"/>
        <w:gridCol w:w="60"/>
        <w:gridCol w:w="125"/>
        <w:gridCol w:w="695"/>
        <w:gridCol w:w="80"/>
      </w:tblGrid>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2026</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Flat-roll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Tubular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239,971</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materials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184,219</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and warehousing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13,427</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9,385</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218,937</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21,034</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economic hedges of risk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16,977</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2025</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Flat-roll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Tubular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134,777</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materials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105,704</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and warehousing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9,328</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127,734</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7,043</w:t>
            </w:r>
          </w:p>
        </w:tc>
        <w:tc>
          <w:tcPr>
            <w:tcW w:w="8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economic hedges of risk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tbl>
      <w:tblPr>
        <w:tblW w:w="4918" w:type="dxa"/>
        <w:jc w:val="left"/>
        <w:tblInd w:w="0" w:type="dxa"/>
        <w:tblLayout w:type="fixed"/>
        <w:tblCellMar>
          <w:top w:w="0" w:type="dxa"/>
          <w:left w:w="0" w:type="dxa"/>
          <w:bottom w:w="0" w:type="dxa"/>
          <w:right w:w="0" w:type="dxa"/>
        </w:tblCellMar>
      </w:tblPr>
      <w:tblGrid>
        <w:gridCol w:w="2135"/>
        <w:gridCol w:w="60"/>
        <w:gridCol w:w="181"/>
        <w:gridCol w:w="1008"/>
        <w:gridCol w:w="60"/>
        <w:gridCol w:w="60"/>
        <w:gridCol w:w="204"/>
        <w:gridCol w:w="1135"/>
        <w:gridCol w:w="75"/>
      </w:tblGrid>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2026</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IDENTIFIABLE 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Flat-Roll</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301,528</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Tubular</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28,822</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330,350</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General corporate assets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6,460</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General corporate expenses reflect general and administrative expenses </w:t>
      </w:r>
      <w:r>
        <w:rPr>
          <w:rStyle w:val="Emphasis"/>
          <w:rFonts w:ascii="Times New Roman;Times;serif" w:hAnsi="Times New Roman;Times;serif"/>
          <w:sz w:val="20"/>
        </w:rPr>
        <w:t>not</w:t>
      </w:r>
      <w:r>
        <w:rPr>
          <w:rFonts w:ascii="Times New Roman;Times;serif" w:hAnsi="Times New Roman;Times;serif"/>
          <w:sz w:val="20"/>
        </w:rPr>
        <w:t xml:space="preserve"> directly associated with segment operations and consist primarily of payroll expenses related to corporate functions, professional fees and services, retirement plan contribution expense, corporate insurance expenses, restricted stock plan compensation expense and office supplies. At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March 31, 2026</w:t>
      </w:r>
      <w:r>
        <w:rPr>
          <w:rFonts w:ascii="Times New Roman;Times;serif" w:hAnsi="Times New Roman;Times;serif"/>
          <w:sz w:val="20"/>
        </w:rPr>
        <w:t xml:space="preserve">, corporate assets consist primarily of cash, restricted cash, leased administrative office right-of-use assets, unamortized debt issuance costs and the cash value of officers’ life insurance. Although inventory is transferred at cost between product groups, there are </w:t>
      </w:r>
      <w:r>
        <w:rPr>
          <w:rStyle w:val="Emphasis"/>
          <w:rFonts w:ascii="Times New Roman;Times;serif" w:hAnsi="Times New Roman;Times;serif"/>
          <w:sz w:val="20"/>
        </w:rPr>
        <w:t>no</w:t>
      </w:r>
      <w:r>
        <w:rPr>
          <w:rFonts w:ascii="Times New Roman;Times;serif" w:hAnsi="Times New Roman;Times;serif"/>
          <w:sz w:val="20"/>
        </w:rPr>
        <w:t xml:space="preserve"> sales between product groups.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12</w:t>
      </w:r>
      <w:r>
        <w:rPr>
          <w:rFonts w:ascii="Times New Roman;Times;serif" w:hAnsi="Times New Roman;Times;serif"/>
          <w:sz w:val="20"/>
        </w:rPr>
        <w:t> — REVENUE</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Revenue is generated primarily from contracts to manufacture or process metal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w:t>
      </w:r>
      <w:r>
        <w:rPr>
          <w:rStyle w:val="Emphasis"/>
          <w:rFonts w:ascii="Times New Roman;Times;serif" w:hAnsi="Times New Roman;Times;serif"/>
          <w:sz w:val="20"/>
        </w:rPr>
        <w:t>not</w:t>
      </w:r>
      <w:r>
        <w:rPr>
          <w:rFonts w:ascii="Times New Roman;Times;serif" w:hAnsi="Times New Roman;Times;serif"/>
          <w:sz w:val="20"/>
        </w:rPr>
        <w:t xml:space="preserve"> maintain contract asset balances. Additionally, the Company does </w:t>
      </w:r>
      <w:r>
        <w:rPr>
          <w:rStyle w:val="Emphasis"/>
          <w:rFonts w:ascii="Times New Roman;Times;serif" w:hAnsi="Times New Roman;Times;serif"/>
          <w:sz w:val="20"/>
        </w:rPr>
        <w:t>not</w:t>
      </w:r>
      <w:r>
        <w:rPr>
          <w:rFonts w:ascii="Times New Roman;Times;serif" w:hAnsi="Times New Roman;Times;serif"/>
          <w:sz w:val="20"/>
        </w:rPr>
        <w:t xml:space="preserve"> maintain contract liability balances, as performance obligations are satisfied prior to customer payment for product. The Company offers industry standard payment terms.</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has two reportable segments: Flat-Roll and Tubular. Flat-roll primarily generates revenue from cutting to length or slitting flat-roll metals. Flat-roll segment revenue consists of </w:t>
      </w:r>
      <w:r>
        <w:rPr>
          <w:rStyle w:val="Emphasis"/>
          <w:rFonts w:ascii="Times New Roman;Times;serif" w:hAnsi="Times New Roman;Times;serif"/>
          <w:sz w:val="20"/>
        </w:rPr>
        <w:t>two</w:t>
      </w:r>
      <w:r>
        <w:rPr>
          <w:rFonts w:ascii="Times New Roman;Times;serif" w:hAnsi="Times New Roman;Times;serif"/>
          <w:sz w:val="20"/>
        </w:rPr>
        <w:t xml:space="preserve"> product types: Company Owned Flat-Roll Products and Processing or Storage of Customer Owned Coil. Tubular primarily generates revenue from selling steel pipe it has manufactured resulting in a single product type: Manufactured Pipe.</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disaggregates our revenue by product for each of our reportable business segments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 (in thousands):</w:t>
      </w:r>
    </w:p>
    <w:p>
      <w:pPr>
        <w:pStyle w:val="TextBody"/>
        <w:bidi w:val="0"/>
        <w:spacing w:before="0" w:after="0"/>
        <w:ind w:left="0" w:right="0" w:firstLine="490"/>
        <w:jc w:val="both"/>
        <w:rPr/>
      </w:pPr>
      <w:r>
        <w:rPr/>
        <w:t> </w:t>
      </w:r>
    </w:p>
    <w:tbl>
      <w:tblPr>
        <w:tblW w:w="5695" w:type="dxa"/>
        <w:jc w:val="left"/>
        <w:tblInd w:w="0" w:type="dxa"/>
        <w:tblLayout w:type="fixed"/>
        <w:tblCellMar>
          <w:top w:w="0" w:type="dxa"/>
          <w:left w:w="0" w:type="dxa"/>
          <w:bottom w:w="0" w:type="dxa"/>
          <w:right w:w="0" w:type="dxa"/>
        </w:tblCellMar>
      </w:tblPr>
      <w:tblGrid>
        <w:gridCol w:w="3815"/>
        <w:gridCol w:w="60"/>
        <w:gridCol w:w="125"/>
        <w:gridCol w:w="695"/>
        <w:gridCol w:w="60"/>
        <w:gridCol w:w="60"/>
        <w:gridCol w:w="125"/>
        <w:gridCol w:w="695"/>
        <w:gridCol w:w="60"/>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Flat-Roll Segment: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 Owned Flat-Roll 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122,846</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or Storage of Customer Owned Coil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124,067</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Tubular Segment: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Manufactured Pipe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10,710</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NOTE </w:t>
      </w:r>
      <w:r>
        <w:rPr>
          <w:rStyle w:val="Emphasis"/>
          <w:rFonts w:ascii="Times New Roman;Times;serif" w:hAnsi="Times New Roman;Times;serif"/>
          <w:sz w:val="20"/>
        </w:rPr>
        <w:t>13</w:t>
      </w:r>
      <w:r>
        <w:rPr>
          <w:rFonts w:ascii="Times New Roman;Times;serif" w:hAnsi="Times New Roman;Times;serif"/>
          <w:sz w:val="20"/>
        </w:rPr>
        <w:t> — STOCKHOLDERS’ EQUITY</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tables reflect the changes in stockholders’ equity 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June 30, 2025</w:t>
      </w:r>
      <w:r>
        <w:rPr>
          <w:rFonts w:ascii="Times New Roman;Times;serif" w:hAnsi="Times New Roman;Times;serif"/>
          <w:sz w:val="20"/>
        </w:rPr>
        <w:t> (in thousands):</w:t>
      </w:r>
    </w:p>
    <w:p>
      <w:pPr>
        <w:pStyle w:val="TextBody"/>
        <w:bidi w:val="0"/>
        <w:spacing w:before="0" w:after="0"/>
        <w:ind w:left="0" w:right="0" w:firstLine="490"/>
        <w:jc w:val="both"/>
        <w:rPr/>
      </w:pPr>
      <w:r>
        <w:rPr/>
        <w:t> </w:t>
      </w:r>
    </w:p>
    <w:tbl>
      <w:tblPr>
        <w:tblW w:w="7550" w:type="dxa"/>
        <w:jc w:val="left"/>
        <w:tblInd w:w="0" w:type="dxa"/>
        <w:tblLayout w:type="fixed"/>
        <w:tblCellMar>
          <w:top w:w="0" w:type="dxa"/>
          <w:left w:w="0" w:type="dxa"/>
          <w:bottom w:w="0" w:type="dxa"/>
          <w:right w:w="0" w:type="dxa"/>
        </w:tblCellMar>
      </w:tblPr>
      <w:tblGrid>
        <w:gridCol w:w="2765"/>
        <w:gridCol w:w="60"/>
        <w:gridCol w:w="157"/>
        <w:gridCol w:w="613"/>
        <w:gridCol w:w="60"/>
        <w:gridCol w:w="60"/>
        <w:gridCol w:w="160"/>
        <w:gridCol w:w="760"/>
        <w:gridCol w:w="80"/>
        <w:gridCol w:w="60"/>
        <w:gridCol w:w="125"/>
        <w:gridCol w:w="650"/>
        <w:gridCol w:w="80"/>
        <w:gridCol w:w="60"/>
        <w:gridCol w:w="125"/>
        <w:gridCol w:w="695"/>
        <w:gridCol w:w="80"/>
        <w:gridCol w:w="60"/>
        <w:gridCol w:w="125"/>
        <w:gridCol w:w="695"/>
        <w:gridCol w:w="80"/>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151,494</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12,784</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 in capital – restricted stock</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shares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($0.04 per share)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164,151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7550" w:type="dxa"/>
        <w:jc w:val="left"/>
        <w:tblInd w:w="0" w:type="dxa"/>
        <w:tblLayout w:type="fixed"/>
        <w:tblCellMar>
          <w:top w:w="0" w:type="dxa"/>
          <w:left w:w="0" w:type="dxa"/>
          <w:bottom w:w="0" w:type="dxa"/>
          <w:right w:w="0" w:type="dxa"/>
        </w:tblCellMar>
      </w:tblPr>
      <w:tblGrid>
        <w:gridCol w:w="2765"/>
        <w:gridCol w:w="60"/>
        <w:gridCol w:w="157"/>
        <w:gridCol w:w="613"/>
        <w:gridCol w:w="60"/>
        <w:gridCol w:w="60"/>
        <w:gridCol w:w="160"/>
        <w:gridCol w:w="760"/>
        <w:gridCol w:w="80"/>
        <w:gridCol w:w="60"/>
        <w:gridCol w:w="125"/>
        <w:gridCol w:w="650"/>
        <w:gridCol w:w="80"/>
        <w:gridCol w:w="60"/>
        <w:gridCol w:w="125"/>
        <w:gridCol w:w="695"/>
        <w:gridCol w:w="80"/>
        <w:gridCol w:w="60"/>
        <w:gridCol w:w="125"/>
        <w:gridCol w:w="695"/>
        <w:gridCol w:w="80"/>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132,425</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 in capital – restricted stock</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shares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($0.04 per share)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137,280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NOTE </w:t>
      </w:r>
      <w:r>
        <w:rPr>
          <w:rStyle w:val="Emphasis"/>
          <w:rFonts w:ascii="Times New Roman" w:hAnsi="Times New Roman"/>
          <w:caps w:val="false"/>
          <w:smallCaps w:val="false"/>
          <w:sz w:val="20"/>
        </w:rPr>
        <w:t>14</w:t>
      </w:r>
      <w:r>
        <w:rPr>
          <w:rFonts w:ascii="Times New Roman" w:hAnsi="Times New Roman"/>
          <w:caps w:val="false"/>
          <w:smallCaps w:val="false"/>
          <w:sz w:val="20"/>
        </w:rPr>
        <w:t> — EARNINGS PER SHARE</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 w:hAnsi="Times New Roman"/>
          <w:caps w:val="false"/>
          <w:smallCaps w:val="false"/>
          <w:sz w:val="20"/>
        </w:rPr>
      </w:pPr>
      <w:r>
        <w:rPr>
          <w:rFonts w:ascii="Times New Roman" w:hAnsi="Times New Roman"/>
          <w:caps w:val="false"/>
          <w:smallCaps w:val="false"/>
          <w:sz w:val="20"/>
        </w:rPr>
        <w:t>Basic and dilutive net earnings per share are computed based on the following information (in thousands, except for share data):</w:t>
      </w:r>
    </w:p>
    <w:p>
      <w:pPr>
        <w:pStyle w:val="TextBody"/>
        <w:bidi w:val="0"/>
        <w:spacing w:before="0" w:after="0"/>
        <w:ind w:left="0" w:right="0" w:firstLine="49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4220"/>
        <w:gridCol w:w="60"/>
        <w:gridCol w:w="125"/>
        <w:gridCol w:w="845"/>
        <w:gridCol w:w="60"/>
        <w:gridCol w:w="60"/>
        <w:gridCol w:w="125"/>
        <w:gridCol w:w="845"/>
        <w:gridCol w:w="6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Allocation to unvested restricted stock awards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4,961</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6,982,955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6,965,880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allocated dividends and undistributed earnings to the unvested restricted stock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As the restricted stock qualifies as participating securities, the following restricted stock awards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weighted average diluted common shares outstanding 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w:t>
      </w:r>
    </w:p>
    <w:p>
      <w:pPr>
        <w:pStyle w:val="TextBody"/>
        <w:bidi w:val="0"/>
        <w:spacing w:before="0" w:after="0"/>
        <w:ind w:left="0" w:right="0" w:firstLine="490"/>
        <w:jc w:val="both"/>
        <w:rPr>
          <w:caps w:val="false"/>
          <w:smallCaps w:val="false"/>
        </w:rPr>
      </w:pPr>
      <w:r>
        <w:rPr>
          <w:caps w:val="false"/>
          <w:smallCaps w:val="false"/>
        </w:rPr>
        <w:t> </w:t>
      </w:r>
    </w:p>
    <w:tbl>
      <w:tblPr>
        <w:tblW w:w="3953" w:type="dxa"/>
        <w:jc w:val="left"/>
        <w:tblInd w:w="0" w:type="dxa"/>
        <w:tblLayout w:type="fixed"/>
        <w:tblCellMar>
          <w:top w:w="0" w:type="dxa"/>
          <w:left w:w="0" w:type="dxa"/>
          <w:bottom w:w="0" w:type="dxa"/>
          <w:right w:w="0" w:type="dxa"/>
        </w:tblCellMar>
      </w:tblPr>
      <w:tblGrid>
        <w:gridCol w:w="2075"/>
        <w:gridCol w:w="60"/>
        <w:gridCol w:w="69"/>
        <w:gridCol w:w="802"/>
        <w:gridCol w:w="69"/>
        <w:gridCol w:w="69"/>
        <w:gridCol w:w="69"/>
        <w:gridCol w:w="680"/>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 Stock Awards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129,343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69,628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15</w:t>
      </w:r>
      <w:r>
        <w:rPr>
          <w:rFonts w:ascii="Times New Roman;Times;serif" w:hAnsi="Times New Roman;Times;serif"/>
          <w:sz w:val="20"/>
        </w:rPr>
        <w:t> — SUPPLEMENTAL CASH FLOW INFORMATION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The Company paid interest o</w:t>
      </w:r>
      <w:r>
        <w:rPr>
          <w:rFonts w:ascii="Times New Roman;Times;serif" w:hAnsi="Times New Roman;Times;serif"/>
          <w:sz w:val="20"/>
          <w:shd w:fill="FFFFFF" w:val="clear"/>
        </w:rPr>
        <w:t>f approximately</w:t>
      </w:r>
      <w:r>
        <w:rPr>
          <w:rFonts w:ascii="Times New Roman;Times;serif" w:hAnsi="Times New Roman;Times;serif"/>
          <w:sz w:val="20"/>
        </w:rPr>
        <w:t> $1.3 million and $0.7</w:t>
      </w:r>
      <w:r>
        <w:rPr>
          <w:rFonts w:ascii="Times New Roman;Times;serif" w:hAnsi="Times New Roman;Times;serif"/>
          <w:sz w:val="20"/>
          <w:shd w:fill="FFFFFF" w:val="clear"/>
        </w:rPr>
        <w:t xml:space="preserve"> million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2025</w:t>
      </w:r>
      <w:r>
        <w:rPr>
          <w:rFonts w:ascii="Times New Roman;Times;serif" w:hAnsi="Times New Roman;Times;serif"/>
          <w:sz w:val="20"/>
          <w:shd w:fill="FFFFFF" w:val="clear"/>
        </w:rPr>
        <w:t>, respectively. Additionally, the Company paid income taxes of approximately</w:t>
      </w:r>
      <w:r>
        <w:rPr>
          <w:rFonts w:ascii="Times New Roman;Times;serif" w:hAnsi="Times New Roman;Times;serif"/>
          <w:sz w:val="20"/>
        </w:rPr>
        <w:t xml:space="preserve"> $0.3 million </w:t>
      </w:r>
      <w:r>
        <w:rPr>
          <w:rFonts w:ascii="Times New Roman;Times;serif" w:hAnsi="Times New Roman;Times;serif"/>
          <w:sz w:val="20"/>
          <w:shd w:fill="FFFFFF" w:val="clear"/>
        </w:rPr>
        <w:t xml:space="preserve">and $0.1 million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2025</w:t>
      </w:r>
      <w:r>
        <w:rPr>
          <w:rFonts w:ascii="Times New Roman;Times;serif" w:hAnsi="Times New Roman;Times;serif"/>
          <w:sz w:val="20"/>
          <w:shd w:fill="FFFFFF" w:val="clear"/>
        </w:rPr>
        <w:t>, respectively.</w:t>
      </w:r>
    </w:p>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shd w:fill="FFFFFF" w:val="clear"/>
        </w:rPr>
        <w:t xml:space="preserve">NOTE </w:t>
      </w:r>
      <w:r>
        <w:rPr>
          <w:rStyle w:val="Emphasis"/>
          <w:rFonts w:ascii="Times New Roman;Times;serif" w:hAnsi="Times New Roman;Times;serif"/>
          <w:sz w:val="20"/>
          <w:shd w:fill="FFFFFF" w:val="clear"/>
        </w:rPr>
        <w:t>16</w:t>
      </w:r>
      <w:r>
        <w:rPr>
          <w:rFonts w:ascii="Times New Roman;Times;serif" w:hAnsi="Times New Roman;Times;serif"/>
          <w:sz w:val="20"/>
          <w:shd w:fill="FFFFFF" w:val="clear"/>
        </w:rPr>
        <w:t> — INCOME TAXES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2025</w:t>
      </w:r>
      <w:r>
        <w:rPr>
          <w:rFonts w:ascii="Times New Roman;Times;serif" w:hAnsi="Times New Roman;Times;serif"/>
          <w:sz w:val="20"/>
          <w:shd w:fill="FFFFFF" w:val="clear"/>
        </w:rPr>
        <w:t>, the Company recorded income tax provisio</w:t>
      </w:r>
      <w:r>
        <w:rPr>
          <w:rFonts w:ascii="Times New Roman;Times;serif" w:hAnsi="Times New Roman;Times;serif"/>
          <w:sz w:val="20"/>
        </w:rPr>
        <w:t>ns of approximately $4.2 million and $1.6 million, respectively. For both quarters, the effective tax rate differed from the federal statutory rate due primarily to the inclusion of state tax expenses in the provision with this impact partially reduced by the tax effect of restricted stock vesting during the quarters.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5" w:name="mgmtdis"/>
      <w:bookmarkEnd w:id="5"/>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Friedman Industries, Incorporated is a manufacturer and processor of metals and operates in two reportable segments: flat-roll products and tubular products.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flat-roll product segment consists of flat-roll processing facilities located in Hickman, Arkansas; Decatur, Alabama; Miami, Florida; East Chicago, Indiana; Granite City, Illinois and Sinton, Texas and a flat-roll distribution facility located in Orlando, Florida. The Hickman, Granite City and East Chicago facilities operate temper mills and cut-to-length lines. The Decatur and Sinton facilities operate stretcher leveler cut-to-length lines. The Miami facility operates a corrective leveling cut-to-length line and a coil slitting line. The processing equipment improves the quality of the material and cuts the material into sheet, plate or slit coil. On a combined basis, the facilities are capable of cutting sheet and plate with thicknesses ranging from 30 gauge to 1” thick in widths ranging from 11” wide to 96” wide. The flat-roll segment is able to produce slit coil with thickness ranging from 32 gauge to 10 gauge in widths ranging from 1/2" wide to 60" wide. The vast majority of flat-roll product segment revenue is generated from sales of Company owned inventory but the segment also generates revenue from the processing or storage of customer owned material on a fee basis.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 </w:t>
      </w:r>
    </w:p>
    <w:p>
      <w:pPr>
        <w:pStyle w:val="TextBody"/>
        <w:bidi w:val="0"/>
        <w:spacing w:before="0" w:after="0"/>
        <w:ind w:left="489" w:right="0" w:hanging="0"/>
        <w:jc w:val="left"/>
        <w:rPr>
          <w:rFonts w:ascii="Times New Roman;Times;serif" w:hAnsi="Times New Roman;Times;serif"/>
          <w:b/>
          <w:i/>
          <w:sz w:val="20"/>
          <w:u w:val="single"/>
        </w:rPr>
      </w:pPr>
      <w:r>
        <w:rPr>
          <w:rFonts w:ascii="Times New Roman;Times;serif" w:hAnsi="Times New Roman;Times;serif"/>
          <w:b/>
          <w:i/>
          <w:sz w:val="20"/>
          <w:u w:val="single"/>
        </w:rPr>
        <w:t>Three Months Ended June 30, 2026 Compared to Three Months Ended June 30, 2025</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w:t>
      </w:r>
      <w:r>
        <w:rPr>
          <w:rFonts w:ascii="Times New Roman;Times;serif" w:hAnsi="Times New Roman;Times;serif"/>
          <w:sz w:val="20"/>
          <w:shd w:fill="FFFFFF" w:val="clear"/>
        </w:rPr>
        <w:t xml:space="preserve"> the three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(the “</w:t>
      </w:r>
      <w:r>
        <w:rPr>
          <w:rFonts w:ascii="Times New Roman;Times;serif" w:hAnsi="Times New Roman;Times;serif"/>
          <w:sz w:val="20"/>
        </w:rPr>
        <w:t>2026</w:t>
      </w:r>
      <w:r>
        <w:rPr>
          <w:rFonts w:ascii="Times New Roman;Times;serif" w:hAnsi="Times New Roman;Times;serif"/>
          <w:sz w:val="20"/>
          <w:shd w:fill="FFFFFF" w:val="clear"/>
        </w:rPr>
        <w:t xml:space="preserve"> quarter”), sales, cost of materials sold and adjusted gro</w:t>
      </w:r>
      <w:r>
        <w:rPr>
          <w:rFonts w:ascii="Times New Roman;Times;serif" w:hAnsi="Times New Roman;Times;serif"/>
          <w:sz w:val="20"/>
        </w:rPr>
        <w:t>ss profit increased approximately $105.2 million, $78.5 million and $26.7 million, respectively, compared to the amounts recorded during the three months ended June 30, 2025 (the “2025 quarter”). Adjusted gross profit is a non-GAAP measure calculated as sales minus cost of materials sold. The increase in sales was due to an increase in the average selling price per ton and an increase in sales volume. Sales volume for the 2026 quarter consisted of approximately 188,500 tons from inventory and another 17,500 tons of toll pr</w:t>
      </w:r>
      <w:r>
        <w:rPr>
          <w:rFonts w:ascii="Times New Roman;Times;serif" w:hAnsi="Times New Roman;Times;serif"/>
          <w:sz w:val="20"/>
          <w:shd w:fill="FFFFFF" w:val="clear"/>
        </w:rPr>
        <w:t xml:space="preserve">ocessing customer owned material </w:t>
      </w:r>
      <w:r>
        <w:rPr>
          <w:rFonts w:ascii="Times New Roman;Times;serif" w:hAnsi="Times New Roman;Times;serif"/>
          <w:sz w:val="20"/>
        </w:rPr>
        <w:t>compared to the 2025 quarter volume consisting of approximately 141,500 tons from inventory and 19,000 tons of toll processing. Same facility year-over-year growth accounted for approximately 33,500 tons of the sales volume increase and the acquisition of Century Metals &amp; Supplies contributed approximately 12,000 tons. Adjusted gross profit was approximately $55.8 million for the 2026 quarter compared to approximately $29.1 million for the 2025 quarter. Adjusted gross profit as a percentage of sales was approximately 23.2% for the 2026 quarter compared to approximately 21.6% for</w:t>
      </w:r>
      <w:r>
        <w:rPr>
          <w:rFonts w:ascii="Times New Roman;Times;serif" w:hAnsi="Times New Roman;Times;serif"/>
          <w:sz w:val="20"/>
          <w:shd w:fill="FFFFFF" w:val="clear"/>
        </w:rPr>
        <w:t xml:space="preserve"> the </w:t>
      </w:r>
      <w:r>
        <w:rPr>
          <w:rFonts w:ascii="Times New Roman;Times;serif" w:hAnsi="Times New Roman;Times;serif"/>
          <w:sz w:val="20"/>
        </w:rPr>
        <w:t>2025</w:t>
      </w:r>
      <w:r>
        <w:rPr>
          <w:rFonts w:ascii="Times New Roman;Times;serif" w:hAnsi="Times New Roman;Times;serif"/>
          <w:sz w:val="20"/>
          <w:shd w:fill="FFFFFF" w:val="clear"/>
        </w:rPr>
        <w:t> quarter.</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operating results are influenced by changes in the market prices of the metals we purchase. The majority of the Company's revenue is generated from processing hot-rolled steel coil ("HRC") and products derived from HRC. Entering the 2026 quarter, HRC prices were in a sustained upward trend, increasing approximately 28% during the preceding quarter and an additional 10% throughout the 2026 quarter. This favorable pricing environment contributed to margin expansion during the quarter. By comparison, entering the 2025 quarter, HRC prices had reached the peak of a pricing cycle and remained relatively stable before declining modestly toward the end of the quarter. As a result, the Company also experienced favorable margins during the 2025 quarter, although the margin expansion was less pronounced than in the 2026 quarter. The Company utilizes HRC futures, options and swaps to partially manage exposure to commodity price risk. The Company recognized hedging related losses of approximately $2.8 million in the 2026 quarter compared to hedging related gains of approximately $0.3 million in the 2025 quarter.</w:t>
      </w:r>
    </w:p>
    <w:p>
      <w:pPr>
        <w:pStyle w:val="TextBody"/>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b/>
          <w:i/>
          <w:sz w:val="20"/>
          <w:shd w:fill="FFFFFF" w:val="clear"/>
        </w:rPr>
      </w:pPr>
      <w:r>
        <w:rPr>
          <w:rFonts w:ascii="Times New Roman;Times;serif" w:hAnsi="Times New Roman;Times;serif"/>
          <w:b/>
          <w:i/>
          <w:sz w:val="20"/>
          <w:shd w:fill="FFFFFF" w:val="clear"/>
        </w:rPr>
        <w:t>Flat-roll Segment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Flat-roll product segment sales for the 2026 quarter totaled approximately $221.8 million compared to approximately $124.1 million for the 2025 quarter. For a more complete understanding of the average selling prices of goods sold, it is helpful to exclude any sales generated from processing or storage of customer owned material. Sales generated from processing or storage of customer owned material totaled approximately $1.2 million for both the 2026 quarter and the 2025 quarter. Sales generated from flat-roll segment inventory totaled approximately $220.6 million for the 2026 quarter compared to approximately $122.9 million for the 2025 quarter. The average per ton selling price related to these shipments increased from approximately $926 per ton in the 2025 quarter to approximately $1,262 per ton in the 2026 quarter. </w:t>
      </w:r>
      <w:r>
        <w:rPr>
          <w:rFonts w:ascii="Times New Roman;Times;serif" w:hAnsi="Times New Roman;Times;serif"/>
          <w:sz w:val="20"/>
          <w:shd w:fill="FFFFFF" w:val="clear"/>
        </w:rPr>
        <w:t xml:space="preserve">Sales volume for the </w:t>
      </w:r>
      <w:r>
        <w:rPr>
          <w:rFonts w:ascii="Times New Roman;Times;serif" w:hAnsi="Times New Roman;Times;serif"/>
          <w:sz w:val="20"/>
        </w:rPr>
        <w:t>2026</w:t>
      </w:r>
      <w:r>
        <w:rPr>
          <w:rFonts w:ascii="Times New Roman;Times;serif" w:hAnsi="Times New Roman;Times;serif"/>
          <w:sz w:val="20"/>
          <w:shd w:fill="FFFFFF" w:val="clear"/>
        </w:rPr>
        <w:t xml:space="preserve"> quarter consisted of approxi</w:t>
      </w:r>
      <w:r>
        <w:rPr>
          <w:rFonts w:ascii="Times New Roman;Times;serif" w:hAnsi="Times New Roman;Times;serif"/>
          <w:sz w:val="20"/>
        </w:rPr>
        <w:t>mately 175,000 tons from inventory and another 17,500 tons of</w:t>
      </w:r>
      <w:r>
        <w:rPr>
          <w:rFonts w:ascii="Times New Roman;Times;serif" w:hAnsi="Times New Roman;Times;serif"/>
          <w:sz w:val="20"/>
          <w:shd w:fill="FFFFFF" w:val="clear"/>
        </w:rPr>
        <w:t xml:space="preserve"> toll processing customer owned material compared to the </w:t>
      </w:r>
      <w:r>
        <w:rPr>
          <w:rFonts w:ascii="Times New Roman;Times;serif" w:hAnsi="Times New Roman;Times;serif"/>
          <w:sz w:val="20"/>
        </w:rPr>
        <w:t>2025</w:t>
      </w:r>
      <w:r>
        <w:rPr>
          <w:rFonts w:ascii="Times New Roman;Times;serif" w:hAnsi="Times New Roman;Times;serif"/>
          <w:sz w:val="20"/>
          <w:shd w:fill="FFFFFF" w:val="clear"/>
        </w:rPr>
        <w:t xml:space="preserve"> quarter volume consisting of approximately 132,500 tons from inventory and 19,000 tons of toll processing.</w:t>
      </w:r>
      <w:r>
        <w:rPr>
          <w:rFonts w:ascii="Times New Roman;Times;serif" w:hAnsi="Times New Roman;Times;serif"/>
          <w:sz w:val="20"/>
        </w:rPr>
        <w:t xml:space="preserve"> The increase in sales volume for the 2026 quarter was related to a combination of stronger demand among some customers, successful commercial efforts to increase capacity utilization and the acquisition of Century.</w:t>
      </w:r>
      <w:r>
        <w:rPr>
          <w:rFonts w:ascii="Times New Roman;Times;serif" w:hAnsi="Times New Roman;Times;serif"/>
          <w:sz w:val="20"/>
          <w:shd w:fill="FFFFFF" w:val="clear"/>
        </w:rPr>
        <w:t> </w:t>
      </w:r>
      <w:r>
        <w:rPr>
          <w:rFonts w:ascii="Times New Roman;Times;serif" w:hAnsi="Times New Roman;Times;serif"/>
          <w:sz w:val="20"/>
        </w:rPr>
        <w:t>Flat-roll segment operations recorded earnings from operations of approximately $24.7 million and $8.8 million for the 2026 quarter and 2025 quarter, respectively.</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flat-roll segment purchases its inventory from a limited number of suppliers. Loss of any of these suppliers could have a material adverse effect on the Company’s business.</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b/>
          <w:i/>
          <w:sz w:val="20"/>
          <w:shd w:fill="FFFFFF" w:val="clear"/>
        </w:rPr>
      </w:pPr>
      <w:r>
        <w:rPr>
          <w:rFonts w:ascii="Times New Roman;Times;serif" w:hAnsi="Times New Roman;Times;serif"/>
          <w:b/>
          <w:i/>
          <w:sz w:val="20"/>
          <w:shd w:fill="FFFFFF" w:val="clear"/>
        </w:rPr>
        <w:t>Tubular Segment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Tubular product segment sales for the 2026 quarter totaled approximately $18.2 million compared to approximately $10.7 million for the 2025 quarter. Sales increased due to a combination of sales volume growth and an increase in the average selling price per ton. Tons sold increased from approximately 9,000 tons in the 2025 quarter to approximately 13,500 tons in the 2026 quarter. The average per ton selling price increased from approximately $1,206 per ton for the 2025 quarter to approximately $1,341 per ton for the 2026 quarter. </w:t>
      </w:r>
      <w:r>
        <w:rPr>
          <w:rFonts w:ascii="Times New Roman;Times;serif" w:hAnsi="Times New Roman;Times;serif"/>
          <w:sz w:val="20"/>
          <w:shd w:fill="FFFFFF" w:val="clear"/>
        </w:rPr>
        <w:t xml:space="preserve">The tubular segment </w:t>
      </w:r>
      <w:r>
        <w:rPr>
          <w:rFonts w:ascii="Times New Roman;Times;serif" w:hAnsi="Times New Roman;Times;serif"/>
          <w:sz w:val="20"/>
        </w:rPr>
        <w:t>recorded earnings from operations of approximately $2.1 million and $1.3 million for the 2026 quarter and 2025 quarter, respectively.</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The tubular segment purchases its inventory from a limited number of suppliers. Loss of any of these suppliers could have a material adverse effect on the Company’s business. </w:t>
      </w:r>
    </w:p>
    <w:p>
      <w:pPr>
        <w:pStyle w:val="TextBody"/>
        <w:bidi w:val="0"/>
        <w:spacing w:before="0" w:after="0"/>
        <w:ind w:left="0" w:right="0" w:firstLine="490"/>
        <w:jc w:val="both"/>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b/>
          <w:i/>
          <w:sz w:val="20"/>
          <w:shd w:fill="FFFFFF" w:val="clear"/>
        </w:rPr>
        <w:t>General, Selling and Administrative Costs</w:t>
      </w:r>
      <w:r>
        <w:rPr>
          <w:rFonts w:ascii="Times New Roman;Times;serif" w:hAnsi="Times New Roman;Times;serif"/>
          <w:sz w:val="20"/>
        </w:rPr>
        <w:t xml:space="preserve"> </w:t>
      </w:r>
    </w:p>
    <w:p>
      <w:pPr>
        <w:pStyle w:val="TextBody"/>
        <w:bidi w:val="0"/>
        <w:spacing w:before="0" w:after="0"/>
        <w:ind w:left="0" w:right="0" w:firstLine="540"/>
        <w:jc w:val="left"/>
        <w:rPr/>
      </w:pPr>
      <w:r>
        <w:rPr/>
        <w:t xml:space="preserve">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During the 2026 quarter, selling, general and administrative costs increased approximately $5.4 million compared to the 2025 quarter. This increase was primarily driven by profit-based and volume-based incentive compensation being approximately $3.1 million higher for the 2026 quarter combined with approximately $1.7 million of additional ongoing expenses related to the operation of Century. The remaining increase was primarily attributable to an increase in personnel to support sales growth and execution of our strategic initiatives.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490"/>
        <w:jc w:val="left"/>
        <w:rPr>
          <w:rFonts w:ascii="Times New Roman;Times;serif" w:hAnsi="Times New Roman;Times;serif"/>
          <w:b/>
          <w:i/>
          <w:sz w:val="20"/>
          <w:shd w:fill="FFFFFF" w:val="clear"/>
        </w:rPr>
      </w:pPr>
      <w:r>
        <w:rPr>
          <w:rFonts w:ascii="Times New Roman;Times;serif" w:hAnsi="Times New Roman;Times;serif"/>
          <w:b/>
          <w:i/>
          <w:sz w:val="20"/>
          <w:shd w:fill="FFFFFF" w:val="clear"/>
        </w:rPr>
        <w:t>Income Taxes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Income taxes increased from a provision for the </w:t>
      </w:r>
      <w:r>
        <w:rPr>
          <w:rFonts w:ascii="Times New Roman;Times;serif" w:hAnsi="Times New Roman;Times;serif"/>
          <w:sz w:val="20"/>
        </w:rPr>
        <w:t>2025</w:t>
      </w:r>
      <w:r>
        <w:rPr>
          <w:rFonts w:ascii="Times New Roman;Times;serif" w:hAnsi="Times New Roman;Times;serif"/>
          <w:sz w:val="20"/>
          <w:shd w:fill="FFFFFF" w:val="clear"/>
        </w:rPr>
        <w:t xml:space="preserve"> quarter of approximately $1.6 million to a provision for the </w:t>
      </w:r>
      <w:r>
        <w:rPr>
          <w:rFonts w:ascii="Times New Roman;Times;serif" w:hAnsi="Times New Roman;Times;serif"/>
          <w:sz w:val="20"/>
        </w:rPr>
        <w:t>2026</w:t>
      </w:r>
      <w:r>
        <w:rPr>
          <w:rFonts w:ascii="Times New Roman;Times;serif" w:hAnsi="Times New Roman;Times;serif"/>
          <w:sz w:val="20"/>
          <w:shd w:fill="FFFFFF" w:val="clear"/>
        </w:rPr>
        <w:t> quarter of approximat</w:t>
      </w:r>
      <w:r>
        <w:rPr>
          <w:rFonts w:ascii="Times New Roman;Times;serif" w:hAnsi="Times New Roman;Times;serif"/>
          <w:sz w:val="20"/>
        </w:rPr>
        <w:t>ely $4.2 million. This increase was primarily related to increased earnings before taxes for the 2026 quarter. The income tax provision as a percentage of earnings before tax was approximately 24.7% and 24.3% for the 2026 quarter and 2025 quarter, respectively. For both quarters, the effective tax rate differed from the federal statutory rate due primarily to the inclusion of state tax expenses in the provision.</w:t>
      </w:r>
    </w:p>
    <w:p>
      <w:pPr>
        <w:pStyle w:val="TextBody"/>
        <w:bidi w:val="0"/>
        <w:spacing w:before="0" w:after="0"/>
        <w:ind w:left="0" w:right="0" w:firstLine="49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Information</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non-GAAP measure adjusted gross profit is used in this Management's Discussion and Analysis. Adjusted gross profit is calculated as sales minus cost of materials sold. Cost of materials sold is a discrete line on our statements of operations and represents the cost associated with purchased metals, inbound freight, transfer freight and certain external processing costs. To provide financial statement users with a better understanding of the Company's expenses, cost of sales is disaggregated on our statements of operations into the line items cost of materials sold, processing and warehousing expense, delivery expense and depreciation and amortization. The Company believes adjusted gross profit is a meaningful measure because our cost structure and operating results are significantly impacted by the fluctuating costs associated with purchased metals.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reconciles the GAAP measure for gross profit to the non-GAAP measure adjusted gross profit (in thousands):</w:t>
      </w:r>
    </w:p>
    <w:p>
      <w:pPr>
        <w:pStyle w:val="TextBody"/>
        <w:bidi w:val="0"/>
        <w:spacing w:before="0" w:after="0"/>
        <w:ind w:left="0" w:right="0" w:firstLine="540"/>
        <w:jc w:val="both"/>
        <w:rPr/>
      </w:pPr>
      <w:r>
        <w:rPr/>
        <w:t> </w:t>
      </w:r>
    </w:p>
    <w:tbl>
      <w:tblPr>
        <w:tblW w:w="6741" w:type="dxa"/>
        <w:jc w:val="left"/>
        <w:tblInd w:w="0" w:type="dxa"/>
        <w:tblLayout w:type="fixed"/>
        <w:tblCellMar>
          <w:top w:w="0" w:type="dxa"/>
          <w:left w:w="0" w:type="dxa"/>
          <w:bottom w:w="0" w:type="dxa"/>
          <w:right w:w="0" w:type="dxa"/>
        </w:tblCellMar>
      </w:tblPr>
      <w:tblGrid>
        <w:gridCol w:w="4295"/>
        <w:gridCol w:w="60"/>
        <w:gridCol w:w="187"/>
        <w:gridCol w:w="886"/>
        <w:gridCol w:w="90"/>
        <w:gridCol w:w="90"/>
        <w:gridCol w:w="187"/>
        <w:gridCol w:w="886"/>
        <w:gridCol w:w="60"/>
      </w:tblGrid>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(GAAP measure)</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12,498</w:t>
            </w:r>
          </w:p>
        </w:tc>
        <w:tc>
          <w:tcPr>
            <w:tcW w:w="6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and warehousing expense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9,328</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expense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6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(non-GAAP measure presented)</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FINANCIAL POSITION, LIQUIDITY AND CAPITAL RESOURCES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The Company’s current ratio was</w:t>
      </w:r>
      <w:r>
        <w:rPr>
          <w:rFonts w:ascii="Times New Roman;Times;serif" w:hAnsi="Times New Roman;Times;serif"/>
          <w:sz w:val="20"/>
        </w:rPr>
        <w:t> 2.9 a</w:t>
      </w:r>
      <w:r>
        <w:rPr>
          <w:rFonts w:ascii="Times New Roman;Times;serif" w:hAnsi="Times New Roman;Times;serif"/>
          <w:sz w:val="20"/>
          <w:shd w:fill="FFFFFF" w:val="clear"/>
        </w:rPr>
        <w:t xml:space="preserve">t </w:t>
      </w:r>
      <w:r>
        <w:rPr>
          <w:rFonts w:ascii="Times New Roman;Times;serif" w:hAnsi="Times New Roman;Times;serif"/>
          <w:sz w:val="20"/>
        </w:rPr>
        <w:t>June 30, 2026</w:t>
      </w:r>
      <w:r>
        <w:rPr>
          <w:rFonts w:ascii="Times New Roman;Times;serif" w:hAnsi="Times New Roman;Times;serif"/>
          <w:sz w:val="20"/>
          <w:shd w:fill="FFFFFF" w:val="clear"/>
        </w:rPr>
        <w:t xml:space="preserve"> and 3.4 at </w:t>
      </w:r>
      <w:r>
        <w:rPr>
          <w:rFonts w:ascii="Times New Roman;Times;serif" w:hAnsi="Times New Roman;Times;serif"/>
          <w:sz w:val="20"/>
        </w:rPr>
        <w:t>March 31, 2026</w:t>
      </w:r>
      <w:r>
        <w:rPr>
          <w:rFonts w:ascii="Times New Roman;Times;serif" w:hAnsi="Times New Roman;Times;serif"/>
          <w:sz w:val="20"/>
          <w:shd w:fill="FFFFFF" w:val="clear"/>
        </w:rPr>
        <w:t>. Working capital was approx</w:t>
      </w:r>
      <w:r>
        <w:rPr>
          <w:rFonts w:ascii="Times New Roman;Times;serif" w:hAnsi="Times New Roman;Times;serif"/>
          <w:sz w:val="20"/>
        </w:rPr>
        <w:t>imately $190.8 million at June 30, 2026</w:t>
      </w:r>
      <w:r>
        <w:rPr>
          <w:rFonts w:ascii="Times New Roman;Times;serif" w:hAnsi="Times New Roman;Times;serif"/>
          <w:sz w:val="20"/>
          <w:shd w:fill="FFFFFF" w:val="clear"/>
        </w:rPr>
        <w:t xml:space="preserve"> and $180.9 million at </w:t>
      </w:r>
      <w:r>
        <w:rPr>
          <w:rFonts w:ascii="Times New Roman;Times;serif" w:hAnsi="Times New Roman;Times;serif"/>
          <w:sz w:val="20"/>
        </w:rPr>
        <w:t>March 31, 2026</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three months ended June 30, 2026, the Company maintained assets and liabilities at levels it believed were commensurate with operations. Changes in balance sheet amounts occurred in the ordinary course of business. The Company ex</w:t>
      </w:r>
      <w:r>
        <w:rPr>
          <w:rFonts w:ascii="Times New Roman;Times;serif" w:hAnsi="Times New Roman;Times;serif"/>
          <w:sz w:val="20"/>
          <w:shd w:fill="FFFFFF" w:val="clear"/>
        </w:rPr>
        <w:t>pects to continue to monitor, evaluate and manage balance sheet components depending on changes in market conditions and the Company’s operations.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has a $140 million asset-based lending facility ("ABL Facility") led by JPMorgan Chase Bank, N.A. with Wells Fargo Bank, N.A. as a 40% syndicated participant. The ABL Facility matures on August 29, 2030 and is secured by substantially all of the assets of the Company. The Company can elect borrowings on a floating rate basis or a term basis. Floating rate borrowings accrue interest at a rate equal to the prime rate minus 1.45% per annum. Term rate borrowings accrue interest at a rate equal to the SOFR rate applicable to the selected term plus 1.65%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10% of the revolving commitment or $14 million. The financial covenant restricts the Company from allowing its fixed charge coverage ratio to be, as of the end of any calendar month, less than 1.00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up to an aggregate of $60 million, in minimum increments of $5 million. At June 30, 2026, the Company had a balance of approximately $91.5 million under the ABL Facility with an applicable interest rate of 5.3% and the Company's borrowing base calculation supported full access to the ABL Facility.</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believes that its current cash position along with cash flows from operations and borrowing capability due to its financial position are adequate to fund its expected cash requirements for the next 12 months.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HEDGING ACTIVITIES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utilizes hot-rolled coil futures, options and swaps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a loss of approximately $2.8 million during the three months ended June 30, 2026</w:t>
      </w:r>
      <w:r>
        <w:rPr>
          <w:rFonts w:ascii="Times New Roman;Times;serif" w:hAnsi="Times New Roman;Times;serif"/>
          <w:sz w:val="20"/>
          <w:shd w:fill="FFFFFF" w:val="clear"/>
        </w:rPr>
        <w:t xml:space="preserve"> and a gain of $0.3 million during the three months ended June 30, 2025</w:t>
      </w:r>
      <w:r>
        <w:rPr>
          <w:rFonts w:ascii="Times New Roman;Times;serif" w:hAnsi="Times New Roman;Times;serif"/>
          <w:sz w:val="20"/>
        </w:rPr>
        <w:t> related to hedging activities with all of this being classified as economic hedges of risk. With MTM accounting treatment, it is possible that hedging related gains or losses might be recognized in a different fiscal quarter or fiscal year than the corresponding improvement or contraction in our physical margins. See Note 9 for additional information related to the Company's hedging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U.S. generally accepted accounting principles may require management to make estimates and assumptions that affect the amounts reported in the consolidated financial statements and accompanying notes. The determination of fair values related to the Century Metals &amp; Supplies business combination accounting involves significant estimates and judgments in the valuation process. Actual results could differ from any estimates.</w:t>
      </w:r>
    </w:p>
    <w:p>
      <w:pPr>
        <w:pStyle w:val="TextBody"/>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CAUTIONARY NOTE REGARDING FORWARD-LOOKING STATEMENTS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0"/>
        <w:ind w:left="0" w:right="0" w:hanging="0"/>
        <w:jc w:val="left"/>
        <w:rPr>
          <w:rFonts w:ascii="Times New Roman;Times;serif" w:hAnsi="Times New Roman;Times;serif"/>
          <w:b/>
          <w:sz w:val="20"/>
        </w:rPr>
      </w:pPr>
      <w:bookmarkStart w:id="6" w:name="quan"/>
      <w:bookmarkEnd w:id="6"/>
      <w:r>
        <w:rPr>
          <w:rFonts w:ascii="Times New Roman;Times;serif" w:hAnsi="Times New Roman;Times;serif"/>
          <w:b/>
          <w:sz w:val="20"/>
        </w:rPr>
        <w:t xml:space="preserve">Item 3. Quantitative and Qualitative Disclosures About Market Risk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Not required.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7" w:name="conpro"/>
      <w:bookmarkEnd w:id="7"/>
      <w:r>
        <w:rPr>
          <w:rFonts w:ascii="Times New Roman;Times;serif" w:hAnsi="Times New Roman;Times;serif"/>
          <w:b/>
          <w:sz w:val="20"/>
        </w:rPr>
        <w:t xml:space="preserve">Item 4. Controls and Procedures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 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on this evaluation, the Company’s CEO and principal financial officer have concluded that the Company’s disclosure controls and procedures were effective as of the end of the fiscal quarter ended June 30, 2026 to ensure that information that is required to be disclosed by the Company in the reports it files or submits under the Exchange Act is (i) recorded, processed, summarized and reported within the time periods specified in the SEC’s rules and forms and (ii) accumulated and communicated to the Company’s management, including the CEO and principal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that occurred during the fiscal quarter ended June 30, 2026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FRIEDMAN INDUSTRIES, INCORPORATED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Three Months Ended June 30, 2026</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8" w:name="ptwo"/>
      <w:bookmarkEnd w:id="8"/>
      <w:r>
        <w:rPr>
          <w:rFonts w:ascii="Times New Roman;Times;serif" w:hAnsi="Times New Roman;Times;serif"/>
          <w:b/>
          <w:sz w:val="20"/>
        </w:rPr>
        <w:t xml:space="preserve">Part II — OTHER INFORMATION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 Issuer Purchases of Equity Securities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repurchases shares of its common stock from time to time pursuant to its publicly announced share repurchase program. During the quarter ended June 30, 2026, the Company's open-market repurchases under the program were made pursuant to a Rule 10b5-1 trading arrangement ("10b5-1 Plan"), as defined in Item 408(a) of Regulation S-K under the Securities Exchange Act of 1934, as amended. The following table provides information regarding purchases of the Company's common stock during the quarter ended June 30, 2026, including shares withheld to satisfy employees' tax withholding obligations in connection with the vesting of restricted stock awards.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2"/>
        <w:gridCol w:w="60"/>
        <w:gridCol w:w="1972"/>
        <w:gridCol w:w="60"/>
        <w:gridCol w:w="125"/>
        <w:gridCol w:w="1610"/>
        <w:gridCol w:w="60"/>
        <w:gridCol w:w="1976"/>
        <w:gridCol w:w="60"/>
        <w:gridCol w:w="1873"/>
        <w:gridCol w:w="77"/>
      </w:tblGrid>
      <w:tr>
        <w:trPr/>
        <w:tc>
          <w:tcPr>
            <w:tcW w:w="2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Number of Shares</w:t>
            </w:r>
          </w:p>
        </w:tc>
        <w:tc>
          <w:tcPr>
            <w:tcW w:w="60"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Number of</w:t>
            </w:r>
          </w:p>
        </w:tc>
        <w:tc>
          <w:tcPr>
            <w:tcW w:w="77"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Purchased as Part of</w:t>
            </w:r>
          </w:p>
        </w:tc>
        <w:tc>
          <w:tcPr>
            <w:tcW w:w="60"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That</w:t>
            </w:r>
          </w:p>
        </w:tc>
        <w:tc>
          <w:tcPr>
            <w:tcW w:w="77"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Number of Shares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Price Paid</w:t>
            </w:r>
          </w:p>
        </w:tc>
        <w:tc>
          <w:tcPr>
            <w:tcW w:w="60"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Publicly Announced</w:t>
            </w:r>
          </w:p>
        </w:tc>
        <w:tc>
          <w:tcPr>
            <w:tcW w:w="60"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May Yet Be Purchased</w:t>
            </w:r>
          </w:p>
        </w:tc>
        <w:tc>
          <w:tcPr>
            <w:tcW w:w="77" w:type="dxa"/>
            <w:tcBorders/>
            <w:vAlign w:val="center"/>
          </w:tcPr>
          <w:p>
            <w:pPr>
              <w:pStyle w:val="TableContents"/>
              <w:bidi w:val="0"/>
              <w:spacing w:before="0" w:after="283"/>
              <w:jc w:val="left"/>
              <w:rPr/>
            </w:pPr>
            <w:r>
              <w:rPr/>
              <w:t> </w:t>
            </w:r>
          </w:p>
        </w:tc>
      </w:tr>
      <w:tr>
        <w:trPr/>
        <w:tc>
          <w:tcPr>
            <w:tcW w:w="23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Period</w:t>
            </w:r>
          </w:p>
        </w:tc>
        <w:tc>
          <w:tcPr>
            <w:tcW w:w="60" w:type="dxa"/>
            <w:tcBorders/>
            <w:vAlign w:val="center"/>
          </w:tcPr>
          <w:p>
            <w:pPr>
              <w:pStyle w:val="TableContents"/>
              <w:bidi w:val="0"/>
              <w:spacing w:before="0" w:after="283"/>
              <w:jc w:val="left"/>
              <w:rPr/>
            </w:pPr>
            <w:r>
              <w:rPr/>
              <w:t> </w:t>
            </w:r>
          </w:p>
        </w:tc>
        <w:tc>
          <w:tcPr>
            <w:tcW w:w="1972"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Purchased</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61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 Share</w:t>
            </w:r>
          </w:p>
        </w:tc>
        <w:tc>
          <w:tcPr>
            <w:tcW w:w="60" w:type="dxa"/>
            <w:tcBorders/>
            <w:vAlign w:val="center"/>
          </w:tcPr>
          <w:p>
            <w:pPr>
              <w:pStyle w:val="TableContents"/>
              <w:bidi w:val="0"/>
              <w:spacing w:before="0" w:after="283"/>
              <w:jc w:val="left"/>
              <w:rPr/>
            </w:pPr>
            <w:r>
              <w:rPr/>
              <w:t> </w:t>
            </w:r>
          </w:p>
        </w:tc>
        <w:tc>
          <w:tcPr>
            <w:tcW w:w="1976"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Programs</w:t>
            </w:r>
          </w:p>
        </w:tc>
        <w:tc>
          <w:tcPr>
            <w:tcW w:w="60" w:type="dxa"/>
            <w:tcBorders/>
            <w:vAlign w:val="center"/>
          </w:tcPr>
          <w:p>
            <w:pPr>
              <w:pStyle w:val="TableContents"/>
              <w:bidi w:val="0"/>
              <w:spacing w:before="0" w:after="283"/>
              <w:jc w:val="left"/>
              <w:rPr/>
            </w:pPr>
            <w:r>
              <w:rPr/>
              <w:t> </w:t>
            </w:r>
          </w:p>
        </w:tc>
        <w:tc>
          <w:tcPr>
            <w:tcW w:w="1873"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Under the Programs</w:t>
            </w:r>
          </w:p>
        </w:tc>
        <w:tc>
          <w:tcPr>
            <w:tcW w:w="77" w:type="dxa"/>
            <w:tcBorders/>
            <w:vAlign w:val="center"/>
          </w:tcPr>
          <w:p>
            <w:pPr>
              <w:pStyle w:val="TableContents"/>
              <w:bidi w:val="0"/>
              <w:spacing w:before="0" w:after="283"/>
              <w:jc w:val="left"/>
              <w:rPr/>
            </w:pPr>
            <w:r>
              <w:rPr/>
              <w:t> </w:t>
            </w:r>
          </w:p>
        </w:tc>
      </w:tr>
      <w:tr>
        <w:trPr/>
        <w:tc>
          <w:tcPr>
            <w:tcW w:w="23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 2026 - April 30, 2026</w:t>
            </w:r>
          </w:p>
        </w:tc>
        <w:tc>
          <w:tcPr>
            <w:tcW w:w="60" w:type="dxa"/>
            <w:tcBorders/>
            <w:shd w:fill="CCEEFF" w:val="clear"/>
            <w:vAlign w:val="center"/>
          </w:tcPr>
          <w:p>
            <w:pPr>
              <w:pStyle w:val="TableContents"/>
              <w:bidi w:val="0"/>
              <w:spacing w:before="0" w:after="283"/>
              <w:jc w:val="left"/>
              <w:rPr/>
            </w:pPr>
            <w:r>
              <w:rPr/>
              <w:t> </w:t>
            </w:r>
          </w:p>
        </w:tc>
        <w:tc>
          <w:tcPr>
            <w:tcW w:w="1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17.52</w:t>
            </w:r>
          </w:p>
        </w:tc>
        <w:tc>
          <w:tcPr>
            <w:tcW w:w="60" w:type="dxa"/>
            <w:tcBorders/>
            <w:shd w:fill="CCEEFF" w:val="clear"/>
            <w:vAlign w:val="center"/>
          </w:tcPr>
          <w:p>
            <w:pPr>
              <w:pStyle w:val="TableContents"/>
              <w:bidi w:val="0"/>
              <w:spacing w:before="0" w:after="283"/>
              <w:jc w:val="left"/>
              <w:rPr/>
            </w:pPr>
            <w:r>
              <w:rPr/>
              <w:t> </w:t>
            </w:r>
          </w:p>
        </w:tc>
        <w:tc>
          <w:tcPr>
            <w:tcW w:w="1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4,330</w:t>
            </w:r>
          </w:p>
        </w:tc>
        <w:tc>
          <w:tcPr>
            <w:tcW w:w="60" w:type="dxa"/>
            <w:tcBorders/>
            <w:shd w:fill="CCEEFF" w:val="clear"/>
            <w:vAlign w:val="center"/>
          </w:tcPr>
          <w:p>
            <w:pPr>
              <w:pStyle w:val="TableContents"/>
              <w:bidi w:val="0"/>
              <w:spacing w:before="0" w:after="283"/>
              <w:jc w:val="left"/>
              <w:rPr/>
            </w:pPr>
            <w:r>
              <w:rPr/>
              <w:t> </w:t>
            </w:r>
          </w:p>
        </w:tc>
        <w:tc>
          <w:tcPr>
            <w:tcW w:w="18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1,041,444</w:t>
            </w:r>
          </w:p>
        </w:tc>
        <w:tc>
          <w:tcPr>
            <w:tcW w:w="77" w:type="dxa"/>
            <w:tcBorders/>
            <w:shd w:fill="CCEEFF" w:val="clear"/>
            <w:vAlign w:val="center"/>
          </w:tcPr>
          <w:p>
            <w:pPr>
              <w:pStyle w:val="TableContents"/>
              <w:bidi w:val="0"/>
              <w:spacing w:before="0" w:after="283"/>
              <w:jc w:val="left"/>
              <w:rPr/>
            </w:pPr>
            <w:r>
              <w:rPr/>
              <w:t> </w:t>
            </w:r>
          </w:p>
        </w:tc>
      </w:tr>
      <w:tr>
        <w:trPr/>
        <w:tc>
          <w:tcPr>
            <w:tcW w:w="23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2026 - May 31, 2026</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972"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6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9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873"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1,041,444</w:t>
            </w:r>
          </w:p>
        </w:tc>
        <w:tc>
          <w:tcPr>
            <w:tcW w:w="77" w:type="dxa"/>
            <w:tcBorders/>
            <w:shd w:fill="FFFFFF" w:val="clear"/>
            <w:vAlign w:val="center"/>
          </w:tcPr>
          <w:p>
            <w:pPr>
              <w:pStyle w:val="TableContents"/>
              <w:bidi w:val="0"/>
              <w:spacing w:before="0" w:after="283"/>
              <w:jc w:val="left"/>
              <w:rPr/>
            </w:pPr>
            <w:r>
              <w:rPr/>
              <w:t> </w:t>
            </w:r>
          </w:p>
        </w:tc>
      </w:tr>
      <w:tr>
        <w:trPr/>
        <w:tc>
          <w:tcPr>
            <w:tcW w:w="23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2026 - June 30, 2026</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972"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61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1,041,444</w:t>
            </w:r>
          </w:p>
        </w:tc>
        <w:tc>
          <w:tcPr>
            <w:tcW w:w="77" w:type="dxa"/>
            <w:tcBorders/>
            <w:shd w:fill="CCEEFF" w:val="clear"/>
            <w:vAlign w:val="center"/>
          </w:tcPr>
          <w:p>
            <w:pPr>
              <w:pStyle w:val="TableContents"/>
              <w:bidi w:val="0"/>
              <w:spacing w:before="0" w:after="283"/>
              <w:jc w:val="left"/>
              <w:rPr/>
            </w:pPr>
            <w:r>
              <w:rPr/>
              <w:t> </w:t>
            </w:r>
          </w:p>
        </w:tc>
      </w:tr>
      <w:tr>
        <w:trPr/>
        <w:tc>
          <w:tcPr>
            <w:tcW w:w="23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9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4,691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17.52</w:t>
            </w:r>
          </w:p>
        </w:tc>
        <w:tc>
          <w:tcPr>
            <w:tcW w:w="60" w:type="dxa"/>
            <w:tcBorders/>
            <w:shd w:fill="FFFFFF" w:val="clear"/>
            <w:vAlign w:val="center"/>
          </w:tcPr>
          <w:p>
            <w:pPr>
              <w:pStyle w:val="TableContents"/>
              <w:bidi w:val="0"/>
              <w:spacing w:before="0" w:after="283"/>
              <w:jc w:val="left"/>
              <w:rPr/>
            </w:pPr>
            <w:r>
              <w:rPr/>
              <w:t> </w:t>
            </w:r>
          </w:p>
        </w:tc>
        <w:tc>
          <w:tcPr>
            <w:tcW w:w="197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4,330</w:t>
            </w:r>
          </w:p>
        </w:tc>
        <w:tc>
          <w:tcPr>
            <w:tcW w:w="60" w:type="dxa"/>
            <w:tcBorders/>
            <w:shd w:fill="FFFFFF" w:val="clear"/>
            <w:vAlign w:val="center"/>
          </w:tcPr>
          <w:p>
            <w:pPr>
              <w:pStyle w:val="TableContents"/>
              <w:bidi w:val="0"/>
              <w:spacing w:before="0" w:after="283"/>
              <w:jc w:val="left"/>
              <w:rPr/>
            </w:pPr>
            <w:r>
              <w:rPr/>
              <w:t> </w:t>
            </w:r>
          </w:p>
        </w:tc>
        <w:tc>
          <w:tcPr>
            <w:tcW w:w="18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1,041,444</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 number of shares purchased includes 4,330 shares repurchased under a repurchase program and 361 shares withheld to satisfy employees' tax withholding obligations in connection with the vesting of restricted stock awards. On December 13, 2023, the Company's Board of Directors authorized a share repurchase program under which the Company may repurchase up to 1,045,774 shares of its common stock. As of June 30, 2026, 1,041,444 shares remained available for repurchase under the program. The program is scheduled to expire on December 13, 2026, unless modified, suspended, extended, or terminated earlier by the Board of Directors.</w:t>
      </w:r>
    </w:p>
    <w:p>
      <w:pPr>
        <w:pStyle w:val="TextBody"/>
        <w:bidi w:val="0"/>
        <w:spacing w:before="0" w:after="0"/>
        <w:ind w:left="0" w:right="0" w:firstLine="36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9" w:name="item5"/>
      <w:bookmarkEnd w:id="9"/>
      <w:r>
        <w:rPr>
          <w:rFonts w:ascii="Times New Roman;Times;serif" w:hAnsi="Times New Roman;Times;serif"/>
          <w:b/>
          <w:sz w:val="20"/>
        </w:rPr>
        <w:t>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none of our officers or directors adopted, modified or terminated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or a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as each term is defined in Item </w:t>
      </w:r>
      <w:r>
        <w:rPr>
          <w:rStyle w:val="Emphasis"/>
          <w:rFonts w:ascii="Times New Roman;Times;serif" w:hAnsi="Times New Roman;Times;serif"/>
          <w:sz w:val="20"/>
        </w:rPr>
        <w:t>408</w:t>
      </w:r>
      <w:r>
        <w:rPr>
          <w:rFonts w:ascii="Times New Roman;Times;serif" w:hAnsi="Times New Roman;Times;serif"/>
          <w:sz w:val="20"/>
        </w:rPr>
        <w:t>(a) and (c), respectively, of Regulation S-K, for the purchase or sale of our securities.</w:t>
      </w:r>
    </w:p>
    <w:p>
      <w:pPr>
        <w:pStyle w:val="TextBody"/>
        <w:bidi w:val="0"/>
        <w:spacing w:before="0" w:after="0"/>
        <w:ind w:left="0" w:right="0" w:firstLine="54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0" w:name="exes"/>
      <w:bookmarkEnd w:id="10"/>
      <w:r>
        <w:rPr>
          <w:rFonts w:ascii="Times New Roman;Times;serif" w:hAnsi="Times New Roman;Times;serif"/>
          <w:b/>
          <w:sz w:val="20"/>
        </w:rPr>
        <w:t xml:space="preserve">Item 6. Exhibits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01"/>
        <w:gridCol w:w="304"/>
        <w:gridCol w:w="8900"/>
      </w:tblGrid>
      <w:tr>
        <w:trPr/>
        <w:tc>
          <w:tcPr>
            <w:tcW w:w="1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Exhibits</w:t>
            </w:r>
          </w:p>
        </w:tc>
        <w:tc>
          <w:tcPr>
            <w:tcW w:w="304" w:type="dxa"/>
            <w:tcBorders/>
            <w:vAlign w:val="center"/>
          </w:tcPr>
          <w:p>
            <w:pPr>
              <w:pStyle w:val="TableContents"/>
              <w:bidi w:val="0"/>
              <w:spacing w:before="0" w:after="0"/>
              <w:ind w:left="0" w:right="0" w:hanging="0"/>
              <w:jc w:val="left"/>
              <w:rPr/>
            </w:pPr>
            <w:r>
              <w:rPr/>
              <w:t> </w:t>
            </w:r>
          </w:p>
        </w:tc>
        <w:tc>
          <w:tcPr>
            <w:tcW w:w="8900" w:type="dxa"/>
            <w:tcBorders/>
            <w:vAlign w:val="center"/>
          </w:tcPr>
          <w:p>
            <w:pPr>
              <w:pStyle w:val="TableContents"/>
              <w:bidi w:val="0"/>
              <w:spacing w:before="0" w:after="0"/>
              <w:ind w:left="0" w:right="0" w:hanging="0"/>
              <w:jc w:val="left"/>
              <w:rPr/>
            </w:pPr>
            <w:r>
              <w:rPr/>
              <w:t> </w:t>
            </w:r>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3.1</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sz w:val="20"/>
                </w:rPr>
                <w:t>Articles of Incorporation of the Company, as amended (incorporated by reference from Exhibit 3.1 to the Company’s Form S-8 filed on December 21, 2016).</w:t>
              </w:r>
            </w:hyperlink>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3.2</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sz w:val="20"/>
                </w:rPr>
                <w:t>Articles of Amendment to the Articles of Incorporation of the Company, as filed with the Texas Secretary of State on September 22, 1987 (incorporated by reference from Exhibit 3.1 to the Company’s Form S-8 filed on December 21, 2016).</w:t>
              </w:r>
            </w:hyperlink>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3.3</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sz w:val="20"/>
                </w:rPr>
                <w:t>Amended and Restated Bylaws of the Company, as amended on November 8, 2021. (incorporated by reference from Exhibit 3.3 to the Company's Form 10-Q filed on November 19, 2021).</w:t>
              </w:r>
            </w:hyperlink>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 31.1</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both"/>
              <w:rPr/>
            </w:pPr>
            <w:hyperlink w:anchor="ex_980220.htm">
              <w:r>
                <w:rPr>
                  <w:rStyle w:val="InternetLink"/>
                  <w:rFonts w:ascii="Times New Roman;Times;serif" w:hAnsi="Times New Roman;Times;serif"/>
                  <w:sz w:val="20"/>
                </w:rPr>
                <w:t>Certification Pursuant to Section 302 of the Sarbanes-Oxley Act of 2002, signed by Michael J. Taylor.</w:t>
              </w:r>
            </w:hyperlink>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 31.2</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both"/>
              <w:rPr/>
            </w:pPr>
            <w:hyperlink w:anchor="ex_980221.htm">
              <w:r>
                <w:rPr>
                  <w:rStyle w:val="InternetLink"/>
                  <w:rFonts w:ascii="Times New Roman;Times;serif" w:hAnsi="Times New Roman;Times;serif"/>
                  <w:sz w:val="20"/>
                </w:rPr>
                <w:t>Certification Pursuant to Section 302 of the Sarbanes-Oxley Act of 2002, signed by Alex LaRue.</w:t>
              </w:r>
            </w:hyperlink>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 32.1</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both"/>
              <w:rPr/>
            </w:pPr>
            <w:hyperlink w:anchor="ex_980222.htm">
              <w:r>
                <w:rPr>
                  <w:rStyle w:val="InternetLink"/>
                  <w:rFonts w:ascii="Times New Roman;Times;serif" w:hAnsi="Times New Roman;Times;serif"/>
                  <w:sz w:val="20"/>
                </w:rPr>
                <w:t>Certification Pursuant to 18 U.S.C. Section 1350, as Adopted Pursuant to Section 906 of the Sarbanes-Oxley Act of 2002, signed by Michael J. Taylor.</w:t>
              </w:r>
            </w:hyperlink>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 32.2</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both"/>
              <w:rPr/>
            </w:pPr>
            <w:hyperlink w:anchor="ex_980223.htm">
              <w:r>
                <w:rPr>
                  <w:rStyle w:val="InternetLink"/>
                  <w:rFonts w:ascii="Times New Roman;Times;serif" w:hAnsi="Times New Roman;Times;serif"/>
                  <w:sz w:val="20"/>
                </w:rPr>
                <w:t>Certification Pursuant to 18 U.S.C. Section 1350, as Adopted Pursuant to Section 906 of the Sarbanes-Oxley Act of 2002, signed by Alex LaRue.</w:t>
              </w:r>
            </w:hyperlink>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Schema Document.</w:t>
            </w:r>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w:t>
            </w:r>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Label Linkbase Document.</w:t>
            </w:r>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04" w:type="dxa"/>
            <w:tcBorders/>
            <w:vAlign w:val="center"/>
          </w:tcPr>
          <w:p>
            <w:pPr>
              <w:pStyle w:val="TableContents"/>
              <w:bidi w:val="0"/>
              <w:spacing w:before="0" w:after="0"/>
              <w:ind w:left="38" w:right="0" w:hanging="0"/>
              <w:jc w:val="left"/>
              <w:rPr/>
            </w:pPr>
            <w:r>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Presentation Linkbase Document.</w:t>
            </w:r>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pPr>
            <w:r>
              <w:rPr/>
              <w:t>**104</w:t>
            </w:r>
          </w:p>
        </w:tc>
        <w:tc>
          <w:tcPr>
            <w:tcW w:w="304"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pPr>
            <w:r>
              <w:rPr/>
              <w:t>Cover Page Interactive File (formatted as Inline XBRL and contained in Exhibit 101)</w:t>
            </w:r>
          </w:p>
        </w:tc>
      </w:tr>
      <w:tr>
        <w:trPr/>
        <w:tc>
          <w:tcPr>
            <w:tcW w:w="1001"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both"/>
              <w:rPr/>
            </w:pPr>
            <w:r>
              <w:rPr/>
              <w:t> </w:t>
            </w:r>
          </w:p>
        </w:tc>
      </w:tr>
      <w:tr>
        <w:trPr/>
        <w:tc>
          <w:tcPr>
            <w:tcW w:w="1305" w:type="dxa"/>
            <w:gridSpan w:val="2"/>
            <w:tcBorders/>
            <w:vAlign w:val="center"/>
          </w:tcPr>
          <w:p>
            <w:pPr>
              <w:pStyle w:val="TableContents"/>
              <w:bidi w:val="0"/>
              <w:spacing w:before="0" w:after="283"/>
              <w:jc w:val="left"/>
              <w:rPr/>
            </w:pPr>
            <w:r>
              <w:rPr/>
              <w:t>** Filed herewith.</w:t>
            </w:r>
          </w:p>
        </w:tc>
        <w:tc>
          <w:tcPr>
            <w:tcW w:w="890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bookmarkStart w:id="11" w:name="sigs"/>
      <w:bookmarkEnd w:id="11"/>
      <w:r>
        <w:rPr>
          <w:rFonts w:ascii="Times New Roman;Times;serif" w:hAnsi="Times New Roman;Times;serif"/>
          <w:b/>
          <w:sz w:val="20"/>
        </w:rPr>
        <w:t xml:space="preserve">SIGNATURES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6330" w:type="dxa"/>
        <w:jc w:val="left"/>
        <w:tblInd w:w="0" w:type="dxa"/>
        <w:tblLayout w:type="fixed"/>
        <w:tblCellMar>
          <w:top w:w="0" w:type="dxa"/>
          <w:left w:w="0" w:type="dxa"/>
          <w:bottom w:w="0" w:type="dxa"/>
          <w:right w:w="0" w:type="dxa"/>
        </w:tblCellMar>
      </w:tblPr>
      <w:tblGrid>
        <w:gridCol w:w="1760"/>
        <w:gridCol w:w="60"/>
        <w:gridCol w:w="260"/>
        <w:gridCol w:w="4250"/>
      </w:tblGrid>
      <w:tr>
        <w:trPr/>
        <w:tc>
          <w:tcPr>
            <w:tcW w:w="17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5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FRIEDMAN INDUSTRIES, INCORPORATED</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ALEX LARUE        </w:t>
            </w:r>
          </w:p>
        </w:tc>
      </w:tr>
      <w:tr>
        <w:trPr/>
        <w:tc>
          <w:tcPr>
            <w:tcW w:w="17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42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Alex LaRue, Chief Financial Officer – Secretary and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Treasurer (Principal Financial Officer)</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20 </w:t>
      </w:r>
    </w:p>
    <w:p>
      <w:pPr>
        <w:pStyle w:val="TextBody"/>
        <w:bidi w:val="0"/>
        <w:spacing w:before="0" w:after="0"/>
        <w:ind w:left="0" w:right="0" w:hanging="0"/>
        <w:jc w:val="right"/>
        <w:rPr>
          <w:rFonts w:ascii="Times New Roman;Times;serif" w:hAnsi="Times New Roman;Times;serif"/>
          <w:b/>
          <w:sz w:val="20"/>
        </w:rPr>
      </w:pPr>
      <w:bookmarkStart w:id="12" w:name="ex_980220.htm"/>
      <w:bookmarkStart w:id="13" w:name="ksex_980220"/>
      <w:bookmarkEnd w:id="12"/>
      <w:bookmarkEnd w:id="13"/>
      <w:r>
        <w:rPr>
          <w:rFonts w:ascii="Times New Roman;Times;serif" w:hAnsi="Times New Roman;Times;serif"/>
          <w:b/>
          <w:sz w:val="20"/>
        </w:rPr>
        <w:t xml:space="preserve">EXHIBIT 31.1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Michael J. Taylor, certify that: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1. I have reviewed this report on Form 10-Q of Friedman Industries, Incorporated;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540" w:right="0" w:firstLine="54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140" w:type="dxa"/>
        <w:jc w:val="left"/>
        <w:tblInd w:w="0" w:type="dxa"/>
        <w:tblLayout w:type="fixed"/>
        <w:tblCellMar>
          <w:top w:w="0" w:type="dxa"/>
          <w:left w:w="0" w:type="dxa"/>
          <w:bottom w:w="28" w:type="dxa"/>
          <w:right w:w="0" w:type="dxa"/>
        </w:tblCellMar>
      </w:tblPr>
      <w:tblGrid>
        <w:gridCol w:w="3140"/>
      </w:tblGrid>
      <w:tr>
        <w:trPr/>
        <w:tc>
          <w:tcPr>
            <w:tcW w:w="31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TAYLOR</w:t>
            </w:r>
          </w:p>
        </w:tc>
      </w:tr>
      <w:tr>
        <w:trPr/>
        <w:tc>
          <w:tcPr>
            <w:tcW w:w="3140" w:type="dxa"/>
            <w:tcBorders/>
            <w:tcMar>
              <w:bottom w:w="0"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4" w:name="ex_980221.htm"/>
      <w:bookmarkStart w:id="15" w:name="ksex_980221"/>
      <w:bookmarkEnd w:id="14"/>
      <w:bookmarkEnd w:id="15"/>
      <w:r>
        <w:rPr>
          <w:rFonts w:ascii="Times New Roman;Times;serif" w:hAnsi="Times New Roman;Times;serif"/>
          <w:b/>
          <w:sz w:val="20"/>
        </w:rPr>
        <w:t xml:space="preserve">EXHIBIT 31.2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Alex LaRue, certify that: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1. I have reviewed this report on Form 10-Q of Friedman Industries, Incorporated;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p>
      <w:pPr>
        <w:pStyle w:val="TextBody"/>
        <w:bidi w:val="0"/>
        <w:spacing w:before="0" w:after="0"/>
        <w:ind w:left="0" w:right="0" w:hanging="0"/>
        <w:jc w:val="left"/>
        <w:rPr/>
      </w:pPr>
      <w:r>
        <w:rPr/>
        <w:t> </w:t>
      </w:r>
    </w:p>
    <w:tbl>
      <w:tblPr>
        <w:tblW w:w="4145" w:type="dxa"/>
        <w:jc w:val="left"/>
        <w:tblInd w:w="0" w:type="dxa"/>
        <w:tblLayout w:type="fixed"/>
        <w:tblCellMar>
          <w:top w:w="0" w:type="dxa"/>
          <w:left w:w="0" w:type="dxa"/>
          <w:bottom w:w="28" w:type="dxa"/>
          <w:right w:w="0" w:type="dxa"/>
        </w:tblCellMar>
      </w:tblPr>
      <w:tblGrid>
        <w:gridCol w:w="4145"/>
      </w:tblGrid>
      <w:tr>
        <w:trPr/>
        <w:tc>
          <w:tcPr>
            <w:tcW w:w="414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LARUE</w:t>
            </w:r>
          </w:p>
        </w:tc>
      </w:tr>
      <w:tr>
        <w:trPr/>
        <w:tc>
          <w:tcPr>
            <w:tcW w:w="4145" w:type="dxa"/>
            <w:tcBorders/>
            <w:tcMar>
              <w:bottom w:w="0"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 Secretary and Treasurer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6" w:name="ex_980222.htm"/>
      <w:bookmarkStart w:id="17" w:name="ksex_980222"/>
      <w:bookmarkEnd w:id="16"/>
      <w:bookmarkEnd w:id="17"/>
      <w:r>
        <w:rPr>
          <w:rFonts w:ascii="Times New Roman;Times;serif" w:hAnsi="Times New Roman;Times;serif"/>
          <w:b/>
          <w:sz w:val="20"/>
        </w:rPr>
        <w:t xml:space="preserve">EXHIBIT 32.1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Filed Pursuant to the Securities Exchange Act of 1934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 connection with the Quarterly Report of Friedman Industries, Incorporated (the “Company”) on Form 10-Q for the period ended</w:t>
      </w:r>
      <w:r>
        <w:rPr>
          <w:rFonts w:ascii="Times New Roman;Times;serif" w:hAnsi="Times New Roman;Times;serif"/>
          <w:sz w:val="20"/>
          <w:shd w:fill="FFFFFF" w:val="clear"/>
        </w:rPr>
        <w:t xml:space="preserve"> </w:t>
      </w:r>
      <w:bookmarkStart w:id="18" w:name="led83830F2021121612298839707"/>
      <w:bookmarkEnd w:id="18"/>
      <w:r>
        <w:rPr>
          <w:rFonts w:ascii="Times New Roman;Times;serif" w:hAnsi="Times New Roman;Times;serif"/>
          <w:sz w:val="20"/>
        </w:rPr>
        <w:t>June 30, 2026,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pStyle w:val="TextBody"/>
        <w:bidi w:val="0"/>
        <w:spacing w:before="0" w:after="0"/>
        <w:ind w:left="0" w:right="0" w:hanging="0"/>
        <w:jc w:val="left"/>
        <w:rPr/>
      </w:pPr>
      <w:r>
        <w:rPr/>
        <w:t> </w:t>
      </w:r>
    </w:p>
    <w:tbl>
      <w:tblPr>
        <w:tblW w:w="9920" w:type="dxa"/>
        <w:jc w:val="left"/>
        <w:tblInd w:w="0" w:type="dxa"/>
        <w:tblLayout w:type="fixed"/>
        <w:tblCellMar>
          <w:top w:w="0" w:type="dxa"/>
          <w:left w:w="0" w:type="dxa"/>
          <w:bottom w:w="0" w:type="dxa"/>
          <w:right w:w="0" w:type="dxa"/>
        </w:tblCellMar>
      </w:tblPr>
      <w:tblGrid>
        <w:gridCol w:w="60"/>
        <w:gridCol w:w="9860"/>
      </w:tblGrid>
      <w:tr>
        <w:trPr/>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560"/>
        <w:gridCol w:w="309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Taylor</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J. Taylor</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9" w:name="ex_980223.htm"/>
      <w:bookmarkStart w:id="20" w:name="ksex_980223"/>
      <w:bookmarkEnd w:id="19"/>
      <w:bookmarkEnd w:id="20"/>
      <w:r>
        <w:rPr>
          <w:rFonts w:ascii="Times New Roman;Times;serif" w:hAnsi="Times New Roman;Times;serif"/>
          <w:b/>
          <w:sz w:val="20"/>
        </w:rPr>
        <w:t xml:space="preserve">EXHIBIT 32.2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Filed Pursuant to the Securities Exchange Act of 1934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In connection with the Quarterly Report of Friedman Industries, Incorporated (the “Company”) on Form 10-Q for the period ended </w:t>
      </w:r>
      <w:bookmarkStart w:id="21" w:name="led83830F2021121612298873697"/>
      <w:bookmarkEnd w:id="21"/>
      <w:r>
        <w:rPr>
          <w:rFonts w:ascii="Times New Roman;Times;serif" w:hAnsi="Times New Roman;Times;serif"/>
          <w:sz w:val="20"/>
        </w:rPr>
        <w:t>June 30, 2026,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pStyle w:val="TextBody"/>
        <w:bidi w:val="0"/>
        <w:spacing w:before="0" w:after="0"/>
        <w:ind w:left="0" w:right="0" w:hanging="0"/>
        <w:jc w:val="left"/>
        <w:rPr/>
      </w:pPr>
      <w:r>
        <w:rPr/>
        <w:t> </w:t>
      </w:r>
    </w:p>
    <w:tbl>
      <w:tblPr>
        <w:tblW w:w="9920" w:type="dxa"/>
        <w:jc w:val="left"/>
        <w:tblInd w:w="0" w:type="dxa"/>
        <w:tblLayout w:type="fixed"/>
        <w:tblCellMar>
          <w:top w:w="0" w:type="dxa"/>
          <w:left w:w="0" w:type="dxa"/>
          <w:bottom w:w="0" w:type="dxa"/>
          <w:right w:w="0" w:type="dxa"/>
        </w:tblCellMar>
      </w:tblPr>
      <w:tblGrid>
        <w:gridCol w:w="60"/>
        <w:gridCol w:w="9860"/>
      </w:tblGrid>
      <w:tr>
        <w:trPr/>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540" w:type="dxa"/>
        <w:jc w:val="left"/>
        <w:tblInd w:w="0" w:type="dxa"/>
        <w:tblLayout w:type="fixed"/>
        <w:tblCellMar>
          <w:top w:w="0" w:type="dxa"/>
          <w:left w:w="0" w:type="dxa"/>
          <w:bottom w:w="0" w:type="dxa"/>
          <w:right w:w="0" w:type="dxa"/>
        </w:tblCellMar>
      </w:tblPr>
      <w:tblGrid>
        <w:gridCol w:w="560"/>
        <w:gridCol w:w="398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LaRue</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Alex LaRue</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 Secretary and Treasurer</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9092/000143774916043636/ex3-1.htm" TargetMode="External"/><Relationship Id="rId3" Type="http://schemas.openxmlformats.org/officeDocument/2006/relationships/hyperlink" Target="http://www.sec.gov/Archives/edgar/data/39092/000143774916043636/ex3-1.htm" TargetMode="External"/><Relationship Id="rId4" Type="http://schemas.openxmlformats.org/officeDocument/2006/relationships/hyperlink" Target="http://www.sec.gov/Archives/edgar/data/39092/000143774921027176/ex_309205.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10978</Words>
  <Characters>61558</Characters>
  <CharactersWithSpaces>73970</CharactersWithSpaces>
  <Paragraphs>3774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