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109220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7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175895</wp:posOffset>
            </wp:positionV>
            <wp:extent cx="178308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4"/>
          <w:szCs w:val="24"/>
          <w:color w:val="auto"/>
        </w:rPr>
      </w:pPr>
    </w:p>
    <w:p>
      <w:pPr>
        <w:spacing w:after="0" w:line="300"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58420</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337" w:lineRule="exact"/>
        <w:rPr>
          <w:sz w:val="24"/>
          <w:szCs w:val="24"/>
          <w:color w:val="auto"/>
        </w:rPr>
      </w:pPr>
    </w:p>
    <w:p>
      <w:pPr>
        <w:ind w:left="3160" w:right="1660" w:hanging="3152"/>
        <w:spacing w:after="0" w:line="500" w:lineRule="auto"/>
        <w:tabs>
          <w:tab w:leader="none" w:pos="449"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September 30, 2023</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225" w:lineRule="exact"/>
        <w:rPr>
          <w:sz w:val="24"/>
          <w:szCs w:val="24"/>
          <w:color w:val="auto"/>
        </w:rPr>
      </w:pPr>
    </w:p>
    <w:p>
      <w:pPr>
        <w:ind w:left="440" w:hanging="432"/>
        <w:spacing w:after="0"/>
        <w:tabs>
          <w:tab w:leader="none" w:pos="44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212" w:lineRule="exact"/>
        <w:rPr>
          <w:sz w:val="24"/>
          <w:szCs w:val="24"/>
          <w:color w:val="auto"/>
        </w:rPr>
      </w:pPr>
    </w:p>
    <w:tbl>
      <w:tblPr>
        <w:tblLayout w:type="fixed"/>
        <w:tblInd w:w="2780" w:type="dxa"/>
        <w:tblCellMar>
          <w:top w:w="0" w:type="dxa"/>
          <w:left w:w="0" w:type="dxa"/>
          <w:bottom w:w="0" w:type="dxa"/>
          <w:right w:w="0" w:type="dxa"/>
        </w:tblCellMar>
      </w:tblPr>
      <w:tr>
        <w:trPr>
          <w:trHeight w:val="207"/>
        </w:trPr>
        <w:tc>
          <w:tcPr>
            <w:tcW w:w="3540" w:type="dxa"/>
            <w:vAlign w:val="bottom"/>
          </w:tcPr>
          <w:p>
            <w:pPr>
              <w:spacing w:after="0"/>
              <w:rPr>
                <w:sz w:val="20"/>
                <w:szCs w:val="20"/>
                <w:color w:val="auto"/>
              </w:rPr>
            </w:pPr>
            <w:r>
              <w:rPr>
                <w:rFonts w:ascii="Arial" w:cs="Arial" w:eastAsia="Arial" w:hAnsi="Arial"/>
                <w:sz w:val="18"/>
                <w:szCs w:val="18"/>
                <w:b w:val="1"/>
                <w:bCs w:val="1"/>
                <w:color w:val="auto"/>
              </w:rPr>
              <w:t>FROM THE TRANSITION PERIOD FROM</w:t>
            </w:r>
          </w:p>
        </w:tc>
        <w:tc>
          <w:tcPr>
            <w:tcW w:w="900" w:type="dxa"/>
            <w:vAlign w:val="bottom"/>
            <w:tcBorders>
              <w:bottom w:val="single" w:sz="8" w:color="auto"/>
            </w:tcBorders>
          </w:tcPr>
          <w:p>
            <w:pPr>
              <w:spacing w:after="0"/>
              <w:rPr>
                <w:sz w:val="17"/>
                <w:szCs w:val="17"/>
                <w:color w:val="auto"/>
              </w:rPr>
            </w:pPr>
          </w:p>
        </w:tc>
        <w:tc>
          <w:tcPr>
            <w:tcW w:w="300" w:type="dxa"/>
            <w:vAlign w:val="bottom"/>
          </w:tcPr>
          <w:p>
            <w:pPr>
              <w:ind w:left="40"/>
              <w:spacing w:after="0"/>
              <w:rPr>
                <w:sz w:val="20"/>
                <w:szCs w:val="20"/>
                <w:color w:val="auto"/>
              </w:rPr>
            </w:pPr>
            <w:r>
              <w:rPr>
                <w:rFonts w:ascii="Arial" w:cs="Arial" w:eastAsia="Arial" w:hAnsi="Arial"/>
                <w:sz w:val="18"/>
                <w:szCs w:val="18"/>
                <w:b w:val="1"/>
                <w:bCs w:val="1"/>
                <w:color w:val="auto"/>
                <w:w w:val="95"/>
              </w:rPr>
              <w:t>TO</w:t>
            </w:r>
          </w:p>
        </w:tc>
      </w:tr>
      <w:tr>
        <w:trPr>
          <w:trHeight w:val="453"/>
        </w:trPr>
        <w:tc>
          <w:tcPr>
            <w:tcW w:w="4440" w:type="dxa"/>
            <w:vAlign w:val="bottom"/>
            <w:gridSpan w:val="2"/>
          </w:tcPr>
          <w:p>
            <w:pPr>
              <w:ind w:left="1300"/>
              <w:spacing w:after="0"/>
              <w:rPr>
                <w:sz w:val="20"/>
                <w:szCs w:val="20"/>
                <w:color w:val="auto"/>
              </w:rPr>
            </w:pPr>
            <w:r>
              <w:rPr>
                <w:rFonts w:ascii="Arial" w:cs="Arial" w:eastAsia="Arial" w:hAnsi="Arial"/>
                <w:sz w:val="18"/>
                <w:szCs w:val="18"/>
                <w:b w:val="1"/>
                <w:bCs w:val="1"/>
                <w:color w:val="auto"/>
              </w:rPr>
              <w:t>COMMISSION FILE NUMBER 1-7521</w:t>
            </w:r>
          </w:p>
        </w:tc>
        <w:tc>
          <w:tcPr>
            <w:tcW w:w="30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171450</wp:posOffset>
            </wp:positionV>
            <wp:extent cx="17830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255"/>
                    </a:xfrm>
                    <a:prstGeom prst="rect">
                      <a:avLst/>
                    </a:prstGeom>
                    <a:noFill/>
                  </pic:spPr>
                </pic:pic>
              </a:graphicData>
            </a:graphic>
          </wp:anchor>
        </w:drawing>
        <w:drawing>
          <wp:anchor simplePos="0" relativeHeight="251657728" behindDoc="1" locked="0" layoutInCell="0" allowOverlap="1">
            <wp:simplePos x="0" y="0"/>
            <wp:positionH relativeFrom="column">
              <wp:posOffset>4806315</wp:posOffset>
            </wp:positionH>
            <wp:positionV relativeFrom="paragraph">
              <wp:posOffset>-299720</wp:posOffset>
            </wp:positionV>
            <wp:extent cx="57150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500" cy="8255"/>
                    </a:xfrm>
                    <a:prstGeom prst="rect">
                      <a:avLst/>
                    </a:prstGeom>
                    <a:noFill/>
                  </pic:spPr>
                </pic:pic>
              </a:graphicData>
            </a:graphic>
          </wp:anchor>
        </w:drawing>
      </w:r>
    </w:p>
    <w:p>
      <w:pPr>
        <w:spacing w:after="0" w:line="274"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FRIEDMAN INDUSTRIES, INCORPORATED</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38735</wp:posOffset>
            </wp:positionV>
            <wp:extent cx="178308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307" w:lineRule="exact"/>
        <w:rPr>
          <w:sz w:val="24"/>
          <w:szCs w:val="24"/>
          <w:color w:val="auto"/>
        </w:rPr>
      </w:pPr>
    </w:p>
    <w:tbl>
      <w:tblPr>
        <w:tblLayout w:type="fixed"/>
        <w:tblInd w:w="1640" w:type="dxa"/>
        <w:tblCellMar>
          <w:top w:w="0" w:type="dxa"/>
          <w:left w:w="0" w:type="dxa"/>
          <w:bottom w:w="0" w:type="dxa"/>
          <w:right w:w="0" w:type="dxa"/>
        </w:tblCellMar>
      </w:tblPr>
      <w:tr>
        <w:trPr>
          <w:trHeight w:val="216"/>
        </w:trPr>
        <w:tc>
          <w:tcPr>
            <w:tcW w:w="4120" w:type="dxa"/>
            <w:vAlign w:val="bottom"/>
          </w:tcPr>
          <w:p>
            <w:pPr>
              <w:jc w:val="center"/>
              <w:ind w:right="1670"/>
              <w:spacing w:after="0"/>
              <w:rPr>
                <w:sz w:val="20"/>
                <w:szCs w:val="20"/>
                <w:color w:val="auto"/>
              </w:rPr>
            </w:pPr>
            <w:r>
              <w:rPr>
                <w:rFonts w:ascii="Arial" w:cs="Arial" w:eastAsia="Arial" w:hAnsi="Arial"/>
                <w:sz w:val="18"/>
                <w:szCs w:val="18"/>
                <w:b w:val="1"/>
                <w:bCs w:val="1"/>
                <w:color w:val="auto"/>
                <w:w w:val="86"/>
              </w:rPr>
              <w:t>Texas</w:t>
            </w:r>
          </w:p>
        </w:tc>
        <w:tc>
          <w:tcPr>
            <w:tcW w:w="3560" w:type="dxa"/>
            <w:vAlign w:val="bottom"/>
          </w:tcPr>
          <w:p>
            <w:pPr>
              <w:jc w:val="center"/>
              <w:ind w:left="1690"/>
              <w:spacing w:after="0"/>
              <w:rPr>
                <w:sz w:val="20"/>
                <w:szCs w:val="20"/>
                <w:color w:val="auto"/>
              </w:rPr>
            </w:pPr>
            <w:r>
              <w:rPr>
                <w:rFonts w:ascii="Arial" w:cs="Arial" w:eastAsia="Arial" w:hAnsi="Arial"/>
                <w:sz w:val="18"/>
                <w:szCs w:val="18"/>
                <w:b w:val="1"/>
                <w:bCs w:val="1"/>
                <w:color w:val="auto"/>
                <w:w w:val="89"/>
              </w:rPr>
              <w:t>74-1504405</w:t>
            </w:r>
          </w:p>
        </w:tc>
      </w:tr>
      <w:tr>
        <w:trPr>
          <w:trHeight w:val="216"/>
        </w:trPr>
        <w:tc>
          <w:tcPr>
            <w:tcW w:w="4120" w:type="dxa"/>
            <w:vAlign w:val="bottom"/>
          </w:tcPr>
          <w:p>
            <w:pPr>
              <w:jc w:val="center"/>
              <w:ind w:right="1670"/>
              <w:spacing w:after="0"/>
              <w:rPr>
                <w:sz w:val="20"/>
                <w:szCs w:val="20"/>
                <w:color w:val="auto"/>
              </w:rPr>
            </w:pPr>
            <w:r>
              <w:rPr>
                <w:rFonts w:ascii="Arial" w:cs="Arial" w:eastAsia="Arial" w:hAnsi="Arial"/>
                <w:sz w:val="18"/>
                <w:szCs w:val="18"/>
                <w:b w:val="1"/>
                <w:bCs w:val="1"/>
                <w:color w:val="auto"/>
                <w:w w:val="90"/>
              </w:rPr>
              <w:t>(State or other jurisdiction of</w:t>
            </w:r>
          </w:p>
        </w:tc>
        <w:tc>
          <w:tcPr>
            <w:tcW w:w="3560" w:type="dxa"/>
            <w:vAlign w:val="bottom"/>
          </w:tcPr>
          <w:p>
            <w:pPr>
              <w:jc w:val="center"/>
              <w:ind w:left="1690"/>
              <w:spacing w:after="0"/>
              <w:rPr>
                <w:sz w:val="20"/>
                <w:szCs w:val="20"/>
                <w:color w:val="auto"/>
              </w:rPr>
            </w:pPr>
            <w:r>
              <w:rPr>
                <w:rFonts w:ascii="Arial" w:cs="Arial" w:eastAsia="Arial" w:hAnsi="Arial"/>
                <w:sz w:val="18"/>
                <w:szCs w:val="18"/>
                <w:b w:val="1"/>
                <w:bCs w:val="1"/>
                <w:color w:val="auto"/>
                <w:w w:val="94"/>
              </w:rPr>
              <w:t>(I.R.S. Employer</w:t>
            </w:r>
          </w:p>
        </w:tc>
      </w:tr>
      <w:tr>
        <w:trPr>
          <w:trHeight w:val="234"/>
        </w:trPr>
        <w:tc>
          <w:tcPr>
            <w:tcW w:w="4120" w:type="dxa"/>
            <w:vAlign w:val="bottom"/>
          </w:tcPr>
          <w:p>
            <w:pPr>
              <w:jc w:val="center"/>
              <w:ind w:right="1670"/>
              <w:spacing w:after="0"/>
              <w:rPr>
                <w:sz w:val="20"/>
                <w:szCs w:val="20"/>
                <w:color w:val="auto"/>
              </w:rPr>
            </w:pPr>
            <w:r>
              <w:rPr>
                <w:rFonts w:ascii="Arial" w:cs="Arial" w:eastAsia="Arial" w:hAnsi="Arial"/>
                <w:sz w:val="18"/>
                <w:szCs w:val="18"/>
                <w:b w:val="1"/>
                <w:bCs w:val="1"/>
                <w:color w:val="auto"/>
                <w:w w:val="91"/>
              </w:rPr>
              <w:t>incorporation or organization)</w:t>
            </w:r>
          </w:p>
        </w:tc>
        <w:tc>
          <w:tcPr>
            <w:tcW w:w="3560" w:type="dxa"/>
            <w:vAlign w:val="bottom"/>
          </w:tcPr>
          <w:p>
            <w:pPr>
              <w:jc w:val="center"/>
              <w:ind w:left="1690"/>
              <w:spacing w:after="0"/>
              <w:rPr>
                <w:sz w:val="20"/>
                <w:szCs w:val="20"/>
                <w:color w:val="auto"/>
              </w:rPr>
            </w:pPr>
            <w:r>
              <w:rPr>
                <w:rFonts w:ascii="Arial" w:cs="Arial" w:eastAsia="Arial" w:hAnsi="Arial"/>
                <w:sz w:val="18"/>
                <w:szCs w:val="18"/>
                <w:b w:val="1"/>
                <w:bCs w:val="1"/>
                <w:color w:val="auto"/>
                <w:w w:val="93"/>
              </w:rPr>
              <w:t>Identification Number)</w:t>
            </w:r>
          </w:p>
        </w:tc>
      </w:tr>
    </w:tbl>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1121 Judson Road, Suite 124, Longview, Texas 75601</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(Address of principal executive offices) (Zip Code)</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(903)758-3431</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Former name, former address and former fiscal year, if changed since last report</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380" w:type="dxa"/>
            <w:vAlign w:val="bottom"/>
          </w:tcPr>
          <w:p>
            <w:pPr>
              <w:spacing w:after="0"/>
              <w:rPr>
                <w:sz w:val="20"/>
                <w:szCs w:val="20"/>
                <w:color w:val="auto"/>
              </w:rPr>
            </w:pPr>
          </w:p>
        </w:tc>
        <w:tc>
          <w:tcPr>
            <w:tcW w:w="4500" w:type="dxa"/>
            <w:vAlign w:val="bottom"/>
            <w:gridSpan w:val="3"/>
          </w:tcPr>
          <w:p>
            <w:pPr>
              <w:jc w:val="center"/>
              <w:ind w:right="20"/>
              <w:spacing w:after="0"/>
              <w:rPr>
                <w:sz w:val="20"/>
                <w:szCs w:val="20"/>
                <w:color w:val="auto"/>
              </w:rPr>
            </w:pPr>
            <w:r>
              <w:rPr>
                <w:rFonts w:ascii="Arial" w:cs="Arial" w:eastAsia="Arial" w:hAnsi="Arial"/>
                <w:sz w:val="18"/>
                <w:szCs w:val="18"/>
                <w:b w:val="1"/>
                <w:bCs w:val="1"/>
                <w:color w:val="auto"/>
                <w:w w:val="89"/>
              </w:rPr>
              <w:t>Securities registered pursuant to Section 12(b) of the Act:</w:t>
            </w:r>
          </w:p>
        </w:tc>
        <w:tc>
          <w:tcPr>
            <w:tcW w:w="3360" w:type="dxa"/>
            <w:vAlign w:val="bottom"/>
          </w:tcPr>
          <w:p>
            <w:pPr>
              <w:spacing w:after="0"/>
              <w:rPr>
                <w:sz w:val="20"/>
                <w:szCs w:val="20"/>
                <w:color w:val="auto"/>
              </w:rPr>
            </w:pPr>
          </w:p>
        </w:tc>
      </w:tr>
      <w:tr>
        <w:trPr>
          <w:trHeight w:val="414"/>
        </w:trPr>
        <w:tc>
          <w:tcPr>
            <w:tcW w:w="33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36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w:t>
            </w:r>
          </w:p>
        </w:tc>
      </w:tr>
      <w:tr>
        <w:trPr>
          <w:trHeight w:val="234"/>
        </w:trPr>
        <w:tc>
          <w:tcPr>
            <w:tcW w:w="3380" w:type="dxa"/>
            <w:vAlign w:val="bottom"/>
          </w:tcPr>
          <w:p>
            <w:pPr>
              <w:jc w:val="center"/>
              <w:spacing w:after="0"/>
              <w:rPr>
                <w:sz w:val="20"/>
                <w:szCs w:val="20"/>
                <w:color w:val="auto"/>
              </w:rPr>
            </w:pPr>
            <w:r>
              <w:rPr>
                <w:rFonts w:ascii="Arial" w:cs="Arial" w:eastAsia="Arial" w:hAnsi="Arial"/>
                <w:sz w:val="18"/>
                <w:szCs w:val="18"/>
                <w:b w:val="1"/>
                <w:bCs w:val="1"/>
                <w:color w:val="auto"/>
                <w:w w:val="87"/>
              </w:rPr>
              <w:t>Title of each class</w:t>
            </w:r>
          </w:p>
        </w:tc>
        <w:tc>
          <w:tcPr>
            <w:tcW w:w="560" w:type="dxa"/>
            <w:vAlign w:val="bottom"/>
          </w:tcPr>
          <w:p>
            <w:pPr>
              <w:spacing w:after="0"/>
              <w:rPr>
                <w:sz w:val="20"/>
                <w:szCs w:val="20"/>
                <w:color w:val="auto"/>
              </w:rPr>
            </w:pPr>
          </w:p>
        </w:tc>
        <w:tc>
          <w:tcPr>
            <w:tcW w:w="3940" w:type="dxa"/>
            <w:vAlign w:val="bottom"/>
            <w:gridSpan w:val="2"/>
          </w:tcPr>
          <w:p>
            <w:pPr>
              <w:jc w:val="center"/>
              <w:ind w:right="540"/>
              <w:spacing w:after="0"/>
              <w:rPr>
                <w:sz w:val="20"/>
                <w:szCs w:val="20"/>
                <w:color w:val="auto"/>
              </w:rPr>
            </w:pPr>
            <w:r>
              <w:rPr>
                <w:rFonts w:ascii="Arial" w:cs="Arial" w:eastAsia="Arial" w:hAnsi="Arial"/>
                <w:sz w:val="18"/>
                <w:szCs w:val="18"/>
                <w:b w:val="1"/>
                <w:bCs w:val="1"/>
                <w:color w:val="auto"/>
                <w:w w:val="91"/>
              </w:rPr>
              <w:t>Trading Symbol</w:t>
            </w:r>
          </w:p>
        </w:tc>
        <w:tc>
          <w:tcPr>
            <w:tcW w:w="3360" w:type="dxa"/>
            <w:vAlign w:val="bottom"/>
          </w:tcPr>
          <w:p>
            <w:pPr>
              <w:jc w:val="center"/>
              <w:spacing w:after="0"/>
              <w:rPr>
                <w:sz w:val="20"/>
                <w:szCs w:val="20"/>
                <w:color w:val="auto"/>
              </w:rPr>
            </w:pPr>
            <w:r>
              <w:rPr>
                <w:rFonts w:ascii="Arial" w:cs="Arial" w:eastAsia="Arial" w:hAnsi="Arial"/>
                <w:sz w:val="18"/>
                <w:szCs w:val="18"/>
                <w:b w:val="1"/>
                <w:bCs w:val="1"/>
                <w:color w:val="auto"/>
                <w:w w:val="89"/>
              </w:rPr>
              <w:t>on which registered</w:t>
            </w:r>
          </w:p>
        </w:tc>
      </w:tr>
      <w:tr>
        <w:trPr>
          <w:trHeight w:val="224"/>
        </w:trPr>
        <w:tc>
          <w:tcPr>
            <w:tcW w:w="33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Common Stock, $1 Par Value</w:t>
            </w:r>
          </w:p>
        </w:tc>
        <w:tc>
          <w:tcPr>
            <w:tcW w:w="560" w:type="dxa"/>
            <w:vAlign w:val="bottom"/>
          </w:tcPr>
          <w:p>
            <w:pPr>
              <w:spacing w:after="0"/>
              <w:rPr>
                <w:sz w:val="19"/>
                <w:szCs w:val="19"/>
                <w:color w:val="auto"/>
              </w:rPr>
            </w:pPr>
          </w:p>
        </w:tc>
        <w:tc>
          <w:tcPr>
            <w:tcW w:w="33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7"/>
              </w:rPr>
              <w:t>FRD</w:t>
            </w:r>
          </w:p>
        </w:tc>
        <w:tc>
          <w:tcPr>
            <w:tcW w:w="560" w:type="dxa"/>
            <w:vAlign w:val="bottom"/>
          </w:tcPr>
          <w:p>
            <w:pPr>
              <w:spacing w:after="0"/>
              <w:rPr>
                <w:sz w:val="19"/>
                <w:szCs w:val="19"/>
                <w:color w:val="auto"/>
              </w:rPr>
            </w:pPr>
          </w:p>
        </w:tc>
        <w:tc>
          <w:tcPr>
            <w:tcW w:w="33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5"/>
              </w:rPr>
              <w:t>NYSE American</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162560</wp:posOffset>
            </wp:positionV>
            <wp:extent cx="17830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05" w:lineRule="exact"/>
        <w:rPr>
          <w:sz w:val="24"/>
          <w:szCs w:val="24"/>
          <w:color w:val="auto"/>
        </w:rPr>
      </w:pPr>
    </w:p>
    <w:p>
      <w:pPr>
        <w:ind w:left="440"/>
        <w:spacing w:after="0"/>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w:t>
      </w:r>
    </w:p>
    <w:p>
      <w:pPr>
        <w:spacing w:after="0" w:line="46" w:lineRule="exact"/>
        <w:rPr>
          <w:sz w:val="24"/>
          <w:szCs w:val="24"/>
          <w:color w:val="auto"/>
        </w:rPr>
      </w:pPr>
    </w:p>
    <w:p>
      <w:pPr>
        <w:jc w:val="both"/>
        <w:spacing w:after="0" w:line="230" w:lineRule="exact"/>
        <w:rPr>
          <w:sz w:val="20"/>
          <w:szCs w:val="20"/>
          <w:color w:val="auto"/>
        </w:rPr>
      </w:pPr>
      <w:r>
        <w:rPr>
          <w:rFonts w:ascii="Arial" w:cs="Arial" w:eastAsia="Arial" w:hAnsi="Arial"/>
          <w:sz w:val="18"/>
          <w:szCs w:val="18"/>
          <w:color w:val="auto"/>
        </w:rPr>
        <w:t xml:space="preserve">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75" w:lineRule="exact"/>
        <w:rPr>
          <w:sz w:val="24"/>
          <w:szCs w:val="24"/>
          <w:color w:val="auto"/>
        </w:rPr>
      </w:pPr>
    </w:p>
    <w:p>
      <w:pPr>
        <w:jc w:val="both"/>
        <w:ind w:firstLine="441"/>
        <w:spacing w:after="0" w:line="230"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76" w:lineRule="exact"/>
        <w:rPr>
          <w:sz w:val="24"/>
          <w:szCs w:val="24"/>
          <w:color w:val="auto"/>
        </w:rPr>
      </w:pPr>
    </w:p>
    <w:p>
      <w:pPr>
        <w:jc w:val="both"/>
        <w:ind w:firstLine="441"/>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39" w:lineRule="exact"/>
        <w:rPr>
          <w:sz w:val="24"/>
          <w:szCs w:val="24"/>
          <w:color w:val="auto"/>
        </w:rPr>
      </w:pPr>
    </w:p>
    <w:tbl>
      <w:tblPr>
        <w:tblLayout w:type="fixed"/>
        <w:tblInd w:w="0" w:type="dxa"/>
        <w:tblCellMar>
          <w:top w:w="0" w:type="dxa"/>
          <w:left w:w="0" w:type="dxa"/>
          <w:bottom w:w="0" w:type="dxa"/>
          <w:right w:w="0" w:type="dxa"/>
        </w:tblCellMar>
      </w:tblPr>
      <w:tr>
        <w:trPr>
          <w:trHeight w:val="303"/>
        </w:trPr>
        <w:tc>
          <w:tcPr>
            <w:tcW w:w="184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32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40" w:type="dxa"/>
            <w:vAlign w:val="bottom"/>
          </w:tcPr>
          <w:p>
            <w:pPr>
              <w:ind w:left="2960"/>
              <w:spacing w:after="0"/>
              <w:rPr>
                <w:sz w:val="20"/>
                <w:szCs w:val="20"/>
                <w:color w:val="auto"/>
              </w:rPr>
            </w:pPr>
            <w:r>
              <w:rPr>
                <w:rFonts w:ascii="Arial" w:cs="Arial" w:eastAsia="Arial" w:hAnsi="Arial"/>
                <w:sz w:val="18"/>
                <w:szCs w:val="18"/>
                <w:color w:val="auto"/>
              </w:rPr>
              <w:t>Accelerated filer</w:t>
            </w:r>
          </w:p>
        </w:tc>
        <w:tc>
          <w:tcPr>
            <w:tcW w:w="560" w:type="dxa"/>
            <w:vAlign w:val="bottom"/>
          </w:tcPr>
          <w:p>
            <w:pPr>
              <w:ind w:left="4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432"/>
        </w:trPr>
        <w:tc>
          <w:tcPr>
            <w:tcW w:w="1840" w:type="dxa"/>
            <w:vAlign w:val="bottom"/>
          </w:tcPr>
          <w:p>
            <w:pPr>
              <w:spacing w:after="0"/>
              <w:rPr>
                <w:sz w:val="20"/>
                <w:szCs w:val="20"/>
                <w:color w:val="auto"/>
              </w:rPr>
            </w:pPr>
            <w:r>
              <w:rPr>
                <w:rFonts w:ascii="Arial" w:cs="Arial" w:eastAsia="Arial" w:hAnsi="Arial"/>
                <w:sz w:val="18"/>
                <w:szCs w:val="18"/>
                <w:color w:val="auto"/>
              </w:rPr>
              <w:t>Non-accelerated filer</w:t>
            </w:r>
          </w:p>
        </w:tc>
        <w:tc>
          <w:tcPr>
            <w:tcW w:w="332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40" w:type="dxa"/>
            <w:vAlign w:val="bottom"/>
          </w:tcPr>
          <w:p>
            <w:pPr>
              <w:ind w:left="2960"/>
              <w:spacing w:after="0"/>
              <w:rPr>
                <w:sz w:val="20"/>
                <w:szCs w:val="20"/>
                <w:color w:val="auto"/>
              </w:rPr>
            </w:pPr>
            <w:r>
              <w:rPr>
                <w:rFonts w:ascii="Arial" w:cs="Arial" w:eastAsia="Arial" w:hAnsi="Arial"/>
                <w:sz w:val="18"/>
                <w:szCs w:val="18"/>
                <w:color w:val="auto"/>
              </w:rPr>
              <w:t>Smaller reporting company</w:t>
            </w:r>
          </w:p>
        </w:tc>
        <w:tc>
          <w:tcPr>
            <w:tcW w:w="560" w:type="dxa"/>
            <w:vAlign w:val="bottom"/>
          </w:tcPr>
          <w:p>
            <w:pPr>
              <w:ind w:left="4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432"/>
        </w:trPr>
        <w:tc>
          <w:tcPr>
            <w:tcW w:w="184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5340" w:type="dxa"/>
            <w:vAlign w:val="bottom"/>
          </w:tcPr>
          <w:p>
            <w:pPr>
              <w:ind w:left="2960"/>
              <w:spacing w:after="0"/>
              <w:rPr>
                <w:sz w:val="20"/>
                <w:szCs w:val="20"/>
                <w:color w:val="auto"/>
              </w:rPr>
            </w:pPr>
            <w:r>
              <w:rPr>
                <w:rFonts w:ascii="Arial" w:cs="Arial" w:eastAsia="Arial" w:hAnsi="Arial"/>
                <w:sz w:val="18"/>
                <w:szCs w:val="18"/>
                <w:color w:val="auto"/>
              </w:rPr>
              <w:t>Emerging growth company</w:t>
            </w:r>
          </w:p>
        </w:tc>
        <w:tc>
          <w:tcPr>
            <w:tcW w:w="560" w:type="dxa"/>
            <w:vAlign w:val="bottom"/>
          </w:tcPr>
          <w:p>
            <w:pPr>
              <w:ind w:left="40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74" w:lineRule="exact"/>
        <w:rPr>
          <w:sz w:val="24"/>
          <w:szCs w:val="24"/>
          <w:color w:val="auto"/>
        </w:rPr>
      </w:pPr>
    </w:p>
    <w:p>
      <w:pPr>
        <w:ind w:firstLine="441"/>
        <w:spacing w:after="0" w:line="23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29" w:lineRule="exact"/>
        <w:rPr>
          <w:sz w:val="24"/>
          <w:szCs w:val="24"/>
          <w:color w:val="auto"/>
        </w:rPr>
      </w:pPr>
    </w:p>
    <w:p>
      <w:pPr>
        <w:ind w:left="440"/>
        <w:spacing w:after="0" w:line="207" w:lineRule="exact"/>
        <w:tabs>
          <w:tab w:leader="none" w:pos="9760" w:val="left"/>
          <w:tab w:leader="none" w:pos="10460" w:val="left"/>
        </w:tabs>
        <w:rPr>
          <w:sz w:val="20"/>
          <w:szCs w:val="20"/>
          <w:color w:val="auto"/>
        </w:rPr>
      </w:pPr>
      <w:r>
        <w:rPr>
          <w:rFonts w:ascii="Arial" w:cs="Arial" w:eastAsia="Arial" w:hAnsi="Arial"/>
          <w:sz w:val="17"/>
          <w:szCs w:val="17"/>
          <w:color w:val="auto"/>
        </w:rPr>
        <w:t>Indicate by check mark whether the registrant is a shell company (as defined in Rule 12b-2 of the Exchange Act). (Check one):</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ab/>
        <w:t xml:space="preserve">No  </w:t>
      </w:r>
      <w:r>
        <w:rPr>
          <w:rFonts w:ascii="MS PGothic" w:cs="MS PGothic" w:eastAsia="MS PGothic" w:hAnsi="MS PGothic"/>
          <w:sz w:val="18"/>
          <w:szCs w:val="18"/>
          <w:color w:val="auto"/>
        </w:rPr>
        <w:t>☒</w:t>
      </w:r>
    </w:p>
    <w:p>
      <w:pPr>
        <w:spacing w:after="0" w:line="270" w:lineRule="exact"/>
        <w:rPr>
          <w:sz w:val="24"/>
          <w:szCs w:val="24"/>
          <w:color w:val="auto"/>
        </w:rPr>
      </w:pPr>
    </w:p>
    <w:p>
      <w:pPr>
        <w:ind w:left="440"/>
        <w:spacing w:after="0"/>
        <w:rPr>
          <w:sz w:val="20"/>
          <w:szCs w:val="20"/>
          <w:color w:val="auto"/>
        </w:rPr>
      </w:pPr>
      <w:r>
        <w:rPr>
          <w:rFonts w:ascii="Arial" w:cs="Arial" w:eastAsia="Arial" w:hAnsi="Arial"/>
          <w:sz w:val="18"/>
          <w:szCs w:val="18"/>
          <w:color w:val="auto"/>
        </w:rPr>
        <w:t>At November 14, 2023, the number of shares outstanding of the issuer’s only class of stock was 7,375,282 shares of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186055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229235</wp:posOffset>
            </wp:positionV>
            <wp:extent cx="7132320"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476" w:right="339" w:bottom="200"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9260" w:type="dxa"/>
            <w:vAlign w:val="bottom"/>
            <w:gridSpan w:val="14"/>
          </w:tcPr>
          <w:p>
            <w:pPr>
              <w:spacing w:after="0"/>
              <w:rPr>
                <w:sz w:val="20"/>
                <w:szCs w:val="20"/>
                <w:color w:val="auto"/>
              </w:rPr>
            </w:pPr>
            <w:r>
              <w:rPr>
                <w:rFonts w:ascii="Arial" w:cs="Arial" w:eastAsia="Arial" w:hAnsi="Arial"/>
                <w:sz w:val="18"/>
                <w:szCs w:val="18"/>
                <w:color w:val="0000EE"/>
              </w:rPr>
              <w:t>Table of Contents</w:t>
            </w:r>
          </w:p>
        </w:tc>
        <w:tc>
          <w:tcPr>
            <w:tcW w:w="1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98"/>
        </w:trPr>
        <w:tc>
          <w:tcPr>
            <w:tcW w:w="440" w:type="dxa"/>
            <w:vAlign w:val="bottom"/>
            <w:tcBorders>
              <w:top w:val="single" w:sz="8" w:color="0000EE"/>
            </w:tcBorders>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340" w:type="dxa"/>
            <w:vAlign w:val="bottom"/>
            <w:gridSpan w:val="5"/>
          </w:tcPr>
          <w:p>
            <w:pPr>
              <w:jc w:val="center"/>
              <w:ind w:right="940"/>
              <w:spacing w:after="0"/>
              <w:rPr>
                <w:sz w:val="20"/>
                <w:szCs w:val="20"/>
                <w:color w:val="auto"/>
              </w:rPr>
            </w:pPr>
            <w:r>
              <w:rPr>
                <w:rFonts w:ascii="Arial" w:cs="Arial" w:eastAsia="Arial" w:hAnsi="Arial"/>
                <w:sz w:val="18"/>
                <w:szCs w:val="18"/>
                <w:b w:val="1"/>
                <w:bCs w:val="1"/>
                <w:color w:val="auto"/>
                <w:w w:val="98"/>
              </w:rPr>
              <w:t>TABLE OF CONTENTS</w:t>
            </w:r>
          </w:p>
        </w:tc>
        <w:tc>
          <w:tcPr>
            <w:tcW w:w="1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4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70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88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9260" w:type="dxa"/>
            <w:vAlign w:val="bottom"/>
            <w:gridSpan w:val="14"/>
          </w:tcPr>
          <w:p>
            <w:pPr>
              <w:spacing w:after="0" w:line="176" w:lineRule="exact"/>
              <w:rPr>
                <w:sz w:val="20"/>
                <w:szCs w:val="20"/>
                <w:color w:val="auto"/>
              </w:rPr>
            </w:pPr>
            <w:r>
              <w:rPr>
                <w:rFonts w:ascii="Arial" w:cs="Arial" w:eastAsia="Arial" w:hAnsi="Arial"/>
                <w:sz w:val="18"/>
                <w:szCs w:val="18"/>
                <w:color w:val="0000EE"/>
              </w:rPr>
              <w:t>Part I — FINANCIAL INFORMATION</w:t>
            </w:r>
          </w:p>
        </w:tc>
        <w:tc>
          <w:tcPr>
            <w:tcW w:w="1980" w:type="dxa"/>
            <w:vAlign w:val="bottom"/>
          </w:tcPr>
          <w:p>
            <w:pPr>
              <w:jc w:val="right"/>
              <w:spacing w:after="0" w:line="176" w:lineRule="exact"/>
              <w:rPr>
                <w:sz w:val="20"/>
                <w:szCs w:val="20"/>
                <w:color w:val="auto"/>
              </w:rPr>
            </w:pPr>
            <w:r>
              <w:rPr>
                <w:rFonts w:ascii="Arial" w:cs="Arial" w:eastAsia="Arial" w:hAnsi="Arial"/>
                <w:sz w:val="18"/>
                <w:szCs w:val="18"/>
                <w:color w:val="auto"/>
              </w:rPr>
              <w:t>3</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44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9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 w:type="dxa"/>
            <w:vAlign w:val="bottom"/>
            <w:tcBorders>
              <w:bottom w:val="single" w:sz="8" w:color="CCEEFF"/>
            </w:tcBorders>
            <w:shd w:val="clear" w:color="auto" w:fill="CCEEFF"/>
          </w:tcPr>
          <w:p>
            <w:pPr>
              <w:spacing w:after="0"/>
              <w:rPr>
                <w:sz w:val="17"/>
                <w:szCs w:val="17"/>
                <w:color w:val="auto"/>
              </w:rPr>
            </w:pPr>
          </w:p>
        </w:tc>
        <w:tc>
          <w:tcPr>
            <w:tcW w:w="2060" w:type="dxa"/>
            <w:vAlign w:val="bottom"/>
            <w:tcBorders>
              <w:bottom w:val="single" w:sz="8" w:color="0000EE"/>
            </w:tcBorders>
            <w:gridSpan w:val="5"/>
            <w:shd w:val="clear" w:color="auto" w:fill="CCEEFF"/>
          </w:tcPr>
          <w:p>
            <w:pPr>
              <w:spacing w:after="0" w:line="176" w:lineRule="exact"/>
              <w:rPr>
                <w:sz w:val="20"/>
                <w:szCs w:val="20"/>
                <w:color w:val="auto"/>
              </w:rPr>
            </w:pPr>
            <w:r>
              <w:rPr>
                <w:rFonts w:ascii="Arial" w:cs="Arial" w:eastAsia="Arial" w:hAnsi="Arial"/>
                <w:sz w:val="18"/>
                <w:szCs w:val="18"/>
                <w:color w:val="0000EE"/>
                <w:w w:val="89"/>
              </w:rPr>
              <w:t>Item 1. Financial Statements</w:t>
            </w:r>
          </w:p>
        </w:tc>
        <w:tc>
          <w:tcPr>
            <w:tcW w:w="6760" w:type="dxa"/>
            <w:vAlign w:val="bottom"/>
            <w:tcBorders>
              <w:bottom w:val="single" w:sz="8" w:color="CCEEFF"/>
            </w:tcBorders>
            <w:gridSpan w:val="8"/>
            <w:shd w:val="clear" w:color="auto" w:fill="CCEEFF"/>
          </w:tcPr>
          <w:p>
            <w:pPr>
              <w:spacing w:after="0"/>
              <w:rPr>
                <w:sz w:val="17"/>
                <w:szCs w:val="17"/>
                <w:color w:val="auto"/>
              </w:rPr>
            </w:pPr>
          </w:p>
        </w:tc>
        <w:tc>
          <w:tcPr>
            <w:tcW w:w="198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440" w:type="dxa"/>
            <w:vAlign w:val="bottom"/>
          </w:tcPr>
          <w:p>
            <w:pPr>
              <w:spacing w:after="0"/>
              <w:rPr>
                <w:sz w:val="15"/>
                <w:szCs w:val="15"/>
                <w:color w:val="auto"/>
              </w:rPr>
            </w:pPr>
          </w:p>
        </w:tc>
        <w:tc>
          <w:tcPr>
            <w:tcW w:w="540" w:type="dxa"/>
            <w:vAlign w:val="bottom"/>
          </w:tcPr>
          <w:p>
            <w:pPr>
              <w:spacing w:after="0" w:line="176" w:lineRule="exact"/>
              <w:rPr>
                <w:sz w:val="20"/>
                <w:szCs w:val="20"/>
                <w:color w:val="auto"/>
              </w:rPr>
            </w:pPr>
            <w:r>
              <w:rPr>
                <w:rFonts w:ascii="Arial" w:cs="Arial" w:eastAsia="Arial" w:hAnsi="Arial"/>
                <w:sz w:val="18"/>
                <w:szCs w:val="18"/>
                <w:color w:val="0000EE"/>
                <w:w w:val="94"/>
              </w:rPr>
              <w:t>Item 2.</w:t>
            </w:r>
          </w:p>
        </w:tc>
        <w:tc>
          <w:tcPr>
            <w:tcW w:w="8280" w:type="dxa"/>
            <w:vAlign w:val="bottom"/>
            <w:gridSpan w:val="12"/>
          </w:tcPr>
          <w:p>
            <w:pPr>
              <w:ind w:left="20"/>
              <w:spacing w:after="0" w:line="176" w:lineRule="exact"/>
              <w:rPr>
                <w:sz w:val="20"/>
                <w:szCs w:val="20"/>
                <w:color w:val="auto"/>
              </w:rPr>
            </w:pPr>
            <w:r>
              <w:rPr>
                <w:rFonts w:ascii="Arial" w:cs="Arial" w:eastAsia="Arial" w:hAnsi="Arial"/>
                <w:sz w:val="18"/>
                <w:szCs w:val="18"/>
                <w:color w:val="0000EE"/>
              </w:rPr>
              <w:t>Management’s Discussion and Analysis of Financial Condition and Results of Operations</w:t>
            </w:r>
          </w:p>
        </w:tc>
        <w:tc>
          <w:tcPr>
            <w:tcW w:w="1980" w:type="dxa"/>
            <w:vAlign w:val="bottom"/>
          </w:tcPr>
          <w:p>
            <w:pPr>
              <w:jc w:val="right"/>
              <w:spacing w:after="0" w:line="176" w:lineRule="exact"/>
              <w:rPr>
                <w:sz w:val="20"/>
                <w:szCs w:val="20"/>
                <w:color w:val="auto"/>
              </w:rPr>
            </w:pPr>
            <w:r>
              <w:rPr>
                <w:rFonts w:ascii="Arial" w:cs="Arial" w:eastAsia="Arial" w:hAnsi="Arial"/>
                <w:sz w:val="18"/>
                <w:szCs w:val="18"/>
                <w:color w:val="auto"/>
              </w:rPr>
              <w:t>17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440" w:type="dxa"/>
            <w:vAlign w:val="bottom"/>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9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740" w:type="dxa"/>
            <w:vAlign w:val="bottom"/>
            <w:tcBorders>
              <w:top w:val="single" w:sz="8" w:color="0000EE"/>
            </w:tcBorders>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1220" w:type="dxa"/>
            <w:vAlign w:val="bottom"/>
            <w:tcBorders>
              <w:top w:val="single" w:sz="8" w:color="0000EE"/>
            </w:tcBorders>
          </w:tcPr>
          <w:p>
            <w:pPr>
              <w:spacing w:after="0" w:line="20" w:lineRule="exact"/>
              <w:rPr>
                <w:sz w:val="1"/>
                <w:szCs w:val="1"/>
                <w:color w:val="auto"/>
              </w:rPr>
            </w:pPr>
          </w:p>
        </w:tc>
        <w:tc>
          <w:tcPr>
            <w:tcW w:w="880" w:type="dxa"/>
            <w:vAlign w:val="bottom"/>
            <w:tcBorders>
              <w:top w:val="single" w:sz="8" w:color="0000EE"/>
            </w:tcBorders>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0000EE"/>
            </w:tcBorders>
            <w:shd w:val="clear" w:color="auto" w:fill="CCEEFF"/>
          </w:tcPr>
          <w:p>
            <w:pPr>
              <w:spacing w:after="0" w:line="176" w:lineRule="exact"/>
              <w:rPr>
                <w:sz w:val="20"/>
                <w:szCs w:val="20"/>
                <w:color w:val="auto"/>
              </w:rPr>
            </w:pPr>
            <w:r>
              <w:rPr>
                <w:rFonts w:ascii="Arial" w:cs="Arial" w:eastAsia="Arial" w:hAnsi="Arial"/>
                <w:sz w:val="18"/>
                <w:szCs w:val="18"/>
                <w:color w:val="0000EE"/>
                <w:w w:val="94"/>
              </w:rPr>
              <w:t>Item 3.</w:t>
            </w:r>
          </w:p>
        </w:tc>
        <w:tc>
          <w:tcPr>
            <w:tcW w:w="4380" w:type="dxa"/>
            <w:vAlign w:val="bottom"/>
            <w:tcBorders>
              <w:bottom w:val="single" w:sz="8" w:color="0000EE"/>
            </w:tcBorders>
            <w:gridSpan w:val="9"/>
            <w:shd w:val="clear" w:color="auto" w:fill="CCEEFF"/>
          </w:tcPr>
          <w:p>
            <w:pPr>
              <w:ind w:left="20"/>
              <w:spacing w:after="0" w:line="176" w:lineRule="exact"/>
              <w:rPr>
                <w:sz w:val="20"/>
                <w:szCs w:val="20"/>
                <w:color w:val="auto"/>
              </w:rPr>
            </w:pPr>
            <w:r>
              <w:rPr>
                <w:rFonts w:ascii="Arial" w:cs="Arial" w:eastAsia="Arial" w:hAnsi="Arial"/>
                <w:sz w:val="18"/>
                <w:szCs w:val="18"/>
                <w:color w:val="0000EE"/>
                <w:w w:val="92"/>
              </w:rPr>
              <w:t>Quantitative and Qualitative Disclosures About Market Risk</w:t>
            </w:r>
          </w:p>
        </w:tc>
        <w:tc>
          <w:tcPr>
            <w:tcW w:w="3900" w:type="dxa"/>
            <w:vAlign w:val="bottom"/>
            <w:tcBorders>
              <w:bottom w:val="single" w:sz="8" w:color="CCEEFF"/>
            </w:tcBorders>
            <w:gridSpan w:val="3"/>
            <w:shd w:val="clear" w:color="auto" w:fill="CCEEFF"/>
          </w:tcPr>
          <w:p>
            <w:pPr>
              <w:spacing w:after="0"/>
              <w:rPr>
                <w:sz w:val="17"/>
                <w:szCs w:val="17"/>
                <w:color w:val="auto"/>
              </w:rPr>
            </w:pPr>
          </w:p>
        </w:tc>
        <w:tc>
          <w:tcPr>
            <w:tcW w:w="198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21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440" w:type="dxa"/>
            <w:vAlign w:val="bottom"/>
          </w:tcPr>
          <w:p>
            <w:pPr>
              <w:spacing w:after="0"/>
              <w:rPr>
                <w:sz w:val="15"/>
                <w:szCs w:val="15"/>
                <w:color w:val="auto"/>
              </w:rPr>
            </w:pPr>
          </w:p>
        </w:tc>
        <w:tc>
          <w:tcPr>
            <w:tcW w:w="540" w:type="dxa"/>
            <w:vAlign w:val="bottom"/>
          </w:tcPr>
          <w:p>
            <w:pPr>
              <w:spacing w:after="0" w:line="176" w:lineRule="exact"/>
              <w:rPr>
                <w:sz w:val="20"/>
                <w:szCs w:val="20"/>
                <w:color w:val="auto"/>
              </w:rPr>
            </w:pPr>
            <w:r>
              <w:rPr>
                <w:rFonts w:ascii="Arial" w:cs="Arial" w:eastAsia="Arial" w:hAnsi="Arial"/>
                <w:sz w:val="18"/>
                <w:szCs w:val="18"/>
                <w:color w:val="0000EE"/>
                <w:w w:val="94"/>
              </w:rPr>
              <w:t>Item 4.</w:t>
            </w:r>
          </w:p>
        </w:tc>
        <w:tc>
          <w:tcPr>
            <w:tcW w:w="8280" w:type="dxa"/>
            <w:vAlign w:val="bottom"/>
            <w:gridSpan w:val="12"/>
          </w:tcPr>
          <w:p>
            <w:pPr>
              <w:ind w:left="20"/>
              <w:spacing w:after="0" w:line="176" w:lineRule="exact"/>
              <w:rPr>
                <w:sz w:val="20"/>
                <w:szCs w:val="20"/>
                <w:color w:val="auto"/>
              </w:rPr>
            </w:pPr>
            <w:r>
              <w:rPr>
                <w:rFonts w:ascii="Arial" w:cs="Arial" w:eastAsia="Arial" w:hAnsi="Arial"/>
                <w:sz w:val="18"/>
                <w:szCs w:val="18"/>
                <w:color w:val="0000EE"/>
              </w:rPr>
              <w:t>Controls and Procedures</w:t>
            </w:r>
          </w:p>
        </w:tc>
        <w:tc>
          <w:tcPr>
            <w:tcW w:w="1980" w:type="dxa"/>
            <w:vAlign w:val="bottom"/>
          </w:tcPr>
          <w:p>
            <w:pPr>
              <w:jc w:val="right"/>
              <w:spacing w:after="0" w:line="176" w:lineRule="exact"/>
              <w:rPr>
                <w:sz w:val="20"/>
                <w:szCs w:val="20"/>
                <w:color w:val="auto"/>
              </w:rPr>
            </w:pPr>
            <w:r>
              <w:rPr>
                <w:rFonts w:ascii="Arial" w:cs="Arial" w:eastAsia="Arial" w:hAnsi="Arial"/>
                <w:sz w:val="18"/>
                <w:szCs w:val="18"/>
                <w:color w:val="auto"/>
              </w:rPr>
              <w:t>21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9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620" w:type="dxa"/>
            <w:vAlign w:val="bottom"/>
            <w:tcBorders>
              <w:bottom w:val="single" w:sz="8" w:color="0000EE"/>
            </w:tcBorders>
            <w:gridSpan w:val="7"/>
            <w:shd w:val="clear" w:color="auto" w:fill="CCEEFF"/>
          </w:tcPr>
          <w:p>
            <w:pPr>
              <w:spacing w:after="0" w:line="176" w:lineRule="exact"/>
              <w:rPr>
                <w:sz w:val="20"/>
                <w:szCs w:val="20"/>
                <w:color w:val="auto"/>
              </w:rPr>
            </w:pPr>
            <w:r>
              <w:rPr>
                <w:rFonts w:ascii="Arial" w:cs="Arial" w:eastAsia="Arial" w:hAnsi="Arial"/>
                <w:sz w:val="18"/>
                <w:szCs w:val="18"/>
                <w:color w:val="0000EE"/>
                <w:w w:val="96"/>
              </w:rPr>
              <w:t>Part II — OTHER INFORMATION</w:t>
            </w:r>
          </w:p>
        </w:tc>
        <w:tc>
          <w:tcPr>
            <w:tcW w:w="6640" w:type="dxa"/>
            <w:vAlign w:val="bottom"/>
            <w:tcBorders>
              <w:bottom w:val="single" w:sz="8" w:color="CCEEFF"/>
            </w:tcBorders>
            <w:gridSpan w:val="7"/>
            <w:shd w:val="clear" w:color="auto" w:fill="CCEEFF"/>
          </w:tcPr>
          <w:p>
            <w:pPr>
              <w:spacing w:after="0"/>
              <w:rPr>
                <w:sz w:val="17"/>
                <w:szCs w:val="17"/>
                <w:color w:val="auto"/>
              </w:rPr>
            </w:pPr>
          </w:p>
        </w:tc>
        <w:tc>
          <w:tcPr>
            <w:tcW w:w="198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23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440" w:type="dxa"/>
            <w:vAlign w:val="bottom"/>
          </w:tcPr>
          <w:p>
            <w:pPr>
              <w:spacing w:after="0"/>
              <w:rPr>
                <w:sz w:val="15"/>
                <w:szCs w:val="15"/>
                <w:color w:val="auto"/>
              </w:rPr>
            </w:pPr>
          </w:p>
        </w:tc>
        <w:tc>
          <w:tcPr>
            <w:tcW w:w="540" w:type="dxa"/>
            <w:vAlign w:val="bottom"/>
          </w:tcPr>
          <w:p>
            <w:pPr>
              <w:spacing w:after="0" w:line="176" w:lineRule="exact"/>
              <w:rPr>
                <w:sz w:val="20"/>
                <w:szCs w:val="20"/>
                <w:color w:val="auto"/>
              </w:rPr>
            </w:pPr>
            <w:r>
              <w:rPr>
                <w:rFonts w:ascii="Arial" w:cs="Arial" w:eastAsia="Arial" w:hAnsi="Arial"/>
                <w:sz w:val="18"/>
                <w:szCs w:val="18"/>
                <w:color w:val="0000EE"/>
                <w:w w:val="94"/>
              </w:rPr>
              <w:t>Item 6.</w:t>
            </w:r>
          </w:p>
        </w:tc>
        <w:tc>
          <w:tcPr>
            <w:tcW w:w="8280" w:type="dxa"/>
            <w:vAlign w:val="bottom"/>
            <w:gridSpan w:val="12"/>
          </w:tcPr>
          <w:p>
            <w:pPr>
              <w:ind w:left="20"/>
              <w:spacing w:after="0" w:line="176" w:lineRule="exact"/>
              <w:rPr>
                <w:sz w:val="20"/>
                <w:szCs w:val="20"/>
                <w:color w:val="auto"/>
              </w:rPr>
            </w:pPr>
            <w:r>
              <w:rPr>
                <w:rFonts w:ascii="Arial" w:cs="Arial" w:eastAsia="Arial" w:hAnsi="Arial"/>
                <w:sz w:val="18"/>
                <w:szCs w:val="18"/>
                <w:color w:val="0000EE"/>
              </w:rPr>
              <w:t>Exhibits</w:t>
            </w:r>
          </w:p>
        </w:tc>
        <w:tc>
          <w:tcPr>
            <w:tcW w:w="1980" w:type="dxa"/>
            <w:vAlign w:val="bottom"/>
          </w:tcPr>
          <w:p>
            <w:pPr>
              <w:jc w:val="right"/>
              <w:spacing w:after="0" w:line="176" w:lineRule="exact"/>
              <w:rPr>
                <w:sz w:val="20"/>
                <w:szCs w:val="20"/>
                <w:color w:val="auto"/>
              </w:rPr>
            </w:pPr>
            <w:r>
              <w:rPr>
                <w:rFonts w:ascii="Arial" w:cs="Arial" w:eastAsia="Arial" w:hAnsi="Arial"/>
                <w:sz w:val="18"/>
                <w:szCs w:val="18"/>
                <w:color w:val="auto"/>
              </w:rPr>
              <w:t>23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440" w:type="dxa"/>
            <w:vAlign w:val="bottom"/>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60" w:type="dxa"/>
            <w:vAlign w:val="bottom"/>
            <w:gridSpan w:val="14"/>
            <w:shd w:val="clear" w:color="auto" w:fill="CCEEFF"/>
          </w:tcPr>
          <w:p>
            <w:pPr>
              <w:spacing w:after="0" w:line="176" w:lineRule="exact"/>
              <w:rPr>
                <w:sz w:val="20"/>
                <w:szCs w:val="20"/>
                <w:color w:val="auto"/>
              </w:rPr>
            </w:pPr>
            <w:r>
              <w:rPr>
                <w:rFonts w:ascii="Arial" w:cs="Arial" w:eastAsia="Arial" w:hAnsi="Arial"/>
                <w:sz w:val="18"/>
                <w:szCs w:val="18"/>
                <w:color w:val="0000EE"/>
              </w:rPr>
              <w:t>SIGNATURES</w:t>
            </w:r>
          </w:p>
        </w:tc>
        <w:tc>
          <w:tcPr>
            <w:tcW w:w="19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432"/>
        </w:trPr>
        <w:tc>
          <w:tcPr>
            <w:tcW w:w="440" w:type="dxa"/>
            <w:vAlign w:val="bottom"/>
            <w:tcBorders>
              <w:top w:val="single" w:sz="8" w:color="0000EE"/>
            </w:tcBorders>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5480" w:type="dxa"/>
            <w:vAlign w:val="bottom"/>
            <w:tcBorders>
              <w:top w:val="single" w:sz="8" w:color="CCEEFF"/>
            </w:tcBorders>
            <w:gridSpan w:val="9"/>
          </w:tcPr>
          <w:p>
            <w:pPr>
              <w:jc w:val="right"/>
              <w:ind w:right="920"/>
              <w:spacing w:after="0"/>
              <w:rPr>
                <w:sz w:val="20"/>
                <w:szCs w:val="20"/>
                <w:color w:val="auto"/>
              </w:rPr>
            </w:pPr>
            <w:r>
              <w:rPr>
                <w:rFonts w:ascii="Arial" w:cs="Arial" w:eastAsia="Arial" w:hAnsi="Arial"/>
                <w:sz w:val="18"/>
                <w:szCs w:val="18"/>
                <w:color w:val="auto"/>
              </w:rPr>
              <w:t>2</w:t>
            </w:r>
          </w:p>
        </w:tc>
        <w:tc>
          <w:tcPr>
            <w:tcW w:w="880" w:type="dxa"/>
            <w:vAlign w:val="bottom"/>
            <w:tcBorders>
              <w:top w:val="single" w:sz="8" w:color="CCEEFF"/>
            </w:tcBorders>
          </w:tcPr>
          <w:p>
            <w:pPr>
              <w:spacing w:after="0"/>
              <w:rPr>
                <w:sz w:val="24"/>
                <w:szCs w:val="24"/>
                <w:color w:val="auto"/>
              </w:rPr>
            </w:pPr>
          </w:p>
        </w:tc>
        <w:tc>
          <w:tcPr>
            <w:tcW w:w="1800" w:type="dxa"/>
            <w:vAlign w:val="bottom"/>
            <w:tcBorders>
              <w:top w:val="single" w:sz="8" w:color="CCEEFF"/>
            </w:tcBorders>
          </w:tcPr>
          <w:p>
            <w:pPr>
              <w:spacing w:after="0"/>
              <w:rPr>
                <w:sz w:val="24"/>
                <w:szCs w:val="24"/>
                <w:color w:val="auto"/>
              </w:rPr>
            </w:pPr>
          </w:p>
        </w:tc>
        <w:tc>
          <w:tcPr>
            <w:tcW w:w="1980" w:type="dxa"/>
            <w:vAlign w:val="bottom"/>
            <w:tcBorders>
              <w:top w:val="single" w:sz="8" w:color="CCEEFF"/>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4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74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122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1800" w:type="dxa"/>
            <w:vAlign w:val="bottom"/>
            <w:tcBorders>
              <w:bottom w:val="single" w:sz="8" w:color="auto"/>
            </w:tcBorders>
          </w:tcPr>
          <w:p>
            <w:pPr>
              <w:spacing w:after="0"/>
              <w:rPr>
                <w:sz w:val="10"/>
                <w:szCs w:val="10"/>
                <w:color w:val="auto"/>
              </w:rPr>
            </w:pPr>
          </w:p>
        </w:tc>
        <w:tc>
          <w:tcPr>
            <w:tcW w:w="198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08"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FRIEDMAN INDUSTRIES, INCORPORATED</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 — UNAUDITED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for share data)</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0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7"/>
              </w:rPr>
              <w:t>SEPTEMBER 30,</w:t>
            </w: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7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80" w:type="dxa"/>
            <w:vAlign w:val="bottom"/>
          </w:tcPr>
          <w:p>
            <w:pPr>
              <w:jc w:val="right"/>
              <w:ind w:right="510"/>
              <w:spacing w:after="0"/>
              <w:rPr>
                <w:sz w:val="20"/>
                <w:szCs w:val="20"/>
                <w:color w:val="auto"/>
              </w:rPr>
            </w:pPr>
            <w:r>
              <w:rPr>
                <w:rFonts w:ascii="Arial" w:cs="Arial" w:eastAsia="Arial" w:hAnsi="Arial"/>
                <w:sz w:val="18"/>
                <w:szCs w:val="18"/>
                <w:b w:val="1"/>
                <w:bCs w:val="1"/>
                <w:color w:val="auto"/>
              </w:rPr>
              <w:t>2023</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95"/>
              </w:rPr>
              <w:t>MARCH 31, 2023</w:t>
            </w:r>
          </w:p>
        </w:tc>
      </w:tr>
      <w:tr>
        <w:trPr>
          <w:trHeight w:val="209"/>
        </w:trPr>
        <w:tc>
          <w:tcPr>
            <w:tcW w:w="7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680" w:type="dxa"/>
            <w:vAlign w:val="bottom"/>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3,152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2,992</w:t>
            </w:r>
          </w:p>
        </w:tc>
      </w:tr>
      <w:tr>
        <w:trPr>
          <w:trHeight w:val="202"/>
        </w:trPr>
        <w:tc>
          <w:tcPr>
            <w:tcW w:w="7680" w:type="dxa"/>
            <w:vAlign w:val="bottom"/>
          </w:tcPr>
          <w:p>
            <w:pPr>
              <w:ind w:left="340"/>
              <w:spacing w:after="0" w:line="201" w:lineRule="exact"/>
              <w:rPr>
                <w:sz w:val="20"/>
                <w:szCs w:val="20"/>
                <w:color w:val="auto"/>
              </w:rPr>
            </w:pPr>
            <w:r>
              <w:rPr>
                <w:rFonts w:ascii="Arial" w:cs="Arial" w:eastAsia="Arial" w:hAnsi="Arial"/>
                <w:sz w:val="18"/>
                <w:szCs w:val="18"/>
                <w:color w:val="auto"/>
                <w:w w:val="91"/>
              </w:rPr>
              <w:t>Accounts receivable, net of allowances for bad debts of $138 and $183 at September 30, and March</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7680" w:type="dxa"/>
            <w:vAlign w:val="bottom"/>
          </w:tcPr>
          <w:p>
            <w:pPr>
              <w:ind w:left="340"/>
              <w:spacing w:after="0"/>
              <w:rPr>
                <w:sz w:val="20"/>
                <w:szCs w:val="20"/>
                <w:color w:val="auto"/>
              </w:rPr>
            </w:pPr>
            <w:r>
              <w:rPr>
                <w:rFonts w:ascii="Arial" w:cs="Arial" w:eastAsia="Arial" w:hAnsi="Arial"/>
                <w:sz w:val="18"/>
                <w:szCs w:val="18"/>
                <w:color w:val="auto"/>
              </w:rPr>
              <w:t>31, 2023, respectively</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700" w:type="dxa"/>
            <w:vAlign w:val="bottom"/>
            <w:gridSpan w:val="2"/>
          </w:tcPr>
          <w:p>
            <w:pPr>
              <w:jc w:val="right"/>
              <w:ind w:right="200"/>
              <w:spacing w:after="0"/>
              <w:rPr>
                <w:sz w:val="20"/>
                <w:szCs w:val="20"/>
                <w:color w:val="auto"/>
              </w:rPr>
            </w:pPr>
            <w:r>
              <w:rPr>
                <w:rFonts w:ascii="Arial" w:cs="Arial" w:eastAsia="Arial" w:hAnsi="Arial"/>
                <w:sz w:val="18"/>
                <w:szCs w:val="18"/>
                <w:color w:val="auto"/>
              </w:rPr>
              <w:t>52,326</w:t>
            </w:r>
          </w:p>
        </w:tc>
        <w:tc>
          <w:tcPr>
            <w:tcW w:w="100" w:type="dxa"/>
            <w:vAlign w:val="bottom"/>
          </w:tcPr>
          <w:p>
            <w:pPr>
              <w:spacing w:after="0"/>
              <w:rPr>
                <w:sz w:val="20"/>
                <w:szCs w:val="20"/>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49,367</w:t>
            </w:r>
          </w:p>
        </w:tc>
      </w:tr>
      <w:tr>
        <w:trPr>
          <w:trHeight w:val="216"/>
        </w:trPr>
        <w:tc>
          <w:tcPr>
            <w:tcW w:w="7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Inventories</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104,501</w:t>
            </w:r>
          </w:p>
        </w:tc>
        <w:tc>
          <w:tcPr>
            <w:tcW w:w="1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86,246</w:t>
            </w:r>
          </w:p>
        </w:tc>
      </w:tr>
      <w:tr>
        <w:trPr>
          <w:trHeight w:val="216"/>
        </w:trPr>
        <w:tc>
          <w:tcPr>
            <w:tcW w:w="7680" w:type="dxa"/>
            <w:vAlign w:val="bottom"/>
          </w:tcPr>
          <w:p>
            <w:pPr>
              <w:ind w:left="340"/>
              <w:spacing w:after="0"/>
              <w:rPr>
                <w:sz w:val="20"/>
                <w:szCs w:val="20"/>
                <w:color w:val="auto"/>
              </w:rPr>
            </w:pPr>
            <w:r>
              <w:rPr>
                <w:rFonts w:ascii="Arial" w:cs="Arial" w:eastAsia="Arial" w:hAnsi="Arial"/>
                <w:sz w:val="18"/>
                <w:szCs w:val="18"/>
                <w:color w:val="auto"/>
              </w:rPr>
              <w:t>Current portion of derivative assets</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00" w:type="dxa"/>
            <w:vAlign w:val="bottom"/>
            <w:gridSpan w:val="2"/>
          </w:tcPr>
          <w:p>
            <w:pPr>
              <w:jc w:val="right"/>
              <w:ind w:right="200"/>
              <w:spacing w:after="0"/>
              <w:rPr>
                <w:sz w:val="20"/>
                <w:szCs w:val="20"/>
                <w:color w:val="auto"/>
              </w:rPr>
            </w:pPr>
            <w:r>
              <w:rPr>
                <w:rFonts w:ascii="Arial" w:cs="Arial" w:eastAsia="Arial" w:hAnsi="Arial"/>
                <w:sz w:val="18"/>
                <w:szCs w:val="18"/>
                <w:color w:val="auto"/>
              </w:rPr>
              <w:t>692</w:t>
            </w:r>
          </w:p>
        </w:tc>
        <w:tc>
          <w:tcPr>
            <w:tcW w:w="10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536</w:t>
            </w:r>
          </w:p>
        </w:tc>
      </w:tr>
      <w:tr>
        <w:trPr>
          <w:trHeight w:val="216"/>
        </w:trPr>
        <w:tc>
          <w:tcPr>
            <w:tcW w:w="7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current assets</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4,491</w:t>
            </w:r>
          </w:p>
        </w:tc>
        <w:tc>
          <w:tcPr>
            <w:tcW w:w="1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4,515</w:t>
            </w:r>
          </w:p>
        </w:tc>
      </w:tr>
      <w:tr>
        <w:trPr>
          <w:trHeight w:val="20"/>
        </w:trPr>
        <w:tc>
          <w:tcPr>
            <w:tcW w:w="76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7680" w:type="dxa"/>
            <w:vAlign w:val="bottom"/>
          </w:tcPr>
          <w:p>
            <w:pPr>
              <w:ind w:left="820"/>
              <w:spacing w:after="0"/>
              <w:rPr>
                <w:sz w:val="20"/>
                <w:szCs w:val="20"/>
                <w:color w:val="auto"/>
              </w:rPr>
            </w:pPr>
            <w:r>
              <w:rPr>
                <w:rFonts w:ascii="Arial" w:cs="Arial" w:eastAsia="Arial" w:hAnsi="Arial"/>
                <w:sz w:val="18"/>
                <w:szCs w:val="18"/>
                <w:color w:val="auto"/>
              </w:rPr>
              <w:t>TOTAL CURRENT ASSETS</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00" w:type="dxa"/>
            <w:vAlign w:val="bottom"/>
            <w:gridSpan w:val="2"/>
          </w:tcPr>
          <w:p>
            <w:pPr>
              <w:jc w:val="right"/>
              <w:ind w:right="200"/>
              <w:spacing w:after="0"/>
              <w:rPr>
                <w:sz w:val="20"/>
                <w:szCs w:val="20"/>
                <w:color w:val="auto"/>
              </w:rPr>
            </w:pPr>
            <w:r>
              <w:rPr>
                <w:rFonts w:ascii="Arial" w:cs="Arial" w:eastAsia="Arial" w:hAnsi="Arial"/>
                <w:sz w:val="18"/>
                <w:szCs w:val="18"/>
                <w:color w:val="auto"/>
              </w:rPr>
              <w:t>165,162</w:t>
            </w:r>
          </w:p>
        </w:tc>
        <w:tc>
          <w:tcPr>
            <w:tcW w:w="10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143,656</w:t>
            </w:r>
          </w:p>
        </w:tc>
      </w:tr>
      <w:tr>
        <w:trPr>
          <w:trHeight w:val="216"/>
        </w:trPr>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680" w:type="dxa"/>
            <w:vAlign w:val="bottom"/>
          </w:tcPr>
          <w:p>
            <w:pPr>
              <w:ind w:left="340"/>
              <w:spacing w:after="0"/>
              <w:rPr>
                <w:sz w:val="20"/>
                <w:szCs w:val="20"/>
                <w:color w:val="auto"/>
              </w:rPr>
            </w:pPr>
            <w:r>
              <w:rPr>
                <w:rFonts w:ascii="Arial" w:cs="Arial" w:eastAsia="Arial" w:hAnsi="Arial"/>
                <w:sz w:val="18"/>
                <w:szCs w:val="18"/>
                <w:color w:val="auto"/>
              </w:rPr>
              <w:t>Land</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00" w:type="dxa"/>
            <w:vAlign w:val="bottom"/>
            <w:gridSpan w:val="2"/>
          </w:tcPr>
          <w:p>
            <w:pPr>
              <w:jc w:val="right"/>
              <w:ind w:right="200"/>
              <w:spacing w:after="0"/>
              <w:rPr>
                <w:sz w:val="20"/>
                <w:szCs w:val="20"/>
                <w:color w:val="auto"/>
              </w:rPr>
            </w:pPr>
            <w:r>
              <w:rPr>
                <w:rFonts w:ascii="Arial" w:cs="Arial" w:eastAsia="Arial" w:hAnsi="Arial"/>
                <w:sz w:val="18"/>
                <w:szCs w:val="18"/>
                <w:color w:val="auto"/>
              </w:rPr>
              <w:t>1,670</w:t>
            </w:r>
          </w:p>
        </w:tc>
        <w:tc>
          <w:tcPr>
            <w:tcW w:w="10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1,670</w:t>
            </w:r>
          </w:p>
        </w:tc>
      </w:tr>
      <w:tr>
        <w:trPr>
          <w:trHeight w:val="216"/>
        </w:trPr>
        <w:tc>
          <w:tcPr>
            <w:tcW w:w="7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Buildings and yard improvements</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28,625</w:t>
            </w:r>
          </w:p>
        </w:tc>
        <w:tc>
          <w:tcPr>
            <w:tcW w:w="1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28,550</w:t>
            </w:r>
          </w:p>
        </w:tc>
      </w:tr>
      <w:tr>
        <w:trPr>
          <w:trHeight w:val="216"/>
        </w:trPr>
        <w:tc>
          <w:tcPr>
            <w:tcW w:w="7680" w:type="dxa"/>
            <w:vAlign w:val="bottom"/>
          </w:tcPr>
          <w:p>
            <w:pPr>
              <w:ind w:left="340"/>
              <w:spacing w:after="0"/>
              <w:rPr>
                <w:sz w:val="20"/>
                <w:szCs w:val="20"/>
                <w:color w:val="auto"/>
              </w:rPr>
            </w:pPr>
            <w:r>
              <w:rPr>
                <w:rFonts w:ascii="Arial" w:cs="Arial" w:eastAsia="Arial" w:hAnsi="Arial"/>
                <w:sz w:val="18"/>
                <w:szCs w:val="18"/>
                <w:color w:val="auto"/>
              </w:rPr>
              <w:t>Machinery and equipment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00" w:type="dxa"/>
            <w:vAlign w:val="bottom"/>
            <w:gridSpan w:val="2"/>
          </w:tcPr>
          <w:p>
            <w:pPr>
              <w:jc w:val="right"/>
              <w:ind w:right="200"/>
              <w:spacing w:after="0"/>
              <w:rPr>
                <w:sz w:val="20"/>
                <w:szCs w:val="20"/>
                <w:color w:val="auto"/>
              </w:rPr>
            </w:pPr>
            <w:r>
              <w:rPr>
                <w:rFonts w:ascii="Arial" w:cs="Arial" w:eastAsia="Arial" w:hAnsi="Arial"/>
                <w:sz w:val="18"/>
                <w:szCs w:val="18"/>
                <w:color w:val="auto"/>
              </w:rPr>
              <w:t>51,040</w:t>
            </w:r>
          </w:p>
        </w:tc>
        <w:tc>
          <w:tcPr>
            <w:tcW w:w="10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51,001</w:t>
            </w:r>
          </w:p>
        </w:tc>
      </w:tr>
      <w:tr>
        <w:trPr>
          <w:trHeight w:val="216"/>
        </w:trPr>
        <w:tc>
          <w:tcPr>
            <w:tcW w:w="7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Construction in process</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3,914</w:t>
            </w:r>
          </w:p>
        </w:tc>
        <w:tc>
          <w:tcPr>
            <w:tcW w:w="1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1,167</w:t>
            </w:r>
          </w:p>
        </w:tc>
      </w:tr>
      <w:tr>
        <w:trPr>
          <w:trHeight w:val="216"/>
        </w:trPr>
        <w:tc>
          <w:tcPr>
            <w:tcW w:w="7680" w:type="dxa"/>
            <w:vAlign w:val="bottom"/>
          </w:tcPr>
          <w:p>
            <w:pPr>
              <w:ind w:left="340"/>
              <w:spacing w:after="0"/>
              <w:rPr>
                <w:sz w:val="20"/>
                <w:szCs w:val="20"/>
                <w:color w:val="auto"/>
              </w:rPr>
            </w:pPr>
            <w:r>
              <w:rPr>
                <w:rFonts w:ascii="Arial" w:cs="Arial" w:eastAsia="Arial" w:hAnsi="Arial"/>
                <w:sz w:val="18"/>
                <w:szCs w:val="18"/>
                <w:color w:val="auto"/>
              </w:rPr>
              <w:t>Less accumulated depreciation</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00" w:type="dxa"/>
            <w:vAlign w:val="bottom"/>
            <w:gridSpan w:val="2"/>
          </w:tcPr>
          <w:p>
            <w:pPr>
              <w:jc w:val="right"/>
              <w:ind w:right="140"/>
              <w:spacing w:after="0"/>
              <w:rPr>
                <w:sz w:val="20"/>
                <w:szCs w:val="20"/>
                <w:color w:val="auto"/>
              </w:rPr>
            </w:pPr>
            <w:r>
              <w:rPr>
                <w:rFonts w:ascii="Arial" w:cs="Arial" w:eastAsia="Arial" w:hAnsi="Arial"/>
                <w:sz w:val="18"/>
                <w:szCs w:val="18"/>
                <w:color w:val="auto"/>
              </w:rPr>
              <w:t>(29,914)</w:t>
            </w:r>
          </w:p>
        </w:tc>
        <w:tc>
          <w:tcPr>
            <w:tcW w:w="100" w:type="dxa"/>
            <w:vAlign w:val="bottom"/>
          </w:tcPr>
          <w:p>
            <w:pPr>
              <w:spacing w:after="0"/>
              <w:rPr>
                <w:sz w:val="18"/>
                <w:szCs w:val="18"/>
                <w:color w:val="auto"/>
              </w:rPr>
            </w:pPr>
          </w:p>
        </w:tc>
        <w:tc>
          <w:tcPr>
            <w:tcW w:w="1580" w:type="dxa"/>
            <w:vAlign w:val="bottom"/>
            <w:gridSpan w:val="2"/>
          </w:tcPr>
          <w:p>
            <w:pPr>
              <w:jc w:val="right"/>
              <w:ind w:right="40"/>
              <w:spacing w:after="0"/>
              <w:rPr>
                <w:sz w:val="20"/>
                <w:szCs w:val="20"/>
                <w:color w:val="auto"/>
              </w:rPr>
            </w:pPr>
            <w:r>
              <w:rPr>
                <w:rFonts w:ascii="Arial" w:cs="Arial" w:eastAsia="Arial" w:hAnsi="Arial"/>
                <w:sz w:val="18"/>
                <w:szCs w:val="18"/>
                <w:color w:val="auto"/>
              </w:rPr>
              <w:t>(28,455)</w:t>
            </w:r>
          </w:p>
        </w:tc>
      </w:tr>
      <w:tr>
        <w:trPr>
          <w:trHeight w:val="20"/>
        </w:trPr>
        <w:tc>
          <w:tcPr>
            <w:tcW w:w="7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7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55,335</w:t>
            </w:r>
          </w:p>
        </w:tc>
        <w:tc>
          <w:tcPr>
            <w:tcW w:w="1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53,933</w:t>
            </w:r>
          </w:p>
        </w:tc>
      </w:tr>
      <w:tr>
        <w:trPr>
          <w:trHeight w:val="216"/>
        </w:trPr>
        <w:tc>
          <w:tcPr>
            <w:tcW w:w="7680" w:type="dxa"/>
            <w:vAlign w:val="bottom"/>
          </w:tcPr>
          <w:p>
            <w:pPr>
              <w:spacing w:after="0"/>
              <w:rPr>
                <w:sz w:val="20"/>
                <w:szCs w:val="20"/>
                <w:color w:val="auto"/>
              </w:rPr>
            </w:pPr>
            <w:r>
              <w:rPr>
                <w:rFonts w:ascii="Arial" w:cs="Arial" w:eastAsia="Arial" w:hAnsi="Arial"/>
                <w:sz w:val="18"/>
                <w:szCs w:val="18"/>
                <w:color w:val="auto"/>
              </w:rPr>
              <w:t>OTHER ASSETS:</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value of officers’ life insurance and other assets</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411</w:t>
            </w:r>
          </w:p>
        </w:tc>
        <w:tc>
          <w:tcPr>
            <w:tcW w:w="1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453</w:t>
            </w:r>
          </w:p>
        </w:tc>
      </w:tr>
      <w:tr>
        <w:trPr>
          <w:trHeight w:val="216"/>
        </w:trPr>
        <w:tc>
          <w:tcPr>
            <w:tcW w:w="7680" w:type="dxa"/>
            <w:vAlign w:val="bottom"/>
          </w:tcPr>
          <w:p>
            <w:pPr>
              <w:ind w:left="340"/>
              <w:spacing w:after="0"/>
              <w:rPr>
                <w:sz w:val="20"/>
                <w:szCs w:val="20"/>
                <w:color w:val="auto"/>
              </w:rPr>
            </w:pPr>
            <w:r>
              <w:rPr>
                <w:rFonts w:ascii="Arial" w:cs="Arial" w:eastAsia="Arial" w:hAnsi="Arial"/>
                <w:sz w:val="18"/>
                <w:szCs w:val="18"/>
                <w:color w:val="auto"/>
              </w:rPr>
              <w:t>Operating lease right-of-use asset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00" w:type="dxa"/>
            <w:vAlign w:val="bottom"/>
            <w:gridSpan w:val="2"/>
          </w:tcPr>
          <w:p>
            <w:pPr>
              <w:jc w:val="right"/>
              <w:ind w:right="200"/>
              <w:spacing w:after="0"/>
              <w:rPr>
                <w:sz w:val="20"/>
                <w:szCs w:val="20"/>
                <w:color w:val="auto"/>
              </w:rPr>
            </w:pPr>
            <w:r>
              <w:rPr>
                <w:rFonts w:ascii="Arial" w:cs="Arial" w:eastAsia="Arial" w:hAnsi="Arial"/>
                <w:sz w:val="18"/>
                <w:szCs w:val="18"/>
                <w:color w:val="auto"/>
              </w:rPr>
              <w:t>1,219</w:t>
            </w:r>
          </w:p>
        </w:tc>
        <w:tc>
          <w:tcPr>
            <w:tcW w:w="10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1,270</w:t>
            </w:r>
          </w:p>
        </w:tc>
      </w:tr>
      <w:tr>
        <w:trPr>
          <w:trHeight w:val="20"/>
        </w:trPr>
        <w:tc>
          <w:tcPr>
            <w:tcW w:w="7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7680" w:type="dxa"/>
            <w:vAlign w:val="bottom"/>
            <w:shd w:val="clear" w:color="auto" w:fill="CCEEFF"/>
          </w:tcPr>
          <w:p>
            <w:pPr>
              <w:ind w:left="820"/>
              <w:spacing w:after="0"/>
              <w:rPr>
                <w:sz w:val="20"/>
                <w:szCs w:val="20"/>
                <w:color w:val="auto"/>
              </w:rPr>
            </w:pPr>
            <w:r>
              <w:rPr>
                <w:rFonts w:ascii="Arial" w:cs="Arial" w:eastAsia="Arial" w:hAnsi="Arial"/>
                <w:sz w:val="18"/>
                <w:szCs w:val="18"/>
                <w:color w:val="auto"/>
              </w:rPr>
              <w:t>TOTAL ASSETS</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222,127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199,312</w:t>
            </w:r>
          </w:p>
        </w:tc>
      </w:tr>
      <w:tr>
        <w:trPr>
          <w:trHeight w:val="196"/>
        </w:trPr>
        <w:tc>
          <w:tcPr>
            <w:tcW w:w="7680" w:type="dxa"/>
            <w:vAlign w:val="bottom"/>
            <w:tcBorders>
              <w:top w:val="single" w:sz="8" w:color="CCEEFF"/>
            </w:tcBorders>
          </w:tcPr>
          <w:p>
            <w:pPr>
              <w:spacing w:after="0" w:line="196" w:lineRule="exact"/>
              <w:rPr>
                <w:sz w:val="20"/>
                <w:szCs w:val="20"/>
                <w:color w:val="auto"/>
              </w:rPr>
            </w:pPr>
            <w:r>
              <w:rPr>
                <w:rFonts w:ascii="Arial" w:cs="Arial" w:eastAsia="Arial" w:hAnsi="Arial"/>
                <w:sz w:val="18"/>
                <w:szCs w:val="18"/>
                <w:b w:val="1"/>
                <w:bCs w:val="1"/>
                <w:color w:val="auto"/>
              </w:rPr>
              <w:t>LIABILITIES AND STOCKHOLDERS’ EQUITY</w:t>
            </w:r>
          </w:p>
        </w:tc>
        <w:tc>
          <w:tcPr>
            <w:tcW w:w="100" w:type="dxa"/>
            <w:vAlign w:val="bottom"/>
            <w:tcBorders>
              <w:top w:val="single" w:sz="8" w:color="CCEEFF"/>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48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4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6"/>
        </w:trPr>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680" w:type="dxa"/>
            <w:vAlign w:val="bottom"/>
          </w:tcPr>
          <w:p>
            <w:pPr>
              <w:ind w:left="340"/>
              <w:spacing w:after="0"/>
              <w:rPr>
                <w:sz w:val="20"/>
                <w:szCs w:val="20"/>
                <w:color w:val="auto"/>
              </w:rPr>
            </w:pPr>
            <w:r>
              <w:rPr>
                <w:rFonts w:ascii="Arial" w:cs="Arial" w:eastAsia="Arial" w:hAnsi="Arial"/>
                <w:sz w:val="18"/>
                <w:szCs w:val="18"/>
                <w:color w:val="auto"/>
              </w:rPr>
              <w:t>Accounts payable and accrued expenses</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700" w:type="dxa"/>
            <w:vAlign w:val="bottom"/>
            <w:gridSpan w:val="2"/>
          </w:tcPr>
          <w:p>
            <w:pPr>
              <w:jc w:val="right"/>
              <w:ind w:right="200"/>
              <w:spacing w:after="0"/>
              <w:rPr>
                <w:sz w:val="20"/>
                <w:szCs w:val="20"/>
                <w:color w:val="auto"/>
              </w:rPr>
            </w:pPr>
            <w:r>
              <w:rPr>
                <w:rFonts w:ascii="Arial" w:cs="Arial" w:eastAsia="Arial" w:hAnsi="Arial"/>
                <w:sz w:val="18"/>
                <w:szCs w:val="18"/>
                <w:color w:val="auto"/>
              </w:rPr>
              <w:t>29,414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36,847</w:t>
            </w:r>
          </w:p>
        </w:tc>
      </w:tr>
      <w:tr>
        <w:trPr>
          <w:trHeight w:val="216"/>
        </w:trPr>
        <w:tc>
          <w:tcPr>
            <w:tcW w:w="7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Income taxes payable</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1,902</w:t>
            </w:r>
          </w:p>
        </w:tc>
        <w:tc>
          <w:tcPr>
            <w:tcW w:w="1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774</w:t>
            </w:r>
          </w:p>
        </w:tc>
      </w:tr>
      <w:tr>
        <w:trPr>
          <w:trHeight w:val="216"/>
        </w:trPr>
        <w:tc>
          <w:tcPr>
            <w:tcW w:w="7680" w:type="dxa"/>
            <w:vAlign w:val="bottom"/>
          </w:tcPr>
          <w:p>
            <w:pPr>
              <w:ind w:left="340"/>
              <w:spacing w:after="0"/>
              <w:rPr>
                <w:sz w:val="20"/>
                <w:szCs w:val="20"/>
                <w:color w:val="auto"/>
              </w:rPr>
            </w:pPr>
            <w:r>
              <w:rPr>
                <w:rFonts w:ascii="Arial" w:cs="Arial" w:eastAsia="Arial" w:hAnsi="Arial"/>
                <w:sz w:val="18"/>
                <w:szCs w:val="18"/>
                <w:color w:val="auto"/>
              </w:rPr>
              <w:t>Dividends payable</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00" w:type="dxa"/>
            <w:vAlign w:val="bottom"/>
            <w:gridSpan w:val="2"/>
          </w:tcPr>
          <w:p>
            <w:pPr>
              <w:jc w:val="right"/>
              <w:ind w:right="200"/>
              <w:spacing w:after="0"/>
              <w:rPr>
                <w:sz w:val="20"/>
                <w:szCs w:val="20"/>
                <w:color w:val="auto"/>
              </w:rPr>
            </w:pPr>
            <w:r>
              <w:rPr>
                <w:rFonts w:ascii="Arial" w:cs="Arial" w:eastAsia="Arial" w:hAnsi="Arial"/>
                <w:sz w:val="18"/>
                <w:szCs w:val="18"/>
                <w:color w:val="auto"/>
              </w:rPr>
              <w:t>148</w:t>
            </w:r>
          </w:p>
        </w:tc>
        <w:tc>
          <w:tcPr>
            <w:tcW w:w="10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148</w:t>
            </w:r>
          </w:p>
        </w:tc>
      </w:tr>
      <w:tr>
        <w:trPr>
          <w:trHeight w:val="216"/>
        </w:trPr>
        <w:tc>
          <w:tcPr>
            <w:tcW w:w="7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Contribution to retirement plan</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350</w:t>
            </w:r>
          </w:p>
        </w:tc>
      </w:tr>
      <w:tr>
        <w:trPr>
          <w:trHeight w:val="216"/>
        </w:trPr>
        <w:tc>
          <w:tcPr>
            <w:tcW w:w="7680" w:type="dxa"/>
            <w:vAlign w:val="bottom"/>
          </w:tcPr>
          <w:p>
            <w:pPr>
              <w:ind w:left="340"/>
              <w:spacing w:after="0"/>
              <w:rPr>
                <w:sz w:val="20"/>
                <w:szCs w:val="20"/>
                <w:color w:val="auto"/>
              </w:rPr>
            </w:pPr>
            <w:r>
              <w:rPr>
                <w:rFonts w:ascii="Arial" w:cs="Arial" w:eastAsia="Arial" w:hAnsi="Arial"/>
                <w:sz w:val="18"/>
                <w:szCs w:val="18"/>
                <w:color w:val="auto"/>
              </w:rPr>
              <w:t>Employee compensation and related expenses</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00" w:type="dxa"/>
            <w:vAlign w:val="bottom"/>
            <w:gridSpan w:val="2"/>
          </w:tcPr>
          <w:p>
            <w:pPr>
              <w:jc w:val="right"/>
              <w:ind w:right="200"/>
              <w:spacing w:after="0"/>
              <w:rPr>
                <w:sz w:val="20"/>
                <w:szCs w:val="20"/>
                <w:color w:val="auto"/>
              </w:rPr>
            </w:pPr>
            <w:r>
              <w:rPr>
                <w:rFonts w:ascii="Arial" w:cs="Arial" w:eastAsia="Arial" w:hAnsi="Arial"/>
                <w:sz w:val="18"/>
                <w:szCs w:val="18"/>
                <w:color w:val="auto"/>
              </w:rPr>
              <w:t>3,320</w:t>
            </w:r>
          </w:p>
        </w:tc>
        <w:tc>
          <w:tcPr>
            <w:tcW w:w="10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4,650</w:t>
            </w:r>
          </w:p>
        </w:tc>
      </w:tr>
      <w:tr>
        <w:trPr>
          <w:trHeight w:val="216"/>
        </w:trPr>
        <w:tc>
          <w:tcPr>
            <w:tcW w:w="7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Current portion of financing lease</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108</w:t>
            </w:r>
          </w:p>
        </w:tc>
        <w:tc>
          <w:tcPr>
            <w:tcW w:w="1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w:t>
            </w:r>
          </w:p>
        </w:tc>
      </w:tr>
      <w:tr>
        <w:trPr>
          <w:trHeight w:val="216"/>
        </w:trPr>
        <w:tc>
          <w:tcPr>
            <w:tcW w:w="7680" w:type="dxa"/>
            <w:vAlign w:val="bottom"/>
          </w:tcPr>
          <w:p>
            <w:pPr>
              <w:ind w:left="340"/>
              <w:spacing w:after="0"/>
              <w:rPr>
                <w:sz w:val="20"/>
                <w:szCs w:val="20"/>
                <w:color w:val="auto"/>
              </w:rPr>
            </w:pPr>
            <w:r>
              <w:rPr>
                <w:rFonts w:ascii="Arial" w:cs="Arial" w:eastAsia="Arial" w:hAnsi="Arial"/>
                <w:sz w:val="18"/>
                <w:szCs w:val="18"/>
                <w:color w:val="auto"/>
              </w:rPr>
              <w:t>Current portion of derivative liability</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00" w:type="dxa"/>
            <w:vAlign w:val="bottom"/>
            <w:gridSpan w:val="2"/>
          </w:tcPr>
          <w:p>
            <w:pPr>
              <w:jc w:val="right"/>
              <w:ind w:right="200"/>
              <w:spacing w:after="0"/>
              <w:rPr>
                <w:sz w:val="20"/>
                <w:szCs w:val="20"/>
                <w:color w:val="auto"/>
              </w:rPr>
            </w:pPr>
            <w:r>
              <w:rPr>
                <w:rFonts w:ascii="Arial" w:cs="Arial" w:eastAsia="Arial" w:hAnsi="Arial"/>
                <w:sz w:val="18"/>
                <w:szCs w:val="18"/>
                <w:color w:val="auto"/>
              </w:rPr>
              <w:t>400</w:t>
            </w:r>
          </w:p>
        </w:tc>
        <w:tc>
          <w:tcPr>
            <w:tcW w:w="10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2,212</w:t>
            </w:r>
          </w:p>
        </w:tc>
      </w:tr>
      <w:tr>
        <w:trPr>
          <w:trHeight w:val="210"/>
        </w:trPr>
        <w:tc>
          <w:tcPr>
            <w:tcW w:w="7680" w:type="dxa"/>
            <w:vAlign w:val="bottom"/>
            <w:tcBorders>
              <w:top w:val="single" w:sz="8" w:color="CCEEFF"/>
            </w:tcBorders>
            <w:shd w:val="clear" w:color="auto" w:fill="CCEEFF"/>
          </w:tcPr>
          <w:p>
            <w:pPr>
              <w:ind w:left="820"/>
              <w:spacing w:after="0"/>
              <w:rPr>
                <w:sz w:val="20"/>
                <w:szCs w:val="20"/>
                <w:color w:val="auto"/>
              </w:rPr>
            </w:pPr>
            <w:r>
              <w:rPr>
                <w:rFonts w:ascii="Arial" w:cs="Arial" w:eastAsia="Arial" w:hAnsi="Arial"/>
                <w:sz w:val="18"/>
                <w:szCs w:val="18"/>
                <w:color w:val="auto"/>
              </w:rPr>
              <w:t>TOTAL CURRENT LIABILITIES</w:t>
            </w: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35,292</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45,088</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680" w:type="dxa"/>
            <w:vAlign w:val="bottom"/>
          </w:tcPr>
          <w:p>
            <w:pPr>
              <w:spacing w:after="0"/>
              <w:rPr>
                <w:sz w:val="20"/>
                <w:szCs w:val="20"/>
                <w:color w:val="auto"/>
              </w:rPr>
            </w:pPr>
            <w:r>
              <w:rPr>
                <w:rFonts w:ascii="Arial" w:cs="Arial" w:eastAsia="Arial" w:hAnsi="Arial"/>
                <w:sz w:val="18"/>
                <w:szCs w:val="18"/>
                <w:color w:val="auto"/>
              </w:rPr>
              <w:t>POSTRETIREMENT BENEFITS OTHER THAN PENSIONS</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00" w:type="dxa"/>
            <w:vAlign w:val="bottom"/>
            <w:gridSpan w:val="2"/>
          </w:tcPr>
          <w:p>
            <w:pPr>
              <w:jc w:val="right"/>
              <w:ind w:right="200"/>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96</w:t>
            </w:r>
          </w:p>
        </w:tc>
      </w:tr>
      <w:tr>
        <w:trPr>
          <w:trHeight w:val="230"/>
        </w:trPr>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 LIABILITY</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4,425</w:t>
            </w:r>
          </w:p>
        </w:tc>
        <w:tc>
          <w:tcPr>
            <w:tcW w:w="10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4,357</w:t>
            </w:r>
          </w:p>
        </w:tc>
      </w:tr>
      <w:tr>
        <w:trPr>
          <w:trHeight w:val="216"/>
        </w:trPr>
        <w:tc>
          <w:tcPr>
            <w:tcW w:w="7680" w:type="dxa"/>
            <w:vAlign w:val="bottom"/>
          </w:tcPr>
          <w:p>
            <w:pPr>
              <w:spacing w:after="0"/>
              <w:rPr>
                <w:sz w:val="20"/>
                <w:szCs w:val="20"/>
                <w:color w:val="auto"/>
              </w:rPr>
            </w:pPr>
            <w:r>
              <w:rPr>
                <w:rFonts w:ascii="Arial" w:cs="Arial" w:eastAsia="Arial" w:hAnsi="Arial"/>
                <w:sz w:val="18"/>
                <w:szCs w:val="18"/>
                <w:color w:val="auto"/>
              </w:rPr>
              <w:t>OTHER NON-CURRENT LIABILITIES</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00" w:type="dxa"/>
            <w:vAlign w:val="bottom"/>
            <w:gridSpan w:val="2"/>
          </w:tcPr>
          <w:p>
            <w:pPr>
              <w:jc w:val="right"/>
              <w:ind w:right="200"/>
              <w:spacing w:after="0"/>
              <w:rPr>
                <w:sz w:val="20"/>
                <w:szCs w:val="20"/>
                <w:color w:val="auto"/>
              </w:rPr>
            </w:pPr>
            <w:r>
              <w:rPr>
                <w:rFonts w:ascii="Arial" w:cs="Arial" w:eastAsia="Arial" w:hAnsi="Arial"/>
                <w:sz w:val="18"/>
                <w:szCs w:val="18"/>
                <w:color w:val="auto"/>
              </w:rPr>
              <w:t>1,139</w:t>
            </w:r>
          </w:p>
        </w:tc>
        <w:tc>
          <w:tcPr>
            <w:tcW w:w="10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1,222</w:t>
            </w:r>
          </w:p>
        </w:tc>
      </w:tr>
      <w:tr>
        <w:trPr>
          <w:trHeight w:val="216"/>
        </w:trPr>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ASSET BASED LENDING FACILITY</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54,361</w:t>
            </w:r>
          </w:p>
        </w:tc>
        <w:tc>
          <w:tcPr>
            <w:tcW w:w="1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33,117</w:t>
            </w:r>
          </w:p>
        </w:tc>
      </w:tr>
      <w:tr>
        <w:trPr>
          <w:trHeight w:val="210"/>
        </w:trPr>
        <w:tc>
          <w:tcPr>
            <w:tcW w:w="7680" w:type="dxa"/>
            <w:vAlign w:val="bottom"/>
          </w:tcPr>
          <w:p>
            <w:pPr>
              <w:ind w:left="820"/>
              <w:spacing w:after="0"/>
              <w:rPr>
                <w:sz w:val="20"/>
                <w:szCs w:val="20"/>
                <w:color w:val="auto"/>
              </w:rPr>
            </w:pPr>
            <w:r>
              <w:rPr>
                <w:rFonts w:ascii="Arial" w:cs="Arial" w:eastAsia="Arial" w:hAnsi="Arial"/>
                <w:sz w:val="18"/>
                <w:szCs w:val="18"/>
                <w:color w:val="auto"/>
              </w:rPr>
              <w:t>TOTAL LIABILITIES</w:t>
            </w:r>
          </w:p>
        </w:tc>
        <w:tc>
          <w:tcPr>
            <w:tcW w:w="10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95,318</w:t>
            </w:r>
          </w:p>
        </w:tc>
        <w:tc>
          <w:tcPr>
            <w:tcW w:w="22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83,880</w:t>
            </w:r>
          </w:p>
        </w:tc>
        <w:tc>
          <w:tcPr>
            <w:tcW w:w="100" w:type="dxa"/>
            <w:vAlign w:val="bottom"/>
          </w:tcPr>
          <w:p>
            <w:pPr>
              <w:spacing w:after="0"/>
              <w:rPr>
                <w:sz w:val="18"/>
                <w:szCs w:val="18"/>
                <w:color w:val="auto"/>
              </w:rPr>
            </w:pPr>
          </w:p>
        </w:tc>
      </w:tr>
      <w:tr>
        <w:trPr>
          <w:trHeight w:val="209"/>
        </w:trPr>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680" w:type="dxa"/>
            <w:vAlign w:val="bottom"/>
          </w:tcPr>
          <w:p>
            <w:pPr>
              <w:spacing w:after="0"/>
              <w:rPr>
                <w:sz w:val="20"/>
                <w:szCs w:val="20"/>
                <w:color w:val="auto"/>
              </w:rPr>
            </w:pPr>
            <w:r>
              <w:rPr>
                <w:rFonts w:ascii="Arial" w:cs="Arial" w:eastAsia="Arial" w:hAnsi="Arial"/>
                <w:sz w:val="18"/>
                <w:szCs w:val="18"/>
                <w:color w:val="auto"/>
              </w:rPr>
              <w:t>STOCKHOLDERS’ EQUITY:</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768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w w:val="90"/>
              </w:rPr>
              <w:t>Common stock, par value $1: Authorized shares — 10,000,000; Issued shares — 8,868,716 shares at</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7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September 30, and March 31, 2023</w:t>
            </w: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8,869</w:t>
            </w:r>
          </w:p>
        </w:tc>
        <w:tc>
          <w:tcPr>
            <w:tcW w:w="100" w:type="dxa"/>
            <w:vAlign w:val="bottom"/>
            <w:shd w:val="clear" w:color="auto" w:fill="CCEEFF"/>
          </w:tcPr>
          <w:p>
            <w:pPr>
              <w:spacing w:after="0"/>
              <w:rPr>
                <w:sz w:val="20"/>
                <w:szCs w:val="20"/>
                <w:color w:val="auto"/>
              </w:rPr>
            </w:pP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8,869</w:t>
            </w:r>
          </w:p>
        </w:tc>
      </w:tr>
      <w:tr>
        <w:trPr>
          <w:trHeight w:val="216"/>
        </w:trPr>
        <w:tc>
          <w:tcPr>
            <w:tcW w:w="7680" w:type="dxa"/>
            <w:vAlign w:val="bottom"/>
          </w:tcPr>
          <w:p>
            <w:pPr>
              <w:ind w:left="340"/>
              <w:spacing w:after="0"/>
              <w:rPr>
                <w:sz w:val="20"/>
                <w:szCs w:val="20"/>
                <w:color w:val="auto"/>
              </w:rPr>
            </w:pPr>
            <w:r>
              <w:rPr>
                <w:rFonts w:ascii="Arial" w:cs="Arial" w:eastAsia="Arial" w:hAnsi="Arial"/>
                <w:sz w:val="18"/>
                <w:szCs w:val="18"/>
                <w:color w:val="auto"/>
              </w:rPr>
              <w:t>Additional paid-in capital</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00" w:type="dxa"/>
            <w:vAlign w:val="bottom"/>
            <w:gridSpan w:val="2"/>
          </w:tcPr>
          <w:p>
            <w:pPr>
              <w:jc w:val="right"/>
              <w:ind w:right="200"/>
              <w:spacing w:after="0"/>
              <w:rPr>
                <w:sz w:val="20"/>
                <w:szCs w:val="20"/>
                <w:color w:val="auto"/>
              </w:rPr>
            </w:pPr>
            <w:r>
              <w:rPr>
                <w:rFonts w:ascii="Arial" w:cs="Arial" w:eastAsia="Arial" w:hAnsi="Arial"/>
                <w:sz w:val="18"/>
                <w:szCs w:val="18"/>
                <w:color w:val="auto"/>
              </w:rPr>
              <w:t>35,161</w:t>
            </w:r>
          </w:p>
        </w:tc>
        <w:tc>
          <w:tcPr>
            <w:tcW w:w="10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35,005</w:t>
            </w:r>
          </w:p>
        </w:tc>
      </w:tr>
      <w:tr>
        <w:trPr>
          <w:trHeight w:val="216"/>
        </w:trPr>
        <w:tc>
          <w:tcPr>
            <w:tcW w:w="7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Accumulated other comprehensive loss</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(317)</w:t>
            </w:r>
          </w:p>
        </w:tc>
      </w:tr>
      <w:tr>
        <w:trPr>
          <w:trHeight w:val="202"/>
        </w:trPr>
        <w:tc>
          <w:tcPr>
            <w:tcW w:w="7680" w:type="dxa"/>
            <w:vAlign w:val="bottom"/>
          </w:tcPr>
          <w:p>
            <w:pPr>
              <w:ind w:left="340"/>
              <w:spacing w:after="0" w:line="201" w:lineRule="exact"/>
              <w:rPr>
                <w:sz w:val="20"/>
                <w:szCs w:val="20"/>
                <w:color w:val="auto"/>
              </w:rPr>
            </w:pPr>
            <w:r>
              <w:rPr>
                <w:rFonts w:ascii="Arial" w:cs="Arial" w:eastAsia="Arial" w:hAnsi="Arial"/>
                <w:sz w:val="18"/>
                <w:szCs w:val="18"/>
                <w:color w:val="auto"/>
                <w:w w:val="89"/>
              </w:rPr>
              <w:t>Treasury stock at cost (1,493,434 shares and 1,493,128 shares at September 30, and March 31, 2023,</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7680" w:type="dxa"/>
            <w:vAlign w:val="bottom"/>
          </w:tcPr>
          <w:p>
            <w:pPr>
              <w:ind w:left="340"/>
              <w:spacing w:after="0"/>
              <w:rPr>
                <w:sz w:val="20"/>
                <w:szCs w:val="20"/>
                <w:color w:val="auto"/>
              </w:rPr>
            </w:pPr>
            <w:r>
              <w:rPr>
                <w:rFonts w:ascii="Arial" w:cs="Arial" w:eastAsia="Arial" w:hAnsi="Arial"/>
                <w:sz w:val="18"/>
                <w:szCs w:val="18"/>
                <w:color w:val="auto"/>
              </w:rPr>
              <w:t>respectively)</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700" w:type="dxa"/>
            <w:vAlign w:val="bottom"/>
            <w:gridSpan w:val="2"/>
          </w:tcPr>
          <w:p>
            <w:pPr>
              <w:jc w:val="right"/>
              <w:ind w:right="140"/>
              <w:spacing w:after="0"/>
              <w:rPr>
                <w:sz w:val="20"/>
                <w:szCs w:val="20"/>
                <w:color w:val="auto"/>
              </w:rPr>
            </w:pPr>
            <w:r>
              <w:rPr>
                <w:rFonts w:ascii="Arial" w:cs="Arial" w:eastAsia="Arial" w:hAnsi="Arial"/>
                <w:sz w:val="18"/>
                <w:szCs w:val="18"/>
                <w:color w:val="auto"/>
              </w:rPr>
              <w:t>(7,781)</w:t>
            </w:r>
          </w:p>
        </w:tc>
        <w:tc>
          <w:tcPr>
            <w:tcW w:w="100" w:type="dxa"/>
            <w:vAlign w:val="bottom"/>
          </w:tcPr>
          <w:p>
            <w:pPr>
              <w:spacing w:after="0"/>
              <w:rPr>
                <w:sz w:val="20"/>
                <w:szCs w:val="20"/>
                <w:color w:val="auto"/>
              </w:rPr>
            </w:pPr>
          </w:p>
        </w:tc>
        <w:tc>
          <w:tcPr>
            <w:tcW w:w="1580" w:type="dxa"/>
            <w:vAlign w:val="bottom"/>
            <w:gridSpan w:val="2"/>
          </w:tcPr>
          <w:p>
            <w:pPr>
              <w:jc w:val="right"/>
              <w:ind w:right="40"/>
              <w:spacing w:after="0"/>
              <w:rPr>
                <w:sz w:val="20"/>
                <w:szCs w:val="20"/>
                <w:color w:val="auto"/>
              </w:rPr>
            </w:pPr>
            <w:r>
              <w:rPr>
                <w:rFonts w:ascii="Arial" w:cs="Arial" w:eastAsia="Arial" w:hAnsi="Arial"/>
                <w:sz w:val="18"/>
                <w:szCs w:val="18"/>
                <w:color w:val="auto"/>
              </w:rPr>
              <w:t>(7,778)</w:t>
            </w:r>
          </w:p>
        </w:tc>
      </w:tr>
      <w:tr>
        <w:trPr>
          <w:trHeight w:val="216"/>
        </w:trPr>
        <w:tc>
          <w:tcPr>
            <w:tcW w:w="7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Retained earnings</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90,560</w:t>
            </w:r>
          </w:p>
        </w:tc>
        <w:tc>
          <w:tcPr>
            <w:tcW w:w="1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79,653</w:t>
            </w:r>
          </w:p>
        </w:tc>
      </w:tr>
      <w:tr>
        <w:trPr>
          <w:trHeight w:val="20"/>
        </w:trPr>
        <w:tc>
          <w:tcPr>
            <w:tcW w:w="76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7680" w:type="dxa"/>
            <w:vAlign w:val="bottom"/>
          </w:tcPr>
          <w:p>
            <w:pPr>
              <w:ind w:left="820"/>
              <w:spacing w:after="0"/>
              <w:rPr>
                <w:sz w:val="20"/>
                <w:szCs w:val="20"/>
                <w:color w:val="auto"/>
              </w:rPr>
            </w:pPr>
            <w:r>
              <w:rPr>
                <w:rFonts w:ascii="Arial" w:cs="Arial" w:eastAsia="Arial" w:hAnsi="Arial"/>
                <w:sz w:val="18"/>
                <w:szCs w:val="18"/>
                <w:color w:val="auto"/>
              </w:rPr>
              <w:t>TOTAL STOCKHOLDERS’ EQUITY</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00" w:type="dxa"/>
            <w:vAlign w:val="bottom"/>
            <w:gridSpan w:val="2"/>
          </w:tcPr>
          <w:p>
            <w:pPr>
              <w:jc w:val="right"/>
              <w:ind w:right="200"/>
              <w:spacing w:after="0"/>
              <w:rPr>
                <w:sz w:val="20"/>
                <w:szCs w:val="20"/>
                <w:color w:val="auto"/>
              </w:rPr>
            </w:pPr>
            <w:r>
              <w:rPr>
                <w:rFonts w:ascii="Arial" w:cs="Arial" w:eastAsia="Arial" w:hAnsi="Arial"/>
                <w:sz w:val="18"/>
                <w:szCs w:val="18"/>
                <w:color w:val="auto"/>
              </w:rPr>
              <w:t>126,809</w:t>
            </w:r>
          </w:p>
        </w:tc>
        <w:tc>
          <w:tcPr>
            <w:tcW w:w="10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115,432</w:t>
            </w:r>
          </w:p>
        </w:tc>
      </w:tr>
      <w:tr>
        <w:trPr>
          <w:trHeight w:val="20"/>
        </w:trPr>
        <w:tc>
          <w:tcPr>
            <w:tcW w:w="7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7680" w:type="dxa"/>
            <w:vAlign w:val="bottom"/>
            <w:shd w:val="clear" w:color="auto" w:fill="CCEEFF"/>
          </w:tcPr>
          <w:p>
            <w:pPr>
              <w:ind w:left="820"/>
              <w:spacing w:after="0"/>
              <w:rPr>
                <w:sz w:val="20"/>
                <w:szCs w:val="20"/>
                <w:color w:val="auto"/>
              </w:rPr>
            </w:pPr>
            <w:r>
              <w:rPr>
                <w:rFonts w:ascii="Arial" w:cs="Arial" w:eastAsia="Arial" w:hAnsi="Arial"/>
                <w:sz w:val="18"/>
                <w:szCs w:val="18"/>
                <w:color w:val="auto"/>
              </w:rPr>
              <w:t>TOTAL LIABILITIES AND STOCKHOLDERS’ EQUITY</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222,127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199,312</w:t>
            </w:r>
          </w:p>
        </w:tc>
      </w:tr>
      <w:tr>
        <w:trPr>
          <w:trHeight w:val="20"/>
        </w:trPr>
        <w:tc>
          <w:tcPr>
            <w:tcW w:w="76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4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4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accompanying notes are an integral part of these financial statements.</w:t>
      </w:r>
    </w:p>
    <w:p>
      <w:pPr>
        <w:sectPr>
          <w:pgSz w:w="11900" w:h="16838" w:orient="portrait"/>
          <w:cols w:equalWidth="0" w:num="1">
            <w:col w:w="11240"/>
          </w:cols>
          <w:pgMar w:left="320" w:top="125" w:right="339" w:bottom="1440" w:gutter="0" w:footer="0" w:header="0"/>
        </w:sect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4" w:name="page5"/>
    <w:bookmarkEnd w:id="4"/>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FRIEDMAN INDUSTRIES, INCORPORATED</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 UNAUDITED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580" w:type="dxa"/>
            <w:vAlign w:val="bottom"/>
            <w:gridSpan w:val="5"/>
          </w:tcPr>
          <w:p>
            <w:pPr>
              <w:jc w:val="right"/>
              <w:ind w:right="400"/>
              <w:spacing w:after="0"/>
              <w:rPr>
                <w:sz w:val="20"/>
                <w:szCs w:val="20"/>
                <w:color w:val="auto"/>
              </w:rPr>
            </w:pPr>
            <w:r>
              <w:rPr>
                <w:rFonts w:ascii="Arial" w:cs="Arial" w:eastAsia="Arial" w:hAnsi="Arial"/>
                <w:sz w:val="18"/>
                <w:szCs w:val="18"/>
                <w:b w:val="1"/>
                <w:bCs w:val="1"/>
                <w:color w:val="auto"/>
              </w:rPr>
              <w:t>THREE MONTHS ENDED</w:t>
            </w:r>
          </w:p>
        </w:tc>
        <w:tc>
          <w:tcPr>
            <w:tcW w:w="200" w:type="dxa"/>
            <w:vAlign w:val="bottom"/>
          </w:tcPr>
          <w:p>
            <w:pPr>
              <w:spacing w:after="0"/>
              <w:rPr>
                <w:sz w:val="18"/>
                <w:szCs w:val="18"/>
                <w:color w:val="auto"/>
              </w:rPr>
            </w:pPr>
          </w:p>
        </w:tc>
        <w:tc>
          <w:tcPr>
            <w:tcW w:w="2340" w:type="dxa"/>
            <w:vAlign w:val="bottom"/>
            <w:gridSpan w:val="5"/>
          </w:tcPr>
          <w:p>
            <w:pPr>
              <w:jc w:val="right"/>
              <w:ind w:right="420"/>
              <w:spacing w:after="0"/>
              <w:rPr>
                <w:sz w:val="20"/>
                <w:szCs w:val="20"/>
                <w:color w:val="auto"/>
              </w:rPr>
            </w:pPr>
            <w:r>
              <w:rPr>
                <w:rFonts w:ascii="Arial" w:cs="Arial" w:eastAsia="Arial" w:hAnsi="Arial"/>
                <w:sz w:val="18"/>
                <w:szCs w:val="18"/>
                <w:b w:val="1"/>
                <w:bCs w:val="1"/>
                <w:color w:val="auto"/>
              </w:rPr>
              <w:t>SIX MONTHS ENDED</w:t>
            </w:r>
          </w:p>
        </w:tc>
      </w:tr>
      <w:tr>
        <w:trPr>
          <w:trHeight w:val="234"/>
        </w:trPr>
        <w:tc>
          <w:tcPr>
            <w:tcW w:w="5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580" w:type="dxa"/>
            <w:vAlign w:val="bottom"/>
            <w:gridSpan w:val="5"/>
          </w:tcPr>
          <w:p>
            <w:pPr>
              <w:jc w:val="right"/>
              <w:ind w:right="780"/>
              <w:spacing w:after="0"/>
              <w:rPr>
                <w:sz w:val="20"/>
                <w:szCs w:val="20"/>
                <w:color w:val="auto"/>
              </w:rPr>
            </w:pPr>
            <w:r>
              <w:rPr>
                <w:rFonts w:ascii="Arial" w:cs="Arial" w:eastAsia="Arial" w:hAnsi="Arial"/>
                <w:sz w:val="18"/>
                <w:szCs w:val="18"/>
                <w:b w:val="1"/>
                <w:bCs w:val="1"/>
                <w:color w:val="auto"/>
              </w:rPr>
              <w:t>SEPTEMBER 30,</w:t>
            </w:r>
          </w:p>
        </w:tc>
        <w:tc>
          <w:tcPr>
            <w:tcW w:w="200" w:type="dxa"/>
            <w:vAlign w:val="bottom"/>
          </w:tcPr>
          <w:p>
            <w:pPr>
              <w:spacing w:after="0"/>
              <w:rPr>
                <w:sz w:val="20"/>
                <w:szCs w:val="20"/>
                <w:color w:val="auto"/>
              </w:rPr>
            </w:pPr>
          </w:p>
        </w:tc>
        <w:tc>
          <w:tcPr>
            <w:tcW w:w="2340" w:type="dxa"/>
            <w:vAlign w:val="bottom"/>
            <w:gridSpan w:val="5"/>
          </w:tcPr>
          <w:p>
            <w:pPr>
              <w:jc w:val="right"/>
              <w:ind w:right="640"/>
              <w:spacing w:after="0"/>
              <w:rPr>
                <w:sz w:val="20"/>
                <w:szCs w:val="20"/>
                <w:color w:val="auto"/>
              </w:rPr>
            </w:pPr>
            <w:r>
              <w:rPr>
                <w:rFonts w:ascii="Arial" w:cs="Arial" w:eastAsia="Arial" w:hAnsi="Arial"/>
                <w:sz w:val="18"/>
                <w:szCs w:val="18"/>
                <w:b w:val="1"/>
                <w:bCs w:val="1"/>
                <w:color w:val="auto"/>
              </w:rPr>
              <w:t>SEPTEMBER 30,</w:t>
            </w:r>
          </w:p>
        </w:tc>
      </w:tr>
      <w:tr>
        <w:trPr>
          <w:trHeight w:val="209"/>
        </w:trPr>
        <w:tc>
          <w:tcPr>
            <w:tcW w:w="598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2023</w:t>
            </w:r>
          </w:p>
        </w:tc>
        <w:tc>
          <w:tcPr>
            <w:tcW w:w="26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2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2023</w:t>
            </w:r>
          </w:p>
        </w:tc>
        <w:tc>
          <w:tcPr>
            <w:tcW w:w="22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8"/>
                <w:szCs w:val="18"/>
                <w:color w:val="auto"/>
              </w:rPr>
            </w:pPr>
          </w:p>
        </w:tc>
      </w:tr>
      <w:tr>
        <w:trPr>
          <w:trHeight w:val="209"/>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130,748</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149,692</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268,046</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311,495</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Costs and expenses:</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Costs of products sold</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124,927</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145,014</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245,896</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288,145</w:t>
            </w:r>
          </w:p>
        </w:tc>
      </w:tr>
      <w:tr>
        <w:trPr>
          <w:trHeight w:val="216"/>
        </w:trPr>
        <w:tc>
          <w:tcPr>
            <w:tcW w:w="5980" w:type="dxa"/>
            <w:vAlign w:val="bottom"/>
          </w:tcPr>
          <w:p>
            <w:pPr>
              <w:ind w:left="340"/>
              <w:spacing w:after="0"/>
              <w:rPr>
                <w:sz w:val="20"/>
                <w:szCs w:val="20"/>
                <w:color w:val="auto"/>
              </w:rPr>
            </w:pPr>
            <w:r>
              <w:rPr>
                <w:rFonts w:ascii="Arial" w:cs="Arial" w:eastAsia="Arial" w:hAnsi="Arial"/>
                <w:sz w:val="18"/>
                <w:szCs w:val="18"/>
                <w:color w:val="auto"/>
              </w:rPr>
              <w:t>Selling, general and administrative</w:t>
            </w:r>
          </w:p>
        </w:tc>
        <w:tc>
          <w:tcPr>
            <w:tcW w:w="14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4,766</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4,607</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10,738</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10,960</w:t>
            </w:r>
          </w:p>
        </w:tc>
      </w:tr>
      <w:tr>
        <w:trPr>
          <w:trHeight w:val="20"/>
        </w:trPr>
        <w:tc>
          <w:tcPr>
            <w:tcW w:w="59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5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129,693</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149,621</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256,634</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299,105</w:t>
            </w:r>
          </w:p>
        </w:tc>
      </w:tr>
      <w:tr>
        <w:trPr>
          <w:trHeight w:val="20"/>
        </w:trPr>
        <w:tc>
          <w:tcPr>
            <w:tcW w:w="59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23"/>
        </w:trPr>
        <w:tc>
          <w:tcPr>
            <w:tcW w:w="5980" w:type="dxa"/>
            <w:vAlign w:val="bottom"/>
          </w:tcPr>
          <w:p>
            <w:pPr>
              <w:ind w:left="500"/>
              <w:spacing w:after="0"/>
              <w:rPr>
                <w:sz w:val="20"/>
                <w:szCs w:val="20"/>
                <w:color w:val="auto"/>
              </w:rPr>
            </w:pPr>
            <w:r>
              <w:rPr>
                <w:rFonts w:ascii="Arial" w:cs="Arial" w:eastAsia="Arial" w:hAnsi="Arial"/>
                <w:sz w:val="18"/>
                <w:szCs w:val="18"/>
                <w:color w:val="auto"/>
              </w:rPr>
              <w:t>EARNINGS FROM OPERATIONS</w:t>
            </w:r>
          </w:p>
        </w:tc>
        <w:tc>
          <w:tcPr>
            <w:tcW w:w="140" w:type="dxa"/>
            <w:vAlign w:val="bottom"/>
          </w:tcPr>
          <w:p>
            <w:pPr>
              <w:spacing w:after="0"/>
              <w:rPr>
                <w:sz w:val="19"/>
                <w:szCs w:val="19"/>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1,055</w:t>
            </w:r>
          </w:p>
        </w:tc>
        <w:tc>
          <w:tcPr>
            <w:tcW w:w="2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71</w:t>
            </w:r>
          </w:p>
        </w:tc>
        <w:tc>
          <w:tcPr>
            <w:tcW w:w="20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11,412</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12,390</w:t>
            </w:r>
          </w:p>
        </w:tc>
      </w:tr>
      <w:tr>
        <w:trPr>
          <w:trHeight w:val="216"/>
        </w:trPr>
        <w:tc>
          <w:tcPr>
            <w:tcW w:w="5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Gain on economic hedges of risk</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4,402</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3,749</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4,832</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6,504</w:t>
            </w:r>
          </w:p>
        </w:tc>
      </w:tr>
      <w:tr>
        <w:trPr>
          <w:trHeight w:val="216"/>
        </w:trPr>
        <w:tc>
          <w:tcPr>
            <w:tcW w:w="5980" w:type="dxa"/>
            <w:vAlign w:val="bottom"/>
          </w:tcPr>
          <w:p>
            <w:pPr>
              <w:ind w:left="340"/>
              <w:spacing w:after="0"/>
              <w:rPr>
                <w:sz w:val="20"/>
                <w:szCs w:val="20"/>
                <w:color w:val="auto"/>
              </w:rPr>
            </w:pPr>
            <w:r>
              <w:rPr>
                <w:rFonts w:ascii="Arial" w:cs="Arial" w:eastAsia="Arial" w:hAnsi="Arial"/>
                <w:sz w:val="18"/>
                <w:szCs w:val="18"/>
                <w:color w:val="auto"/>
              </w:rPr>
              <w:t>Interest expense</w:t>
            </w:r>
          </w:p>
        </w:tc>
        <w:tc>
          <w:tcPr>
            <w:tcW w:w="14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(805)</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(621)</w:t>
            </w:r>
          </w:p>
        </w:tc>
        <w:tc>
          <w:tcPr>
            <w:tcW w:w="20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(1,345)</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(1,051)</w:t>
            </w:r>
          </w:p>
        </w:tc>
      </w:tr>
      <w:tr>
        <w:trPr>
          <w:trHeight w:val="216"/>
        </w:trPr>
        <w:tc>
          <w:tcPr>
            <w:tcW w:w="5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income</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w:t>
            </w:r>
          </w:p>
        </w:tc>
      </w:tr>
      <w:tr>
        <w:trPr>
          <w:trHeight w:val="20"/>
        </w:trPr>
        <w:tc>
          <w:tcPr>
            <w:tcW w:w="59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5980" w:type="dxa"/>
            <w:vAlign w:val="bottom"/>
          </w:tcPr>
          <w:p>
            <w:pPr>
              <w:ind w:left="500"/>
              <w:spacing w:after="0"/>
              <w:rPr>
                <w:sz w:val="20"/>
                <w:szCs w:val="20"/>
                <w:color w:val="auto"/>
              </w:rPr>
            </w:pPr>
            <w:r>
              <w:rPr>
                <w:rFonts w:ascii="Arial" w:cs="Arial" w:eastAsia="Arial" w:hAnsi="Arial"/>
                <w:sz w:val="18"/>
                <w:szCs w:val="18"/>
                <w:color w:val="auto"/>
              </w:rPr>
              <w:t>EARNINGS BEFORE INCOME TAXES</w:t>
            </w:r>
          </w:p>
        </w:tc>
        <w:tc>
          <w:tcPr>
            <w:tcW w:w="14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4,662</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3,206</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14,915</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17,863</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Provision for (benefit from) income taxes:</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ind w:left="340"/>
              <w:spacing w:after="0"/>
              <w:rPr>
                <w:sz w:val="20"/>
                <w:szCs w:val="20"/>
                <w:color w:val="auto"/>
              </w:rPr>
            </w:pPr>
            <w:r>
              <w:rPr>
                <w:rFonts w:ascii="Arial" w:cs="Arial" w:eastAsia="Arial" w:hAnsi="Arial"/>
                <w:sz w:val="18"/>
                <w:szCs w:val="18"/>
                <w:color w:val="auto"/>
              </w:rPr>
              <w:t>Current</w:t>
            </w:r>
          </w:p>
        </w:tc>
        <w:tc>
          <w:tcPr>
            <w:tcW w:w="14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1,165</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750</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3,745</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4,238</w:t>
            </w:r>
          </w:p>
        </w:tc>
      </w:tr>
      <w:tr>
        <w:trPr>
          <w:trHeight w:val="216"/>
        </w:trPr>
        <w:tc>
          <w:tcPr>
            <w:tcW w:w="5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Deferred</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(33)</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w:t>
            </w:r>
          </w:p>
        </w:tc>
      </w:tr>
      <w:tr>
        <w:trPr>
          <w:trHeight w:val="20"/>
        </w:trPr>
        <w:tc>
          <w:tcPr>
            <w:tcW w:w="59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5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1,149</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735</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3,712</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4,208</w:t>
            </w:r>
          </w:p>
        </w:tc>
      </w:tr>
      <w:tr>
        <w:trPr>
          <w:trHeight w:val="20"/>
        </w:trPr>
        <w:tc>
          <w:tcPr>
            <w:tcW w:w="59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9"/>
        </w:trPr>
        <w:tc>
          <w:tcPr>
            <w:tcW w:w="5980" w:type="dxa"/>
            <w:vAlign w:val="bottom"/>
            <w:shd w:val="clear" w:color="auto" w:fill="CCEEFF"/>
          </w:tcPr>
          <w:p>
            <w:pPr>
              <w:ind w:left="500"/>
              <w:spacing w:after="0"/>
              <w:rPr>
                <w:sz w:val="20"/>
                <w:szCs w:val="20"/>
                <w:color w:val="auto"/>
              </w:rPr>
            </w:pPr>
            <w:r>
              <w:rPr>
                <w:rFonts w:ascii="Arial" w:cs="Arial" w:eastAsia="Arial" w:hAnsi="Arial"/>
                <w:sz w:val="18"/>
                <w:szCs w:val="18"/>
                <w:color w:val="auto"/>
              </w:rPr>
              <w:t>NET EARNINGS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3,513</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2,471</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11,203</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13,655</w:t>
            </w:r>
          </w:p>
        </w:tc>
      </w:tr>
      <w:tr>
        <w:trPr>
          <w:trHeight w:val="197"/>
        </w:trPr>
        <w:tc>
          <w:tcPr>
            <w:tcW w:w="598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Net earnings per share:</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ind w:left="340"/>
              <w:spacing w:after="0"/>
              <w:rPr>
                <w:sz w:val="20"/>
                <w:szCs w:val="20"/>
                <w:color w:val="auto"/>
              </w:rPr>
            </w:pPr>
            <w:r>
              <w:rPr>
                <w:rFonts w:ascii="Arial" w:cs="Arial" w:eastAsia="Arial" w:hAnsi="Arial"/>
                <w:sz w:val="18"/>
                <w:szCs w:val="18"/>
                <w:color w:val="auto"/>
              </w:rPr>
              <w:t>Basic</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0.48</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0.34</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1.52</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1.88</w:t>
            </w:r>
          </w:p>
        </w:tc>
      </w:tr>
      <w:tr>
        <w:trPr>
          <w:trHeight w:val="216"/>
        </w:trPr>
        <w:tc>
          <w:tcPr>
            <w:tcW w:w="5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Diluted</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0.48</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0.34</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1.52</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1.88</w:t>
            </w:r>
          </w:p>
        </w:tc>
      </w:tr>
      <w:tr>
        <w:trPr>
          <w:trHeight w:val="230"/>
        </w:trPr>
        <w:tc>
          <w:tcPr>
            <w:tcW w:w="5980" w:type="dxa"/>
            <w:vAlign w:val="bottom"/>
          </w:tcPr>
          <w:p>
            <w:pPr>
              <w:spacing w:after="0"/>
              <w:rPr>
                <w:sz w:val="20"/>
                <w:szCs w:val="20"/>
                <w:color w:val="auto"/>
              </w:rPr>
            </w:pPr>
            <w:r>
              <w:rPr>
                <w:rFonts w:ascii="Arial" w:cs="Arial" w:eastAsia="Arial" w:hAnsi="Arial"/>
                <w:sz w:val="18"/>
                <w:szCs w:val="18"/>
                <w:color w:val="auto"/>
              </w:rPr>
              <w:t>Cash dividends declared per common share</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0.02</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0.02</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0.04</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0.04</w:t>
            </w:r>
          </w:p>
        </w:tc>
      </w:tr>
    </w:tbl>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 — UNAUDITED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580" w:type="dxa"/>
            <w:vAlign w:val="bottom"/>
            <w:gridSpan w:val="5"/>
          </w:tcPr>
          <w:p>
            <w:pPr>
              <w:jc w:val="right"/>
              <w:ind w:right="400"/>
              <w:spacing w:after="0"/>
              <w:rPr>
                <w:sz w:val="20"/>
                <w:szCs w:val="20"/>
                <w:color w:val="auto"/>
              </w:rPr>
            </w:pPr>
            <w:r>
              <w:rPr>
                <w:rFonts w:ascii="Arial" w:cs="Arial" w:eastAsia="Arial" w:hAnsi="Arial"/>
                <w:sz w:val="18"/>
                <w:szCs w:val="18"/>
                <w:b w:val="1"/>
                <w:bCs w:val="1"/>
                <w:color w:val="auto"/>
              </w:rPr>
              <w:t>THREE MONTHS ENDED</w:t>
            </w:r>
          </w:p>
        </w:tc>
        <w:tc>
          <w:tcPr>
            <w:tcW w:w="200" w:type="dxa"/>
            <w:vAlign w:val="bottom"/>
          </w:tcPr>
          <w:p>
            <w:pPr>
              <w:spacing w:after="0"/>
              <w:rPr>
                <w:sz w:val="18"/>
                <w:szCs w:val="18"/>
                <w:color w:val="auto"/>
              </w:rPr>
            </w:pPr>
          </w:p>
        </w:tc>
        <w:tc>
          <w:tcPr>
            <w:tcW w:w="2340" w:type="dxa"/>
            <w:vAlign w:val="bottom"/>
            <w:gridSpan w:val="5"/>
          </w:tcPr>
          <w:p>
            <w:pPr>
              <w:jc w:val="center"/>
              <w:ind w:right="320"/>
              <w:spacing w:after="0"/>
              <w:rPr>
                <w:sz w:val="20"/>
                <w:szCs w:val="20"/>
                <w:color w:val="auto"/>
              </w:rPr>
            </w:pPr>
            <w:r>
              <w:rPr>
                <w:rFonts w:ascii="Arial" w:cs="Arial" w:eastAsia="Arial" w:hAnsi="Arial"/>
                <w:sz w:val="18"/>
                <w:szCs w:val="18"/>
                <w:b w:val="1"/>
                <w:bCs w:val="1"/>
                <w:color w:val="auto"/>
              </w:rPr>
              <w:t>SIX MONTHS ENDED</w:t>
            </w:r>
          </w:p>
        </w:tc>
      </w:tr>
      <w:tr>
        <w:trPr>
          <w:trHeight w:val="234"/>
        </w:trPr>
        <w:tc>
          <w:tcPr>
            <w:tcW w:w="5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580" w:type="dxa"/>
            <w:vAlign w:val="bottom"/>
            <w:gridSpan w:val="5"/>
          </w:tcPr>
          <w:p>
            <w:pPr>
              <w:jc w:val="right"/>
              <w:ind w:right="780"/>
              <w:spacing w:after="0"/>
              <w:rPr>
                <w:sz w:val="20"/>
                <w:szCs w:val="20"/>
                <w:color w:val="auto"/>
              </w:rPr>
            </w:pPr>
            <w:r>
              <w:rPr>
                <w:rFonts w:ascii="Arial" w:cs="Arial" w:eastAsia="Arial" w:hAnsi="Arial"/>
                <w:sz w:val="18"/>
                <w:szCs w:val="18"/>
                <w:b w:val="1"/>
                <w:bCs w:val="1"/>
                <w:color w:val="auto"/>
              </w:rPr>
              <w:t>SEPTEMBER 30,</w:t>
            </w:r>
          </w:p>
        </w:tc>
        <w:tc>
          <w:tcPr>
            <w:tcW w:w="200" w:type="dxa"/>
            <w:vAlign w:val="bottom"/>
          </w:tcPr>
          <w:p>
            <w:pPr>
              <w:spacing w:after="0"/>
              <w:rPr>
                <w:sz w:val="20"/>
                <w:szCs w:val="20"/>
                <w:color w:val="auto"/>
              </w:rPr>
            </w:pPr>
          </w:p>
        </w:tc>
        <w:tc>
          <w:tcPr>
            <w:tcW w:w="2340" w:type="dxa"/>
            <w:vAlign w:val="bottom"/>
            <w:gridSpan w:val="5"/>
          </w:tcPr>
          <w:p>
            <w:pPr>
              <w:jc w:val="center"/>
              <w:ind w:right="320"/>
              <w:spacing w:after="0"/>
              <w:rPr>
                <w:sz w:val="20"/>
                <w:szCs w:val="20"/>
                <w:color w:val="auto"/>
              </w:rPr>
            </w:pPr>
            <w:r>
              <w:rPr>
                <w:rFonts w:ascii="Arial" w:cs="Arial" w:eastAsia="Arial" w:hAnsi="Arial"/>
                <w:sz w:val="18"/>
                <w:szCs w:val="18"/>
                <w:b w:val="1"/>
                <w:bCs w:val="1"/>
                <w:color w:val="auto"/>
                <w:w w:val="97"/>
              </w:rPr>
              <w:t>SEPTEMBER 30,</w:t>
            </w:r>
          </w:p>
        </w:tc>
      </w:tr>
      <w:tr>
        <w:trPr>
          <w:trHeight w:val="210"/>
        </w:trPr>
        <w:tc>
          <w:tcPr>
            <w:tcW w:w="598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2023</w:t>
            </w:r>
          </w:p>
        </w:tc>
        <w:tc>
          <w:tcPr>
            <w:tcW w:w="26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2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2023</w:t>
            </w:r>
          </w:p>
        </w:tc>
        <w:tc>
          <w:tcPr>
            <w:tcW w:w="22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8"/>
                <w:szCs w:val="18"/>
                <w:color w:val="auto"/>
              </w:rPr>
            </w:pPr>
          </w:p>
        </w:tc>
      </w:tr>
      <w:tr>
        <w:trPr>
          <w:trHeight w:val="210"/>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Net earnings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3,513</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2,471</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11,203</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13,655</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Other comprehensive income:</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flow hedges, net of tax</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1,578</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317</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8,752</w:t>
            </w:r>
          </w:p>
        </w:tc>
      </w:tr>
      <w:tr>
        <w:trPr>
          <w:trHeight w:val="20"/>
        </w:trPr>
        <w:tc>
          <w:tcPr>
            <w:tcW w:w="59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5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1,578</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317</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8,752</w:t>
            </w:r>
          </w:p>
        </w:tc>
      </w:tr>
      <w:tr>
        <w:trPr>
          <w:trHeight w:val="20"/>
        </w:trPr>
        <w:tc>
          <w:tcPr>
            <w:tcW w:w="59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5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Comprehensive income</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3,513</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4,049</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11,520</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22,407</w:t>
            </w:r>
          </w:p>
        </w:tc>
      </w:tr>
      <w:tr>
        <w:trPr>
          <w:trHeight w:val="20"/>
        </w:trPr>
        <w:tc>
          <w:tcPr>
            <w:tcW w:w="59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jc w:val="right"/>
        <w:ind w:right="5580"/>
        <w:spacing w:after="0"/>
        <w:rPr>
          <w:sz w:val="20"/>
          <w:szCs w:val="20"/>
          <w:color w:val="auto"/>
        </w:rPr>
      </w:pPr>
      <w:r>
        <w:rPr>
          <w:rFonts w:ascii="Arial" w:cs="Arial" w:eastAsia="Arial" w:hAnsi="Arial"/>
          <w:sz w:val="17"/>
          <w:szCs w:val="17"/>
          <w:color w:val="auto"/>
        </w:rPr>
        <w:t>The accompanying notes are an integral part of these financial statements.</w:t>
      </w:r>
    </w:p>
    <w:p>
      <w:pPr>
        <w:spacing w:after="0" w:line="237" w:lineRule="exact"/>
        <w:rPr>
          <w:sz w:val="20"/>
          <w:szCs w:val="20"/>
          <w:color w:val="auto"/>
        </w:rPr>
      </w:pPr>
    </w:p>
    <w:p>
      <w:pPr>
        <w:jc w:val="right"/>
        <w:ind w:right="558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FRIEDMAN INDUSTRIES, INCORPORATED</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 — UNAUDITED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0" w:type="dxa"/>
            <w:vAlign w:val="bottom"/>
          </w:tcPr>
          <w:p>
            <w:pPr>
              <w:spacing w:after="0"/>
              <w:rPr>
                <w:sz w:val="18"/>
                <w:szCs w:val="18"/>
                <w:color w:val="auto"/>
              </w:rPr>
            </w:pPr>
          </w:p>
        </w:tc>
        <w:tc>
          <w:tcPr>
            <w:tcW w:w="3240" w:type="dxa"/>
            <w:vAlign w:val="bottom"/>
            <w:gridSpan w:val="6"/>
          </w:tcPr>
          <w:p>
            <w:pPr>
              <w:jc w:val="right"/>
              <w:ind w:right="180"/>
              <w:spacing w:after="0"/>
              <w:rPr>
                <w:sz w:val="20"/>
                <w:szCs w:val="20"/>
                <w:color w:val="auto"/>
              </w:rPr>
            </w:pPr>
            <w:r>
              <w:rPr>
                <w:rFonts w:ascii="Arial" w:cs="Arial" w:eastAsia="Arial" w:hAnsi="Arial"/>
                <w:sz w:val="18"/>
                <w:szCs w:val="18"/>
                <w:b w:val="1"/>
                <w:bCs w:val="1"/>
                <w:color w:val="auto"/>
              </w:rPr>
              <w:t>SIX MONTHS ENDED SEPTEMBER</w:t>
            </w:r>
          </w:p>
        </w:tc>
      </w:tr>
      <w:tr>
        <w:trPr>
          <w:trHeight w:val="234"/>
        </w:trPr>
        <w:tc>
          <w:tcPr>
            <w:tcW w:w="8000" w:type="dxa"/>
            <w:vAlign w:val="bottom"/>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30,</w:t>
            </w: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8000" w:type="dxa"/>
            <w:vAlign w:val="bottom"/>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2023</w:t>
            </w:r>
          </w:p>
        </w:tc>
        <w:tc>
          <w:tcPr>
            <w:tcW w:w="56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8"/>
                <w:szCs w:val="18"/>
                <w:color w:val="auto"/>
              </w:rPr>
            </w:pPr>
          </w:p>
        </w:tc>
      </w:tr>
      <w:tr>
        <w:trPr>
          <w:trHeight w:val="209"/>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OPERATING ACTIVITIES</w:t>
            </w: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500"/>
              <w:spacing w:after="0"/>
              <w:rPr>
                <w:sz w:val="20"/>
                <w:szCs w:val="20"/>
                <w:color w:val="auto"/>
              </w:rPr>
            </w:pPr>
            <w:r>
              <w:rPr>
                <w:rFonts w:ascii="Arial" w:cs="Arial" w:eastAsia="Arial" w:hAnsi="Arial"/>
                <w:sz w:val="18"/>
                <w:szCs w:val="18"/>
                <w:color w:val="auto"/>
              </w:rPr>
              <w:t>Net earnings</w:t>
            </w:r>
          </w:p>
        </w:tc>
        <w:tc>
          <w:tcPr>
            <w:tcW w:w="920" w:type="dxa"/>
            <w:vAlign w:val="bottom"/>
          </w:tcPr>
          <w:p>
            <w:pPr>
              <w:jc w:val="right"/>
              <w:ind w:right="730"/>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w w:val="98"/>
              </w:rPr>
              <w:t>11,203</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13,655</w:t>
            </w:r>
          </w:p>
        </w:tc>
      </w:tr>
      <w:tr>
        <w:trPr>
          <w:trHeight w:val="216"/>
        </w:trPr>
        <w:tc>
          <w:tcPr>
            <w:tcW w:w="80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Adjustments to reconcile net earnings to cash provided by (used in) operating activities:</w:t>
            </w: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980"/>
              <w:spacing w:after="0"/>
              <w:rPr>
                <w:sz w:val="20"/>
                <w:szCs w:val="20"/>
                <w:color w:val="auto"/>
              </w:rPr>
            </w:pPr>
            <w:r>
              <w:rPr>
                <w:rFonts w:ascii="Arial" w:cs="Arial" w:eastAsia="Arial" w:hAnsi="Arial"/>
                <w:sz w:val="18"/>
                <w:szCs w:val="18"/>
                <w:color w:val="auto"/>
              </w:rPr>
              <w:t>Depreciation and amortization</w:t>
            </w:r>
          </w:p>
        </w:tc>
        <w:tc>
          <w:tcPr>
            <w:tcW w:w="92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1,531</w:t>
            </w: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1,173</w:t>
            </w:r>
          </w:p>
        </w:tc>
      </w:tr>
      <w:tr>
        <w:trPr>
          <w:trHeight w:val="216"/>
        </w:trPr>
        <w:tc>
          <w:tcPr>
            <w:tcW w:w="8000" w:type="dxa"/>
            <w:vAlign w:val="bottom"/>
            <w:shd w:val="clear" w:color="auto" w:fill="CCEEFF"/>
          </w:tcPr>
          <w:p>
            <w:pPr>
              <w:ind w:left="980"/>
              <w:spacing w:after="0"/>
              <w:rPr>
                <w:sz w:val="20"/>
                <w:szCs w:val="20"/>
                <w:color w:val="auto"/>
              </w:rPr>
            </w:pPr>
            <w:r>
              <w:rPr>
                <w:rFonts w:ascii="Arial" w:cs="Arial" w:eastAsia="Arial" w:hAnsi="Arial"/>
                <w:sz w:val="18"/>
                <w:szCs w:val="18"/>
                <w:color w:val="auto"/>
              </w:rPr>
              <w:t>Deferred taxes</w:t>
            </w:r>
          </w:p>
        </w:tc>
        <w:tc>
          <w:tcPr>
            <w:tcW w:w="9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(33)</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w:t>
            </w:r>
          </w:p>
        </w:tc>
      </w:tr>
      <w:tr>
        <w:trPr>
          <w:trHeight w:val="216"/>
        </w:trPr>
        <w:tc>
          <w:tcPr>
            <w:tcW w:w="8000" w:type="dxa"/>
            <w:vAlign w:val="bottom"/>
          </w:tcPr>
          <w:p>
            <w:pPr>
              <w:ind w:left="980"/>
              <w:spacing w:after="0"/>
              <w:rPr>
                <w:sz w:val="20"/>
                <w:szCs w:val="20"/>
                <w:color w:val="auto"/>
              </w:rPr>
            </w:pPr>
            <w:r>
              <w:rPr>
                <w:rFonts w:ascii="Arial" w:cs="Arial" w:eastAsia="Arial" w:hAnsi="Arial"/>
                <w:sz w:val="18"/>
                <w:szCs w:val="18"/>
                <w:color w:val="auto"/>
              </w:rPr>
              <w:t>Compensation expense for restricted stock</w:t>
            </w:r>
          </w:p>
        </w:tc>
        <w:tc>
          <w:tcPr>
            <w:tcW w:w="92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156</w:t>
            </w: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146</w:t>
            </w:r>
          </w:p>
        </w:tc>
      </w:tr>
      <w:tr>
        <w:trPr>
          <w:trHeight w:val="216"/>
        </w:trPr>
        <w:tc>
          <w:tcPr>
            <w:tcW w:w="8000" w:type="dxa"/>
            <w:vAlign w:val="bottom"/>
            <w:shd w:val="clear" w:color="auto" w:fill="CCEEFF"/>
          </w:tcPr>
          <w:p>
            <w:pPr>
              <w:ind w:left="980"/>
              <w:spacing w:after="0"/>
              <w:rPr>
                <w:sz w:val="20"/>
                <w:szCs w:val="20"/>
                <w:color w:val="auto"/>
              </w:rPr>
            </w:pPr>
            <w:r>
              <w:rPr>
                <w:rFonts w:ascii="Arial" w:cs="Arial" w:eastAsia="Arial" w:hAnsi="Arial"/>
                <w:sz w:val="18"/>
                <w:szCs w:val="18"/>
                <w:color w:val="auto"/>
              </w:rPr>
              <w:t>Change in postretirement benefits</w:t>
            </w:r>
          </w:p>
        </w:tc>
        <w:tc>
          <w:tcPr>
            <w:tcW w:w="9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w:t>
            </w:r>
          </w:p>
        </w:tc>
      </w:tr>
      <w:tr>
        <w:trPr>
          <w:trHeight w:val="216"/>
        </w:trPr>
        <w:tc>
          <w:tcPr>
            <w:tcW w:w="8000" w:type="dxa"/>
            <w:vAlign w:val="bottom"/>
          </w:tcPr>
          <w:p>
            <w:pPr>
              <w:ind w:left="980"/>
              <w:spacing w:after="0"/>
              <w:rPr>
                <w:sz w:val="20"/>
                <w:szCs w:val="20"/>
                <w:color w:val="auto"/>
              </w:rPr>
            </w:pPr>
            <w:r>
              <w:rPr>
                <w:rFonts w:ascii="Arial" w:cs="Arial" w:eastAsia="Arial" w:hAnsi="Arial"/>
                <w:sz w:val="18"/>
                <w:szCs w:val="18"/>
                <w:color w:val="auto"/>
              </w:rPr>
              <w:t>Gain recognized on open derivatives not designated for hedge accounting</w:t>
            </w:r>
          </w:p>
        </w:tc>
        <w:tc>
          <w:tcPr>
            <w:tcW w:w="92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(1,969)</w:t>
            </w: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(1,073)</w:t>
            </w:r>
          </w:p>
        </w:tc>
      </w:tr>
      <w:tr>
        <w:trPr>
          <w:trHeight w:val="216"/>
        </w:trPr>
        <w:tc>
          <w:tcPr>
            <w:tcW w:w="8000" w:type="dxa"/>
            <w:vAlign w:val="bottom"/>
            <w:shd w:val="clear" w:color="auto" w:fill="CCEEFF"/>
          </w:tcPr>
          <w:p>
            <w:pPr>
              <w:ind w:left="980"/>
              <w:spacing w:after="0"/>
              <w:rPr>
                <w:sz w:val="20"/>
                <w:szCs w:val="20"/>
                <w:color w:val="auto"/>
              </w:rPr>
            </w:pPr>
            <w:r>
              <w:rPr>
                <w:rFonts w:ascii="Arial" w:cs="Arial" w:eastAsia="Arial" w:hAnsi="Arial"/>
                <w:sz w:val="18"/>
                <w:szCs w:val="18"/>
                <w:color w:val="auto"/>
              </w:rPr>
              <w:t>Deferred realized gain on derivatives</w:t>
            </w:r>
          </w:p>
        </w:tc>
        <w:tc>
          <w:tcPr>
            <w:tcW w:w="9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418</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1,552</w:t>
            </w:r>
          </w:p>
        </w:tc>
      </w:tr>
      <w:tr>
        <w:trPr>
          <w:trHeight w:val="216"/>
        </w:trPr>
        <w:tc>
          <w:tcPr>
            <w:tcW w:w="8000" w:type="dxa"/>
            <w:vAlign w:val="bottom"/>
          </w:tcPr>
          <w:p>
            <w:pPr>
              <w:ind w:left="500"/>
              <w:spacing w:after="0"/>
              <w:rPr>
                <w:sz w:val="20"/>
                <w:szCs w:val="20"/>
                <w:color w:val="auto"/>
              </w:rPr>
            </w:pPr>
            <w:r>
              <w:rPr>
                <w:rFonts w:ascii="Arial" w:cs="Arial" w:eastAsia="Arial" w:hAnsi="Arial"/>
                <w:sz w:val="18"/>
                <w:szCs w:val="18"/>
                <w:color w:val="auto"/>
              </w:rPr>
              <w:t>Decrease (increase) in operating assets, net of amounts acquired in business combination:</w:t>
            </w:r>
          </w:p>
        </w:tc>
        <w:tc>
          <w:tcPr>
            <w:tcW w:w="9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ind w:left="980"/>
              <w:spacing w:after="0"/>
              <w:rPr>
                <w:sz w:val="20"/>
                <w:szCs w:val="20"/>
                <w:color w:val="auto"/>
              </w:rPr>
            </w:pPr>
            <w:r>
              <w:rPr>
                <w:rFonts w:ascii="Arial" w:cs="Arial" w:eastAsia="Arial" w:hAnsi="Arial"/>
                <w:sz w:val="18"/>
                <w:szCs w:val="18"/>
                <w:color w:val="auto"/>
              </w:rPr>
              <w:t>Accounts receivable</w:t>
            </w:r>
          </w:p>
        </w:tc>
        <w:tc>
          <w:tcPr>
            <w:tcW w:w="9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(2,958)</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(18,272)</w:t>
            </w:r>
          </w:p>
        </w:tc>
      </w:tr>
      <w:tr>
        <w:trPr>
          <w:trHeight w:val="216"/>
        </w:trPr>
        <w:tc>
          <w:tcPr>
            <w:tcW w:w="8000" w:type="dxa"/>
            <w:vAlign w:val="bottom"/>
          </w:tcPr>
          <w:p>
            <w:pPr>
              <w:ind w:left="980"/>
              <w:spacing w:after="0"/>
              <w:rPr>
                <w:sz w:val="20"/>
                <w:szCs w:val="20"/>
                <w:color w:val="auto"/>
              </w:rPr>
            </w:pPr>
            <w:r>
              <w:rPr>
                <w:rFonts w:ascii="Arial" w:cs="Arial" w:eastAsia="Arial" w:hAnsi="Arial"/>
                <w:sz w:val="18"/>
                <w:szCs w:val="18"/>
                <w:color w:val="auto"/>
              </w:rPr>
              <w:t>Inventories</w:t>
            </w:r>
          </w:p>
        </w:tc>
        <w:tc>
          <w:tcPr>
            <w:tcW w:w="92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w w:val="89"/>
              </w:rPr>
              <w:t>(18,256)</w:t>
            </w: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56,899</w:t>
            </w:r>
          </w:p>
        </w:tc>
      </w:tr>
      <w:tr>
        <w:trPr>
          <w:trHeight w:val="216"/>
        </w:trPr>
        <w:tc>
          <w:tcPr>
            <w:tcW w:w="8000" w:type="dxa"/>
            <w:vAlign w:val="bottom"/>
            <w:shd w:val="clear" w:color="auto" w:fill="CCEEFF"/>
          </w:tcPr>
          <w:p>
            <w:pPr>
              <w:ind w:left="980"/>
              <w:spacing w:after="0"/>
              <w:rPr>
                <w:sz w:val="20"/>
                <w:szCs w:val="20"/>
                <w:color w:val="auto"/>
              </w:rPr>
            </w:pPr>
            <w:r>
              <w:rPr>
                <w:rFonts w:ascii="Arial" w:cs="Arial" w:eastAsia="Arial" w:hAnsi="Arial"/>
                <w:sz w:val="18"/>
                <w:szCs w:val="18"/>
                <w:color w:val="auto"/>
              </w:rPr>
              <w:t>Federal income taxes recoverable</w:t>
            </w:r>
          </w:p>
        </w:tc>
        <w:tc>
          <w:tcPr>
            <w:tcW w:w="9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1,403</w:t>
            </w:r>
          </w:p>
        </w:tc>
      </w:tr>
      <w:tr>
        <w:trPr>
          <w:trHeight w:val="216"/>
        </w:trPr>
        <w:tc>
          <w:tcPr>
            <w:tcW w:w="8000" w:type="dxa"/>
            <w:vAlign w:val="bottom"/>
          </w:tcPr>
          <w:p>
            <w:pPr>
              <w:ind w:left="980"/>
              <w:spacing w:after="0"/>
              <w:rPr>
                <w:sz w:val="20"/>
                <w:szCs w:val="20"/>
                <w:color w:val="auto"/>
              </w:rPr>
            </w:pPr>
            <w:r>
              <w:rPr>
                <w:rFonts w:ascii="Arial" w:cs="Arial" w:eastAsia="Arial" w:hAnsi="Arial"/>
                <w:sz w:val="18"/>
                <w:szCs w:val="18"/>
                <w:color w:val="auto"/>
              </w:rPr>
              <w:t>Other current assets</w:t>
            </w:r>
          </w:p>
        </w:tc>
        <w:tc>
          <w:tcPr>
            <w:tcW w:w="92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(2,369)</w:t>
            </w: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304</w:t>
            </w:r>
          </w:p>
        </w:tc>
      </w:tr>
      <w:tr>
        <w:trPr>
          <w:trHeight w:val="216"/>
        </w:trPr>
        <w:tc>
          <w:tcPr>
            <w:tcW w:w="80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Increase (decrease) in operating liabilities, net of amounts acquired in business combination:</w:t>
            </w: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980"/>
              <w:spacing w:after="0"/>
              <w:rPr>
                <w:sz w:val="20"/>
                <w:szCs w:val="20"/>
                <w:color w:val="auto"/>
              </w:rPr>
            </w:pPr>
            <w:r>
              <w:rPr>
                <w:rFonts w:ascii="Arial" w:cs="Arial" w:eastAsia="Arial" w:hAnsi="Arial"/>
                <w:sz w:val="18"/>
                <w:szCs w:val="18"/>
                <w:color w:val="auto"/>
              </w:rPr>
              <w:t>Accounts payable and accrued expenses</w:t>
            </w:r>
          </w:p>
        </w:tc>
        <w:tc>
          <w:tcPr>
            <w:tcW w:w="92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(7,411)</w:t>
            </w: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(6,022)</w:t>
            </w:r>
          </w:p>
        </w:tc>
      </w:tr>
      <w:tr>
        <w:trPr>
          <w:trHeight w:val="216"/>
        </w:trPr>
        <w:tc>
          <w:tcPr>
            <w:tcW w:w="8000" w:type="dxa"/>
            <w:vAlign w:val="bottom"/>
            <w:shd w:val="clear" w:color="auto" w:fill="CCEEFF"/>
          </w:tcPr>
          <w:p>
            <w:pPr>
              <w:ind w:left="980"/>
              <w:spacing w:after="0"/>
              <w:rPr>
                <w:sz w:val="20"/>
                <w:szCs w:val="20"/>
                <w:color w:val="auto"/>
              </w:rPr>
            </w:pPr>
            <w:r>
              <w:rPr>
                <w:rFonts w:ascii="Arial" w:cs="Arial" w:eastAsia="Arial" w:hAnsi="Arial"/>
                <w:sz w:val="18"/>
                <w:szCs w:val="18"/>
                <w:color w:val="auto"/>
              </w:rPr>
              <w:t>Income taxes payable</w:t>
            </w:r>
          </w:p>
        </w:tc>
        <w:tc>
          <w:tcPr>
            <w:tcW w:w="9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1,128</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2,241</w:t>
            </w:r>
          </w:p>
        </w:tc>
      </w:tr>
      <w:tr>
        <w:trPr>
          <w:trHeight w:val="216"/>
        </w:trPr>
        <w:tc>
          <w:tcPr>
            <w:tcW w:w="8000" w:type="dxa"/>
            <w:vAlign w:val="bottom"/>
          </w:tcPr>
          <w:p>
            <w:pPr>
              <w:ind w:left="980"/>
              <w:spacing w:after="0"/>
              <w:rPr>
                <w:sz w:val="20"/>
                <w:szCs w:val="20"/>
                <w:color w:val="auto"/>
              </w:rPr>
            </w:pPr>
            <w:r>
              <w:rPr>
                <w:rFonts w:ascii="Arial" w:cs="Arial" w:eastAsia="Arial" w:hAnsi="Arial"/>
                <w:sz w:val="18"/>
                <w:szCs w:val="18"/>
                <w:color w:val="auto"/>
              </w:rPr>
              <w:t>Contribution to retirement plan</w:t>
            </w:r>
          </w:p>
        </w:tc>
        <w:tc>
          <w:tcPr>
            <w:tcW w:w="92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(350)</w:t>
            </w: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13</w:t>
            </w:r>
          </w:p>
        </w:tc>
      </w:tr>
      <w:tr>
        <w:trPr>
          <w:trHeight w:val="216"/>
        </w:trPr>
        <w:tc>
          <w:tcPr>
            <w:tcW w:w="8000" w:type="dxa"/>
            <w:vAlign w:val="bottom"/>
            <w:shd w:val="clear" w:color="auto" w:fill="CCEEFF"/>
          </w:tcPr>
          <w:p>
            <w:pPr>
              <w:ind w:left="980"/>
              <w:spacing w:after="0"/>
              <w:rPr>
                <w:sz w:val="20"/>
                <w:szCs w:val="20"/>
                <w:color w:val="auto"/>
              </w:rPr>
            </w:pPr>
            <w:r>
              <w:rPr>
                <w:rFonts w:ascii="Arial" w:cs="Arial" w:eastAsia="Arial" w:hAnsi="Arial"/>
                <w:sz w:val="18"/>
                <w:szCs w:val="18"/>
                <w:color w:val="auto"/>
              </w:rPr>
              <w:t>Employee compensation and related expenses</w:t>
            </w:r>
          </w:p>
        </w:tc>
        <w:tc>
          <w:tcPr>
            <w:tcW w:w="9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(1,330)</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2,657</w:t>
            </w:r>
          </w:p>
        </w:tc>
      </w:tr>
      <w:tr>
        <w:trPr>
          <w:trHeight w:val="20"/>
        </w:trPr>
        <w:tc>
          <w:tcPr>
            <w:tcW w:w="8000" w:type="dxa"/>
            <w:vAlign w:val="bottom"/>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8000" w:type="dxa"/>
            <w:vAlign w:val="bottom"/>
          </w:tcPr>
          <w:p>
            <w:pPr>
              <w:ind w:left="1460"/>
              <w:spacing w:after="0"/>
              <w:rPr>
                <w:sz w:val="20"/>
                <w:szCs w:val="20"/>
                <w:color w:val="auto"/>
              </w:rPr>
            </w:pPr>
            <w:r>
              <w:rPr>
                <w:rFonts w:ascii="Arial" w:cs="Arial" w:eastAsia="Arial" w:hAnsi="Arial"/>
                <w:sz w:val="18"/>
                <w:szCs w:val="18"/>
                <w:color w:val="auto"/>
              </w:rPr>
              <w:t>NET CASH PROVIDED BY (USED IN) OPERATING ACTIVITIES</w:t>
            </w:r>
          </w:p>
        </w:tc>
        <w:tc>
          <w:tcPr>
            <w:tcW w:w="92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w w:val="89"/>
              </w:rPr>
              <w:t>(20,236)</w:t>
            </w: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54,650</w:t>
            </w: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INVESTING ACTIVITIES</w:t>
            </w: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500"/>
              <w:spacing w:after="0"/>
              <w:rPr>
                <w:sz w:val="20"/>
                <w:szCs w:val="20"/>
                <w:color w:val="auto"/>
              </w:rPr>
            </w:pPr>
            <w:r>
              <w:rPr>
                <w:rFonts w:ascii="Arial" w:cs="Arial" w:eastAsia="Arial" w:hAnsi="Arial"/>
                <w:sz w:val="18"/>
                <w:szCs w:val="18"/>
                <w:color w:val="auto"/>
              </w:rPr>
              <w:t>Plateplus business combination</w:t>
            </w:r>
          </w:p>
        </w:tc>
        <w:tc>
          <w:tcPr>
            <w:tcW w:w="92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(71,720)</w:t>
            </w:r>
          </w:p>
        </w:tc>
      </w:tr>
      <w:tr>
        <w:trPr>
          <w:trHeight w:val="216"/>
        </w:trPr>
        <w:tc>
          <w:tcPr>
            <w:tcW w:w="80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Purchase of property, plant and equipment</w:t>
            </w:r>
          </w:p>
        </w:tc>
        <w:tc>
          <w:tcPr>
            <w:tcW w:w="9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(2,883)</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(7,194)</w:t>
            </w:r>
          </w:p>
        </w:tc>
      </w:tr>
      <w:tr>
        <w:trPr>
          <w:trHeight w:val="216"/>
        </w:trPr>
        <w:tc>
          <w:tcPr>
            <w:tcW w:w="8000" w:type="dxa"/>
            <w:vAlign w:val="bottom"/>
          </w:tcPr>
          <w:p>
            <w:pPr>
              <w:ind w:left="500"/>
              <w:spacing w:after="0"/>
              <w:rPr>
                <w:sz w:val="20"/>
                <w:szCs w:val="20"/>
                <w:color w:val="auto"/>
              </w:rPr>
            </w:pPr>
            <w:r>
              <w:rPr>
                <w:rFonts w:ascii="Arial" w:cs="Arial" w:eastAsia="Arial" w:hAnsi="Arial"/>
                <w:sz w:val="18"/>
                <w:szCs w:val="18"/>
                <w:color w:val="auto"/>
              </w:rPr>
              <w:t>Increase in cash surrender value of officers’ life insurance</w:t>
            </w:r>
          </w:p>
        </w:tc>
        <w:tc>
          <w:tcPr>
            <w:tcW w:w="92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(7)</w:t>
            </w: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(7)</w:t>
            </w:r>
          </w:p>
        </w:tc>
      </w:tr>
      <w:tr>
        <w:trPr>
          <w:trHeight w:val="20"/>
        </w:trPr>
        <w:tc>
          <w:tcPr>
            <w:tcW w:w="80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8000" w:type="dxa"/>
            <w:vAlign w:val="bottom"/>
            <w:shd w:val="clear" w:color="auto" w:fill="CCEEFF"/>
          </w:tcPr>
          <w:p>
            <w:pPr>
              <w:ind w:left="980"/>
              <w:spacing w:after="0"/>
              <w:rPr>
                <w:sz w:val="20"/>
                <w:szCs w:val="20"/>
                <w:color w:val="auto"/>
              </w:rPr>
            </w:pPr>
            <w:r>
              <w:rPr>
                <w:rFonts w:ascii="Arial" w:cs="Arial" w:eastAsia="Arial" w:hAnsi="Arial"/>
                <w:sz w:val="18"/>
                <w:szCs w:val="18"/>
                <w:color w:val="auto"/>
              </w:rPr>
              <w:t>NET CASH USED IN INVESTING ACTIVITIES</w:t>
            </w:r>
          </w:p>
        </w:tc>
        <w:tc>
          <w:tcPr>
            <w:tcW w:w="9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(2,890)</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(78,921)</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FINANCING ACTIVITIES</w:t>
            </w:r>
          </w:p>
        </w:tc>
        <w:tc>
          <w:tcPr>
            <w:tcW w:w="9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Debt issuance cost</w:t>
            </w:r>
          </w:p>
        </w:tc>
        <w:tc>
          <w:tcPr>
            <w:tcW w:w="9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(394)</w:t>
            </w:r>
          </w:p>
        </w:tc>
      </w:tr>
      <w:tr>
        <w:trPr>
          <w:trHeight w:val="216"/>
        </w:trPr>
        <w:tc>
          <w:tcPr>
            <w:tcW w:w="8000" w:type="dxa"/>
            <w:vAlign w:val="bottom"/>
          </w:tcPr>
          <w:p>
            <w:pPr>
              <w:ind w:left="500"/>
              <w:spacing w:after="0"/>
              <w:rPr>
                <w:sz w:val="20"/>
                <w:szCs w:val="20"/>
                <w:color w:val="auto"/>
              </w:rPr>
            </w:pPr>
            <w:r>
              <w:rPr>
                <w:rFonts w:ascii="Arial" w:cs="Arial" w:eastAsia="Arial" w:hAnsi="Arial"/>
                <w:sz w:val="18"/>
                <w:szCs w:val="18"/>
                <w:color w:val="auto"/>
              </w:rPr>
              <w:t>Cash dividends paid</w:t>
            </w:r>
          </w:p>
        </w:tc>
        <w:tc>
          <w:tcPr>
            <w:tcW w:w="92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(295)</w:t>
            </w: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(295)</w:t>
            </w:r>
          </w:p>
        </w:tc>
      </w:tr>
      <w:tr>
        <w:trPr>
          <w:trHeight w:val="216"/>
        </w:trPr>
        <w:tc>
          <w:tcPr>
            <w:tcW w:w="80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Cash paid for principal portion of finance lease</w:t>
            </w:r>
          </w:p>
        </w:tc>
        <w:tc>
          <w:tcPr>
            <w:tcW w:w="9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(53)</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(52)</w:t>
            </w:r>
          </w:p>
        </w:tc>
      </w:tr>
      <w:tr>
        <w:trPr>
          <w:trHeight w:val="216"/>
        </w:trPr>
        <w:tc>
          <w:tcPr>
            <w:tcW w:w="8000" w:type="dxa"/>
            <w:vAlign w:val="bottom"/>
          </w:tcPr>
          <w:p>
            <w:pPr>
              <w:ind w:left="500"/>
              <w:spacing w:after="0"/>
              <w:rPr>
                <w:sz w:val="20"/>
                <w:szCs w:val="20"/>
                <w:color w:val="auto"/>
              </w:rPr>
            </w:pPr>
            <w:r>
              <w:rPr>
                <w:rFonts w:ascii="Arial" w:cs="Arial" w:eastAsia="Arial" w:hAnsi="Arial"/>
                <w:sz w:val="18"/>
                <w:szCs w:val="18"/>
                <w:color w:val="auto"/>
              </w:rPr>
              <w:t>Cash paid for share repurchases</w:t>
            </w:r>
          </w:p>
        </w:tc>
        <w:tc>
          <w:tcPr>
            <w:tcW w:w="92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(4)</w:t>
            </w: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(29)</w:t>
            </w:r>
          </w:p>
        </w:tc>
      </w:tr>
      <w:tr>
        <w:trPr>
          <w:trHeight w:val="216"/>
        </w:trPr>
        <w:tc>
          <w:tcPr>
            <w:tcW w:w="80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Asset based lending facility proceeds</w:t>
            </w:r>
          </w:p>
        </w:tc>
        <w:tc>
          <w:tcPr>
            <w:tcW w:w="9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21,244</w:t>
            </w:r>
          </w:p>
        </w:tc>
        <w:tc>
          <w:tcPr>
            <w:tcW w:w="2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17,783</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000" w:type="dxa"/>
            <w:vAlign w:val="bottom"/>
          </w:tcPr>
          <w:p>
            <w:pPr>
              <w:ind w:left="980"/>
              <w:spacing w:after="0"/>
              <w:rPr>
                <w:sz w:val="20"/>
                <w:szCs w:val="20"/>
                <w:color w:val="auto"/>
              </w:rPr>
            </w:pPr>
            <w:r>
              <w:rPr>
                <w:rFonts w:ascii="Arial" w:cs="Arial" w:eastAsia="Arial" w:hAnsi="Arial"/>
                <w:sz w:val="18"/>
                <w:szCs w:val="18"/>
                <w:color w:val="auto"/>
              </w:rPr>
              <w:t>NET CASH PROVIDED BY FINANCING ACTIVITIES</w:t>
            </w:r>
          </w:p>
        </w:tc>
        <w:tc>
          <w:tcPr>
            <w:tcW w:w="9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20,892</w:t>
            </w:r>
          </w:p>
        </w:tc>
        <w:tc>
          <w:tcPr>
            <w:tcW w:w="2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17,013</w:t>
            </w:r>
          </w:p>
        </w:tc>
        <w:tc>
          <w:tcPr>
            <w:tcW w:w="100" w:type="dxa"/>
            <w:vAlign w:val="bottom"/>
          </w:tcPr>
          <w:p>
            <w:pPr>
              <w:spacing w:after="0"/>
              <w:rPr>
                <w:sz w:val="18"/>
                <w:szCs w:val="18"/>
                <w:color w:val="auto"/>
              </w:rPr>
            </w:pPr>
          </w:p>
        </w:tc>
      </w:tr>
      <w:tr>
        <w:trPr>
          <w:trHeight w:val="210"/>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DECREASE IN CASH AND RESTRICTED CASH</w:t>
            </w:r>
          </w:p>
        </w:tc>
        <w:tc>
          <w:tcPr>
            <w:tcW w:w="9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(2,234)</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(7,258)</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CASH AND RESTRICTED CASH AT BEGINNING OF PERIOD</w:t>
            </w:r>
          </w:p>
        </w:tc>
        <w:tc>
          <w:tcPr>
            <w:tcW w:w="9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5,386</w:t>
            </w:r>
          </w:p>
        </w:tc>
        <w:tc>
          <w:tcPr>
            <w:tcW w:w="2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16,122</w:t>
            </w:r>
          </w:p>
        </w:tc>
        <w:tc>
          <w:tcPr>
            <w:tcW w:w="100" w:type="dxa"/>
            <w:vAlign w:val="bottom"/>
          </w:tcPr>
          <w:p>
            <w:pPr>
              <w:spacing w:after="0"/>
              <w:rPr>
                <w:sz w:val="18"/>
                <w:szCs w:val="18"/>
                <w:color w:val="auto"/>
              </w:rPr>
            </w:pPr>
          </w:p>
        </w:tc>
      </w:tr>
      <w:tr>
        <w:trPr>
          <w:trHeight w:val="250"/>
        </w:trPr>
        <w:tc>
          <w:tcPr>
            <w:tcW w:w="8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RESTRICTED CASH AT END OF PERIOD</w:t>
            </w:r>
          </w:p>
        </w:tc>
        <w:tc>
          <w:tcPr>
            <w:tcW w:w="920" w:type="dxa"/>
            <w:vAlign w:val="bottom"/>
            <w:tcBorders>
              <w:bottom w:val="single" w:sz="8" w:color="auto"/>
            </w:tcBorders>
            <w:shd w:val="clear" w:color="auto" w:fill="CCEEFF"/>
          </w:tcPr>
          <w:p>
            <w:pPr>
              <w:jc w:val="right"/>
              <w:ind w:right="730"/>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3,152</w:t>
            </w:r>
          </w:p>
        </w:tc>
        <w:tc>
          <w:tcPr>
            <w:tcW w:w="2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8,864</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202" w:lineRule="exact"/>
        <w:rPr>
          <w:sz w:val="20"/>
          <w:szCs w:val="20"/>
          <w:color w:val="auto"/>
        </w:rPr>
      </w:pPr>
    </w:p>
    <w:p>
      <w:pPr>
        <w:jc w:val="both"/>
        <w:ind w:firstLine="441"/>
        <w:spacing w:after="0" w:line="286" w:lineRule="auto"/>
        <w:rPr>
          <w:sz w:val="20"/>
          <w:szCs w:val="20"/>
          <w:color w:val="auto"/>
        </w:rPr>
      </w:pPr>
      <w:r>
        <w:rPr>
          <w:rFonts w:ascii="Arial" w:cs="Arial" w:eastAsia="Arial" w:hAnsi="Arial"/>
          <w:sz w:val="17"/>
          <w:szCs w:val="17"/>
          <w:color w:val="auto"/>
        </w:rPr>
        <w:t>Cash and restricted cash at March 31, 2023 included approximately $2.4 million of cash required to collateralize open derivative positions. This amount is reported in "Other current assets" on the Company's consolidated balance sheet at March 31, 2023. The Company had approximately $2.2 million in restricted cash at September 30, 2022. The Company did not have any restricted cash as of September 30, 2023.</w:t>
      </w:r>
    </w:p>
    <w:p>
      <w:pPr>
        <w:spacing w:after="0" w:line="16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FRIEDMAN INDUSTRIES, INCORPORATED</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NOTES TO QUARTERLY REPORT — UNAUDITED</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color w:val="auto"/>
        </w:rPr>
        <w:t>NOTE A — BASIS OF PRESENTATION</w:t>
      </w:r>
    </w:p>
    <w:p>
      <w:pPr>
        <w:spacing w:after="0" w:line="225" w:lineRule="exact"/>
        <w:rPr>
          <w:sz w:val="20"/>
          <w:szCs w:val="20"/>
          <w:color w:val="auto"/>
        </w:rPr>
      </w:pPr>
    </w:p>
    <w:p>
      <w:pPr>
        <w:jc w:val="both"/>
        <w:ind w:firstLine="441"/>
        <w:spacing w:after="0" w:line="257" w:lineRule="auto"/>
        <w:rPr>
          <w:sz w:val="20"/>
          <w:szCs w:val="20"/>
          <w:color w:val="auto"/>
        </w:rPr>
      </w:pPr>
      <w:r>
        <w:rPr>
          <w:rFonts w:ascii="Arial" w:cs="Arial" w:eastAsia="Arial" w:hAnsi="Arial"/>
          <w:sz w:val="18"/>
          <w:szCs w:val="18"/>
          <w:color w:val="auto"/>
        </w:rPr>
        <w:t>The accompanying unaudited, condensed consolidated financial statements have been prepared in accordance with the instructions to Form 10-Q and do not include all of the information and footnotes required by U.S. generally accepted accounting principles for complete financial statements. In the opinion of management, all adjustments (consisting of normal recurring accruals) considered necessary for a fair presentation have been included. For further information, refer to the consolidated financial statements and footnotes of Friedman Industries, Incorporated (the “Company”) included in its annual report on Form 10-K for the year ended March 31, 2023.</w:t>
      </w:r>
    </w:p>
    <w:p>
      <w:pPr>
        <w:spacing w:after="0" w:line="188" w:lineRule="exact"/>
        <w:rPr>
          <w:sz w:val="20"/>
          <w:szCs w:val="20"/>
          <w:color w:val="auto"/>
        </w:rPr>
      </w:pPr>
    </w:p>
    <w:p>
      <w:pPr>
        <w:ind w:left="280"/>
        <w:spacing w:after="0"/>
        <w:rPr>
          <w:sz w:val="20"/>
          <w:szCs w:val="20"/>
          <w:color w:val="auto"/>
        </w:rPr>
      </w:pPr>
      <w:r>
        <w:rPr>
          <w:rFonts w:ascii="Arial" w:cs="Arial" w:eastAsia="Arial" w:hAnsi="Arial"/>
          <w:sz w:val="18"/>
          <w:szCs w:val="18"/>
          <w:i w:val="1"/>
          <w:iCs w:val="1"/>
          <w:color w:val="auto"/>
        </w:rPr>
        <w:t>Business Combinations</w:t>
      </w:r>
    </w:p>
    <w:p>
      <w:pPr>
        <w:spacing w:after="0" w:line="225" w:lineRule="exact"/>
        <w:rPr>
          <w:sz w:val="20"/>
          <w:szCs w:val="20"/>
          <w:color w:val="auto"/>
        </w:rPr>
      </w:pPr>
    </w:p>
    <w:p>
      <w:pPr>
        <w:jc w:val="both"/>
        <w:ind w:firstLine="441"/>
        <w:spacing w:after="0" w:line="255" w:lineRule="auto"/>
        <w:rPr>
          <w:sz w:val="20"/>
          <w:szCs w:val="20"/>
          <w:color w:val="auto"/>
        </w:rPr>
      </w:pPr>
      <w:r>
        <w:rPr>
          <w:rFonts w:ascii="Arial" w:cs="Arial" w:eastAsia="Arial" w:hAnsi="Arial"/>
          <w:sz w:val="18"/>
          <w:szCs w:val="18"/>
          <w:color w:val="auto"/>
        </w:rPr>
        <w:t>The results of a business acquired in a business combination are included in the Company’s financial statements from the date of acquisition. The Company allocates the purchase price to the identifiable assets and liabilities of the acquired business at their acquisition date fair values. The excess of the purchase price over the amount allocated to the identifiable assets and liabilities, if any, is recorded as goodwill. Determining the fair value of assets acquired and liabilities assumed requires management to make significant judgments and estimates, including the selection of valuation methodologies, estimates of future revenue and cash flows, discount rates and selection of comparable companies. Acquisition-related transaction costs are expensed in the period in which the costs are incurred.</w:t>
      </w:r>
    </w:p>
    <w:p>
      <w:pPr>
        <w:spacing w:after="0" w:line="192" w:lineRule="exact"/>
        <w:rPr>
          <w:sz w:val="20"/>
          <w:szCs w:val="20"/>
          <w:color w:val="auto"/>
        </w:rPr>
      </w:pPr>
    </w:p>
    <w:p>
      <w:pPr>
        <w:ind w:left="280"/>
        <w:spacing w:after="0"/>
        <w:rPr>
          <w:sz w:val="20"/>
          <w:szCs w:val="20"/>
          <w:color w:val="auto"/>
        </w:rPr>
      </w:pPr>
      <w:r>
        <w:rPr>
          <w:rFonts w:ascii="Arial" w:cs="Arial" w:eastAsia="Arial" w:hAnsi="Arial"/>
          <w:sz w:val="18"/>
          <w:szCs w:val="18"/>
          <w:i w:val="1"/>
          <w:iCs w:val="1"/>
          <w:color w:val="auto"/>
        </w:rPr>
        <w:t>Reclassifications</w:t>
      </w:r>
    </w:p>
    <w:p>
      <w:pPr>
        <w:spacing w:after="0" w:line="225" w:lineRule="exact"/>
        <w:rPr>
          <w:sz w:val="20"/>
          <w:szCs w:val="20"/>
          <w:color w:val="auto"/>
        </w:rPr>
      </w:pPr>
    </w:p>
    <w:p>
      <w:pPr>
        <w:jc w:val="both"/>
        <w:ind w:firstLine="441"/>
        <w:spacing w:after="0" w:line="255" w:lineRule="auto"/>
        <w:rPr>
          <w:sz w:val="20"/>
          <w:szCs w:val="20"/>
          <w:color w:val="auto"/>
        </w:rPr>
      </w:pPr>
      <w:r>
        <w:rPr>
          <w:rFonts w:ascii="Arial" w:cs="Arial" w:eastAsia="Arial" w:hAnsi="Arial"/>
          <w:sz w:val="18"/>
          <w:szCs w:val="18"/>
          <w:color w:val="auto"/>
        </w:rPr>
        <w:t>The unaudited condensed consolidated financial statements for the previous year may include certain reclassifications to conform to the current presentation. To conform with the current year presentation, “</w:t>
      </w:r>
      <w:r>
        <w:rPr>
          <w:rFonts w:ascii="Arial" w:cs="Arial" w:eastAsia="Arial" w:hAnsi="Arial"/>
          <w:sz w:val="18"/>
          <w:szCs w:val="18"/>
          <w:i w:val="1"/>
          <w:iCs w:val="1"/>
          <w:color w:val="auto"/>
        </w:rPr>
        <w:t>Interest expense</w:t>
      </w:r>
      <w:r>
        <w:rPr>
          <w:rFonts w:ascii="Arial" w:cs="Arial" w:eastAsia="Arial" w:hAnsi="Arial"/>
          <w:sz w:val="18"/>
          <w:szCs w:val="18"/>
          <w:color w:val="auto"/>
        </w:rPr>
        <w:t>” on the unaudited condensed consolidated statements of operations was moved below the calculation of "</w:t>
      </w:r>
      <w:r>
        <w:rPr>
          <w:rFonts w:ascii="Arial" w:cs="Arial" w:eastAsia="Arial" w:hAnsi="Arial"/>
          <w:sz w:val="18"/>
          <w:szCs w:val="18"/>
          <w:i w:val="1"/>
          <w:iCs w:val="1"/>
          <w:color w:val="auto"/>
        </w:rPr>
        <w:t>Earnings From Operations</w:t>
      </w:r>
      <w:r>
        <w:rPr>
          <w:rFonts w:ascii="Arial" w:cs="Arial" w:eastAsia="Arial" w:hAnsi="Arial"/>
          <w:sz w:val="18"/>
          <w:szCs w:val="18"/>
          <w:color w:val="auto"/>
        </w:rPr>
        <w:t>". To conform with the current year presentation, gains of approximately $3.7 million and $6.5 million for the three and six month periods, respectively, reported in the prior year as components of "</w:t>
      </w:r>
      <w:r>
        <w:rPr>
          <w:rFonts w:ascii="Arial" w:cs="Arial" w:eastAsia="Arial" w:hAnsi="Arial"/>
          <w:sz w:val="18"/>
          <w:szCs w:val="18"/>
          <w:i w:val="1"/>
          <w:iCs w:val="1"/>
          <w:color w:val="auto"/>
        </w:rPr>
        <w:t>Other income, net</w:t>
      </w:r>
      <w:r>
        <w:rPr>
          <w:rFonts w:ascii="Arial" w:cs="Arial" w:eastAsia="Arial" w:hAnsi="Arial"/>
          <w:sz w:val="18"/>
          <w:szCs w:val="18"/>
          <w:color w:val="auto"/>
        </w:rPr>
        <w:t>" on the unaudited condensed consolidated statement of operations were moved to the line item "</w:t>
      </w:r>
      <w:r>
        <w:rPr>
          <w:rFonts w:ascii="Arial" w:cs="Arial" w:eastAsia="Arial" w:hAnsi="Arial"/>
          <w:sz w:val="18"/>
          <w:szCs w:val="18"/>
          <w:i w:val="1"/>
          <w:iCs w:val="1"/>
          <w:color w:val="auto"/>
        </w:rPr>
        <w:t>Gain on economic hedges of risk</w:t>
      </w:r>
      <w:r>
        <w:rPr>
          <w:rFonts w:ascii="Arial" w:cs="Arial" w:eastAsia="Arial" w:hAnsi="Arial"/>
          <w:sz w:val="18"/>
          <w:szCs w:val="18"/>
          <w:color w:val="auto"/>
        </w:rPr>
        <w:t>". These reclassifications had no impact on previously reported net earnings or stockholder's equity.</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NOTE B — BUSINESS COMBINATIONS</w:t>
      </w:r>
    </w:p>
    <w:p>
      <w:pPr>
        <w:spacing w:after="0" w:line="225"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On April 30, 2022, (the “Acquisition Date”), the Company acquired certain assets and liabilities of Plateplus, Inc. (“Plateplus”), a wholly owned subsidiary of Metal One, Inc. (“Metal One” or “Seller”), whereby the Company acquired the real estate, buildings, equipment, inventory, and other assets of Plateplus’ East Chicago, IN and Granite City, IL facilities and certain steel inventory at Plateplus’ Loudon, TN and Houston, TX facilities (the “Transaction”). The East Chicago and Granite City facilities are steel coil processing facilities that produce the same type of products as the Company's facilities in Hickman, AR; Decatur, AL and Sinton, TX. As a result of the Transaction, the Company expanded its footprint and distribution capabilities in the mid-western United States.</w:t>
      </w:r>
    </w:p>
    <w:p>
      <w:pPr>
        <w:spacing w:after="0" w:line="192"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The Transaction resulted in the Company acquiring the assets noted above, for a total consideration of $76.5 million, of which $71.7 million was cash consideration and $4.8 million related to 516,041 shares of the Company's common stock issued to the Seller. The fair value of the 516,041 shares issued was determined based on the closing market price of the Company’s common stock on April 29, 2022, the last trading day prior to the Acquisition Date. The Transaction was funded with net borrowings of $71.9 million made under the Company's asset-based lending facility ("ABL Facility") provided by JPMorgan Chase Bank.</w:t>
      </w:r>
    </w:p>
    <w:p>
      <w:pPr>
        <w:spacing w:after="0" w:line="188" w:lineRule="exact"/>
        <w:rPr>
          <w:sz w:val="20"/>
          <w:szCs w:val="20"/>
          <w:color w:val="auto"/>
        </w:rPr>
      </w:pPr>
    </w:p>
    <w:p>
      <w:pPr>
        <w:jc w:val="both"/>
        <w:ind w:firstLine="486"/>
        <w:spacing w:after="0" w:line="311" w:lineRule="auto"/>
        <w:rPr>
          <w:sz w:val="20"/>
          <w:szCs w:val="20"/>
          <w:color w:val="auto"/>
        </w:rPr>
      </w:pPr>
      <w:r>
        <w:rPr>
          <w:rFonts w:ascii="Arial" w:cs="Arial" w:eastAsia="Arial" w:hAnsi="Arial"/>
          <w:sz w:val="16"/>
          <w:szCs w:val="16"/>
          <w:color w:val="auto"/>
        </w:rPr>
        <w:t xml:space="preserve">The Transaction was accounted for using the acquisition method of accounting, in accordance with Topic 805, </w:t>
      </w:r>
      <w:r>
        <w:rPr>
          <w:rFonts w:ascii="Arial" w:cs="Arial" w:eastAsia="Arial" w:hAnsi="Arial"/>
          <w:sz w:val="16"/>
          <w:szCs w:val="16"/>
          <w:i w:val="1"/>
          <w:iCs w:val="1"/>
          <w:color w:val="auto"/>
        </w:rPr>
        <w:t>Business Combinations</w:t>
      </w:r>
      <w:r>
        <w:rPr>
          <w:rFonts w:ascii="Arial" w:cs="Arial" w:eastAsia="Arial" w:hAnsi="Arial"/>
          <w:sz w:val="16"/>
          <w:szCs w:val="16"/>
          <w:color w:val="auto"/>
        </w:rPr>
        <w:t>, whereby the consideration transferred and the acquired identifiable assets and liabilities assumed are recorded at their respective fair values. The excess of the consideration transferred over the fair values of these identifiable net assets is recorded as goodwill. The Transaction resulted in no residual goodwill.</w:t>
      </w:r>
    </w:p>
    <w:p>
      <w:pPr>
        <w:spacing w:after="0" w:line="149" w:lineRule="exact"/>
        <w:rPr>
          <w:sz w:val="20"/>
          <w:szCs w:val="20"/>
          <w:color w:val="auto"/>
        </w:rPr>
      </w:pPr>
    </w:p>
    <w:tbl>
      <w:tblPr>
        <w:tblLayout w:type="fixed"/>
        <w:tblInd w:w="840" w:type="dxa"/>
        <w:tblCellMar>
          <w:top w:w="0" w:type="dxa"/>
          <w:left w:w="0" w:type="dxa"/>
          <w:bottom w:w="0" w:type="dxa"/>
          <w:right w:w="0" w:type="dxa"/>
        </w:tblCellMar>
      </w:tblPr>
      <w:tr>
        <w:trPr>
          <w:trHeight w:val="230"/>
        </w:trPr>
        <w:tc>
          <w:tcPr>
            <w:tcW w:w="792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Fair value of assets acquired and liabilities assumed (in thousands)</w:t>
            </w:r>
          </w:p>
        </w:tc>
        <w:tc>
          <w:tcPr>
            <w:tcW w:w="5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6"/>
        </w:trPr>
        <w:tc>
          <w:tcPr>
            <w:tcW w:w="7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Inventory</w:t>
            </w:r>
          </w:p>
        </w:tc>
        <w:tc>
          <w:tcPr>
            <w:tcW w:w="5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77,546</w:t>
            </w:r>
          </w:p>
        </w:tc>
        <w:tc>
          <w:tcPr>
            <w:tcW w:w="80" w:type="dxa"/>
            <w:vAlign w:val="bottom"/>
            <w:shd w:val="clear" w:color="auto" w:fill="CCEEFF"/>
          </w:tcPr>
          <w:p>
            <w:pPr>
              <w:spacing w:after="0"/>
              <w:rPr>
                <w:sz w:val="18"/>
                <w:szCs w:val="18"/>
                <w:color w:val="auto"/>
              </w:rPr>
            </w:pPr>
          </w:p>
        </w:tc>
      </w:tr>
      <w:tr>
        <w:trPr>
          <w:trHeight w:val="216"/>
        </w:trPr>
        <w:tc>
          <w:tcPr>
            <w:tcW w:w="7920" w:type="dxa"/>
            <w:vAlign w:val="bottom"/>
          </w:tcPr>
          <w:p>
            <w:pPr>
              <w:ind w:left="20"/>
              <w:spacing w:after="0"/>
              <w:rPr>
                <w:sz w:val="20"/>
                <w:szCs w:val="20"/>
                <w:color w:val="auto"/>
              </w:rPr>
            </w:pPr>
            <w:r>
              <w:rPr>
                <w:rFonts w:ascii="Arial" w:cs="Arial" w:eastAsia="Arial" w:hAnsi="Arial"/>
                <w:sz w:val="18"/>
                <w:szCs w:val="18"/>
                <w:color w:val="auto"/>
              </w:rPr>
              <w:t>Property, plant and equipment</w:t>
            </w:r>
          </w:p>
        </w:tc>
        <w:tc>
          <w:tcPr>
            <w:tcW w:w="5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18,022</w:t>
            </w:r>
          </w:p>
        </w:tc>
        <w:tc>
          <w:tcPr>
            <w:tcW w:w="80" w:type="dxa"/>
            <w:vAlign w:val="bottom"/>
          </w:tcPr>
          <w:p>
            <w:pPr>
              <w:spacing w:after="0"/>
              <w:rPr>
                <w:sz w:val="18"/>
                <w:szCs w:val="18"/>
                <w:color w:val="auto"/>
              </w:rPr>
            </w:pPr>
          </w:p>
        </w:tc>
      </w:tr>
      <w:tr>
        <w:trPr>
          <w:trHeight w:val="216"/>
        </w:trPr>
        <w:tc>
          <w:tcPr>
            <w:tcW w:w="7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right of use asset</w:t>
            </w:r>
          </w:p>
        </w:tc>
        <w:tc>
          <w:tcPr>
            <w:tcW w:w="5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1,237</w:t>
            </w:r>
          </w:p>
        </w:tc>
        <w:tc>
          <w:tcPr>
            <w:tcW w:w="80" w:type="dxa"/>
            <w:vAlign w:val="bottom"/>
            <w:shd w:val="clear" w:color="auto" w:fill="CCEEFF"/>
          </w:tcPr>
          <w:p>
            <w:pPr>
              <w:spacing w:after="0"/>
              <w:rPr>
                <w:sz w:val="18"/>
                <w:szCs w:val="18"/>
                <w:color w:val="auto"/>
              </w:rPr>
            </w:pPr>
          </w:p>
        </w:tc>
      </w:tr>
      <w:tr>
        <w:trPr>
          <w:trHeight w:val="230"/>
        </w:trPr>
        <w:tc>
          <w:tcPr>
            <w:tcW w:w="7920" w:type="dxa"/>
            <w:vAlign w:val="bottom"/>
          </w:tcPr>
          <w:p>
            <w:pPr>
              <w:ind w:left="20"/>
              <w:spacing w:after="0"/>
              <w:rPr>
                <w:sz w:val="20"/>
                <w:szCs w:val="20"/>
                <w:color w:val="auto"/>
              </w:rPr>
            </w:pPr>
            <w:r>
              <w:rPr>
                <w:rFonts w:ascii="Arial" w:cs="Arial" w:eastAsia="Arial" w:hAnsi="Arial"/>
                <w:sz w:val="18"/>
                <w:szCs w:val="18"/>
                <w:color w:val="auto"/>
              </w:rPr>
              <w:t>Accounts payable</w:t>
            </w:r>
          </w:p>
        </w:tc>
        <w:tc>
          <w:tcPr>
            <w:tcW w:w="540" w:type="dxa"/>
            <w:vAlign w:val="bottom"/>
          </w:tcPr>
          <w:p>
            <w:pPr>
              <w:spacing w:after="0"/>
              <w:rPr>
                <w:sz w:val="19"/>
                <w:szCs w:val="19"/>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(19,065)</w:t>
            </w:r>
          </w:p>
        </w:tc>
      </w:tr>
      <w:tr>
        <w:trPr>
          <w:trHeight w:val="216"/>
        </w:trPr>
        <w:tc>
          <w:tcPr>
            <w:tcW w:w="7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liability</w:t>
            </w:r>
          </w:p>
        </w:tc>
        <w:tc>
          <w:tcPr>
            <w:tcW w:w="5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(1,237)</w:t>
            </w:r>
          </w:p>
        </w:tc>
      </w:tr>
      <w:tr>
        <w:trPr>
          <w:trHeight w:val="209"/>
        </w:trPr>
        <w:tc>
          <w:tcPr>
            <w:tcW w:w="7920" w:type="dxa"/>
            <w:vAlign w:val="bottom"/>
            <w:tcBorders>
              <w:top w:val="single" w:sz="8" w:color="CCEEFF"/>
            </w:tcBorders>
          </w:tcPr>
          <w:p>
            <w:pPr>
              <w:ind w:left="20"/>
              <w:spacing w:after="0"/>
              <w:rPr>
                <w:sz w:val="20"/>
                <w:szCs w:val="20"/>
                <w:color w:val="auto"/>
              </w:rPr>
            </w:pPr>
            <w:r>
              <w:rPr>
                <w:rFonts w:ascii="Arial" w:cs="Arial" w:eastAsia="Arial" w:hAnsi="Arial"/>
                <w:sz w:val="18"/>
                <w:szCs w:val="18"/>
                <w:color w:val="auto"/>
              </w:rPr>
              <w:t>Total</w:t>
            </w:r>
          </w:p>
        </w:tc>
        <w:tc>
          <w:tcPr>
            <w:tcW w:w="54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76,503</w:t>
            </w:r>
          </w:p>
        </w:tc>
        <w:tc>
          <w:tcPr>
            <w:tcW w:w="80" w:type="dxa"/>
            <w:vAlign w:val="bottom"/>
            <w:tcBorders>
              <w:top w:val="single" w:sz="8" w:color="CCEEFF"/>
            </w:tcBorders>
          </w:tcPr>
          <w:p>
            <w:pPr>
              <w:spacing w:after="0"/>
              <w:rPr>
                <w:sz w:val="18"/>
                <w:szCs w:val="18"/>
                <w:color w:val="auto"/>
              </w:rPr>
            </w:pPr>
          </w:p>
        </w:tc>
      </w:tr>
      <w:tr>
        <w:trPr>
          <w:trHeight w:val="20"/>
        </w:trPr>
        <w:tc>
          <w:tcPr>
            <w:tcW w:w="79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486"/>
        <w:spacing w:after="0" w:line="342" w:lineRule="auto"/>
        <w:rPr>
          <w:sz w:val="20"/>
          <w:szCs w:val="20"/>
          <w:color w:val="auto"/>
        </w:rPr>
      </w:pPr>
      <w:r>
        <w:rPr>
          <w:rFonts w:ascii="Arial" w:cs="Arial" w:eastAsia="Arial" w:hAnsi="Arial"/>
          <w:sz w:val="16"/>
          <w:szCs w:val="16"/>
          <w:color w:val="auto"/>
        </w:rPr>
        <w:t>The Company recorded one-time transaction specific costs of approximately $0.5 million and $1.2 million in the three and six months ended September 30, 2023, respectively, as a component of "Selling, general and administrative" expenses on the condensed consolidated statement of operations.</w:t>
      </w:r>
    </w:p>
    <w:p>
      <w:pPr>
        <w:sectPr>
          <w:pgSz w:w="11900" w:h="16838" w:orient="portrait"/>
          <w:cols w:equalWidth="0" w:num="1">
            <w:col w:w="11240"/>
          </w:cols>
          <w:pgMar w:left="320" w:top="125" w:right="339" w:bottom="1440" w:gutter="0" w:footer="0" w:header="0"/>
        </w:sectPr>
      </w:pP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7" w:name="page8"/>
    <w:bookmarkEnd w:id="7"/>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NOTE C — INVENTORIES</w:t>
      </w:r>
    </w:p>
    <w:p>
      <w:pPr>
        <w:spacing w:after="0" w:line="225" w:lineRule="exact"/>
        <w:rPr>
          <w:sz w:val="20"/>
          <w:szCs w:val="20"/>
          <w:color w:val="auto"/>
        </w:rPr>
      </w:pPr>
    </w:p>
    <w:p>
      <w:pPr>
        <w:jc w:val="both"/>
        <w:ind w:firstLine="441"/>
        <w:spacing w:after="0" w:line="279" w:lineRule="auto"/>
        <w:rPr>
          <w:sz w:val="20"/>
          <w:szCs w:val="20"/>
          <w:color w:val="auto"/>
        </w:rPr>
      </w:pPr>
      <w:r>
        <w:rPr>
          <w:rFonts w:ascii="Arial" w:cs="Arial" w:eastAsia="Arial" w:hAnsi="Arial"/>
          <w:sz w:val="17"/>
          <w:szCs w:val="17"/>
          <w:color w:val="auto"/>
        </w:rPr>
        <w:t>Inventories consist of prime coil, non-standard coil and tubular materials. Prime coil inventory consists primarily of raw materials, non-standard coil inventory consists primarily of raw materials and tubular inventory consists of both raw materials and finished goods. Cost for prime coil inventory is determined using the average cost method. Cost for non-standard coil inventory is determined using the specific identification method. Cost for tubular inventory is determined using the average cost method. All inventories are valued at the lower of cost or net realizable value.</w:t>
      </w:r>
    </w:p>
    <w:p>
      <w:pPr>
        <w:spacing w:after="0" w:line="171" w:lineRule="exact"/>
        <w:rPr>
          <w:sz w:val="20"/>
          <w:szCs w:val="20"/>
          <w:color w:val="auto"/>
        </w:rPr>
      </w:pPr>
    </w:p>
    <w:tbl>
      <w:tblPr>
        <w:tblLayout w:type="fixed"/>
        <w:tblInd w:w="440" w:type="dxa"/>
        <w:tblCellMar>
          <w:top w:w="0" w:type="dxa"/>
          <w:left w:w="0" w:type="dxa"/>
          <w:bottom w:w="0" w:type="dxa"/>
          <w:right w:w="0" w:type="dxa"/>
        </w:tblCellMar>
      </w:tblPr>
      <w:tr>
        <w:trPr>
          <w:trHeight w:val="230"/>
        </w:trPr>
        <w:tc>
          <w:tcPr>
            <w:tcW w:w="6620" w:type="dxa"/>
            <w:vAlign w:val="bottom"/>
            <w:gridSpan w:val="2"/>
          </w:tcPr>
          <w:p>
            <w:pPr>
              <w:spacing w:after="0"/>
              <w:rPr>
                <w:sz w:val="20"/>
                <w:szCs w:val="20"/>
                <w:color w:val="auto"/>
              </w:rPr>
            </w:pPr>
            <w:r>
              <w:rPr>
                <w:rFonts w:ascii="Arial" w:cs="Arial" w:eastAsia="Arial" w:hAnsi="Arial"/>
                <w:sz w:val="18"/>
                <w:szCs w:val="18"/>
                <w:color w:val="auto"/>
              </w:rPr>
              <w:t>A summary of inventory values by product group follows (in thousands):</w:t>
            </w:r>
          </w:p>
        </w:tc>
        <w:tc>
          <w:tcPr>
            <w:tcW w:w="5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400" w:type="dxa"/>
            <w:vAlign w:val="bottom"/>
          </w:tcPr>
          <w:p>
            <w:pPr>
              <w:spacing w:after="0"/>
              <w:rPr>
                <w:sz w:val="24"/>
                <w:szCs w:val="24"/>
                <w:color w:val="auto"/>
              </w:rPr>
            </w:pPr>
          </w:p>
        </w:tc>
        <w:tc>
          <w:tcPr>
            <w:tcW w:w="6220" w:type="dxa"/>
            <w:vAlign w:val="bottom"/>
          </w:tcPr>
          <w:p>
            <w:pPr>
              <w:spacing w:after="0"/>
              <w:rPr>
                <w:sz w:val="24"/>
                <w:szCs w:val="24"/>
                <w:color w:val="auto"/>
              </w:rPr>
            </w:pPr>
          </w:p>
        </w:tc>
        <w:tc>
          <w:tcPr>
            <w:tcW w:w="152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w w:val="88"/>
              </w:rPr>
              <w:t>September 30, 2023</w:t>
            </w:r>
          </w:p>
        </w:tc>
        <w:tc>
          <w:tcPr>
            <w:tcW w:w="1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March 31, 2023</w:t>
            </w:r>
          </w:p>
        </w:tc>
        <w:tc>
          <w:tcPr>
            <w:tcW w:w="80" w:type="dxa"/>
            <w:vAlign w:val="bottom"/>
          </w:tcPr>
          <w:p>
            <w:pPr>
              <w:spacing w:after="0"/>
              <w:rPr>
                <w:sz w:val="24"/>
                <w:szCs w:val="24"/>
                <w:color w:val="auto"/>
              </w:rPr>
            </w:pPr>
          </w:p>
        </w:tc>
      </w:tr>
      <w:tr>
        <w:trPr>
          <w:trHeight w:val="209"/>
        </w:trPr>
        <w:tc>
          <w:tcPr>
            <w:tcW w:w="400" w:type="dxa"/>
            <w:vAlign w:val="bottom"/>
          </w:tcPr>
          <w:p>
            <w:pPr>
              <w:spacing w:after="0"/>
              <w:rPr>
                <w:sz w:val="18"/>
                <w:szCs w:val="18"/>
                <w:color w:val="auto"/>
              </w:rPr>
            </w:pPr>
          </w:p>
        </w:tc>
        <w:tc>
          <w:tcPr>
            <w:tcW w:w="6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Prime Coil Inventory</w:t>
            </w:r>
          </w:p>
        </w:tc>
        <w:tc>
          <w:tcPr>
            <w:tcW w:w="5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91,832</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75,917</w:t>
            </w:r>
          </w:p>
        </w:tc>
      </w:tr>
      <w:tr>
        <w:trPr>
          <w:trHeight w:val="216"/>
        </w:trPr>
        <w:tc>
          <w:tcPr>
            <w:tcW w:w="400" w:type="dxa"/>
            <w:vAlign w:val="bottom"/>
          </w:tcPr>
          <w:p>
            <w:pPr>
              <w:spacing w:after="0"/>
              <w:rPr>
                <w:sz w:val="18"/>
                <w:szCs w:val="18"/>
                <w:color w:val="auto"/>
              </w:rPr>
            </w:pPr>
          </w:p>
        </w:tc>
        <w:tc>
          <w:tcPr>
            <w:tcW w:w="6220" w:type="dxa"/>
            <w:vAlign w:val="bottom"/>
          </w:tcPr>
          <w:p>
            <w:pPr>
              <w:ind w:left="20"/>
              <w:spacing w:after="0"/>
              <w:rPr>
                <w:sz w:val="20"/>
                <w:szCs w:val="20"/>
                <w:color w:val="auto"/>
              </w:rPr>
            </w:pPr>
            <w:r>
              <w:rPr>
                <w:rFonts w:ascii="Arial" w:cs="Arial" w:eastAsia="Arial" w:hAnsi="Arial"/>
                <w:sz w:val="18"/>
                <w:szCs w:val="18"/>
                <w:color w:val="auto"/>
              </w:rPr>
              <w:t>Non-Standard Coil Inventory</w:t>
            </w:r>
          </w:p>
        </w:tc>
        <w:tc>
          <w:tcPr>
            <w:tcW w:w="52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559</w:t>
            </w:r>
          </w:p>
        </w:tc>
        <w:tc>
          <w:tcPr>
            <w:tcW w:w="140" w:type="dxa"/>
            <w:vAlign w:val="bottom"/>
          </w:tcPr>
          <w:p>
            <w:pPr>
              <w:spacing w:after="0"/>
              <w:rPr>
                <w:sz w:val="18"/>
                <w:szCs w:val="18"/>
                <w:color w:val="auto"/>
              </w:rPr>
            </w:pPr>
          </w:p>
        </w:tc>
        <w:tc>
          <w:tcPr>
            <w:tcW w:w="1480" w:type="dxa"/>
            <w:vAlign w:val="bottom"/>
            <w:gridSpan w:val="2"/>
          </w:tcPr>
          <w:p>
            <w:pPr>
              <w:jc w:val="right"/>
              <w:ind w:right="80"/>
              <w:spacing w:after="0"/>
              <w:rPr>
                <w:sz w:val="20"/>
                <w:szCs w:val="20"/>
                <w:color w:val="auto"/>
              </w:rPr>
            </w:pPr>
            <w:r>
              <w:rPr>
                <w:rFonts w:ascii="Arial" w:cs="Arial" w:eastAsia="Arial" w:hAnsi="Arial"/>
                <w:sz w:val="18"/>
                <w:szCs w:val="18"/>
                <w:color w:val="auto"/>
              </w:rPr>
              <w:t>278</w:t>
            </w:r>
          </w:p>
        </w:tc>
      </w:tr>
      <w:tr>
        <w:trPr>
          <w:trHeight w:val="216"/>
        </w:trPr>
        <w:tc>
          <w:tcPr>
            <w:tcW w:w="400" w:type="dxa"/>
            <w:vAlign w:val="bottom"/>
          </w:tcPr>
          <w:p>
            <w:pPr>
              <w:spacing w:after="0"/>
              <w:rPr>
                <w:sz w:val="18"/>
                <w:szCs w:val="18"/>
                <w:color w:val="auto"/>
              </w:rPr>
            </w:pPr>
          </w:p>
        </w:tc>
        <w:tc>
          <w:tcPr>
            <w:tcW w:w="6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Tubular Raw Material</w:t>
            </w:r>
          </w:p>
        </w:tc>
        <w:tc>
          <w:tcPr>
            <w:tcW w:w="5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5,541</w:t>
            </w:r>
          </w:p>
        </w:tc>
        <w:tc>
          <w:tcPr>
            <w:tcW w:w="1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5,193</w:t>
            </w:r>
          </w:p>
        </w:tc>
      </w:tr>
      <w:tr>
        <w:trPr>
          <w:trHeight w:val="216"/>
        </w:trPr>
        <w:tc>
          <w:tcPr>
            <w:tcW w:w="400" w:type="dxa"/>
            <w:vAlign w:val="bottom"/>
          </w:tcPr>
          <w:p>
            <w:pPr>
              <w:spacing w:after="0"/>
              <w:rPr>
                <w:sz w:val="18"/>
                <w:szCs w:val="18"/>
                <w:color w:val="auto"/>
              </w:rPr>
            </w:pPr>
          </w:p>
        </w:tc>
        <w:tc>
          <w:tcPr>
            <w:tcW w:w="6220" w:type="dxa"/>
            <w:vAlign w:val="bottom"/>
          </w:tcPr>
          <w:p>
            <w:pPr>
              <w:ind w:left="20"/>
              <w:spacing w:after="0"/>
              <w:rPr>
                <w:sz w:val="20"/>
                <w:szCs w:val="20"/>
                <w:color w:val="auto"/>
              </w:rPr>
            </w:pPr>
            <w:r>
              <w:rPr>
                <w:rFonts w:ascii="Arial" w:cs="Arial" w:eastAsia="Arial" w:hAnsi="Arial"/>
                <w:sz w:val="18"/>
                <w:szCs w:val="18"/>
                <w:color w:val="auto"/>
              </w:rPr>
              <w:t>Tubular Finished Goods</w:t>
            </w:r>
          </w:p>
        </w:tc>
        <w:tc>
          <w:tcPr>
            <w:tcW w:w="52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6,569</w:t>
            </w:r>
          </w:p>
        </w:tc>
        <w:tc>
          <w:tcPr>
            <w:tcW w:w="140" w:type="dxa"/>
            <w:vAlign w:val="bottom"/>
          </w:tcPr>
          <w:p>
            <w:pPr>
              <w:spacing w:after="0"/>
              <w:rPr>
                <w:sz w:val="18"/>
                <w:szCs w:val="18"/>
                <w:color w:val="auto"/>
              </w:rPr>
            </w:pPr>
          </w:p>
        </w:tc>
        <w:tc>
          <w:tcPr>
            <w:tcW w:w="1480" w:type="dxa"/>
            <w:vAlign w:val="bottom"/>
            <w:gridSpan w:val="2"/>
          </w:tcPr>
          <w:p>
            <w:pPr>
              <w:jc w:val="right"/>
              <w:ind w:right="80"/>
              <w:spacing w:after="0"/>
              <w:rPr>
                <w:sz w:val="20"/>
                <w:szCs w:val="20"/>
                <w:color w:val="auto"/>
              </w:rPr>
            </w:pPr>
            <w:r>
              <w:rPr>
                <w:rFonts w:ascii="Arial" w:cs="Arial" w:eastAsia="Arial" w:hAnsi="Arial"/>
                <w:sz w:val="18"/>
                <w:szCs w:val="18"/>
                <w:color w:val="auto"/>
              </w:rPr>
              <w:t>4,858</w:t>
            </w:r>
          </w:p>
        </w:tc>
      </w:tr>
      <w:tr>
        <w:trPr>
          <w:trHeight w:val="20"/>
        </w:trPr>
        <w:tc>
          <w:tcPr>
            <w:tcW w:w="400" w:type="dxa"/>
            <w:vAlign w:val="bottom"/>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29"/>
        </w:trPr>
        <w:tc>
          <w:tcPr>
            <w:tcW w:w="400" w:type="dxa"/>
            <w:vAlign w:val="bottom"/>
          </w:tcPr>
          <w:p>
            <w:pPr>
              <w:spacing w:after="0"/>
              <w:rPr>
                <w:sz w:val="19"/>
                <w:szCs w:val="19"/>
                <w:color w:val="auto"/>
              </w:rPr>
            </w:pPr>
          </w:p>
        </w:tc>
        <w:tc>
          <w:tcPr>
            <w:tcW w:w="62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104,501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86,246</w:t>
            </w:r>
          </w:p>
        </w:tc>
      </w:tr>
      <w:tr>
        <w:trPr>
          <w:trHeight w:val="20"/>
        </w:trPr>
        <w:tc>
          <w:tcPr>
            <w:tcW w:w="400" w:type="dxa"/>
            <w:vAlign w:val="bottom"/>
          </w:tcPr>
          <w:p>
            <w:pPr>
              <w:spacing w:after="0" w:line="20" w:lineRule="exact"/>
              <w:rPr>
                <w:sz w:val="1"/>
                <w:szCs w:val="1"/>
                <w:color w:val="auto"/>
              </w:rPr>
            </w:pPr>
          </w:p>
        </w:tc>
        <w:tc>
          <w:tcPr>
            <w:tcW w:w="62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4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jc w:val="both"/>
        <w:ind w:firstLine="441"/>
        <w:spacing w:after="0" w:line="277" w:lineRule="auto"/>
        <w:rPr>
          <w:sz w:val="20"/>
          <w:szCs w:val="20"/>
          <w:color w:val="auto"/>
        </w:rPr>
      </w:pPr>
      <w:r>
        <w:rPr>
          <w:rFonts w:ascii="Arial" w:cs="Arial" w:eastAsia="Arial" w:hAnsi="Arial"/>
          <w:sz w:val="18"/>
          <w:szCs w:val="18"/>
          <w:color w:val="auto"/>
        </w:rPr>
        <w:t>Tubular raw material inventory consists of hot-rolled steel coils that the Company will manufacture into pipe. Tubular finished goods inventory consists of pipe the Company has manufactured.</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NOTE D – DEBT</w:t>
      </w:r>
    </w:p>
    <w:p>
      <w:pPr>
        <w:spacing w:after="0" w:line="225" w:lineRule="exact"/>
        <w:rPr>
          <w:sz w:val="20"/>
          <w:szCs w:val="20"/>
          <w:color w:val="auto"/>
        </w:rPr>
      </w:pPr>
    </w:p>
    <w:p>
      <w:pPr>
        <w:jc w:val="both"/>
        <w:ind w:firstLine="436"/>
        <w:spacing w:after="0" w:line="268" w:lineRule="auto"/>
        <w:rPr>
          <w:sz w:val="20"/>
          <w:szCs w:val="20"/>
          <w:color w:val="auto"/>
        </w:rPr>
      </w:pPr>
      <w:r>
        <w:rPr>
          <w:rFonts w:ascii="Arial" w:cs="Arial" w:eastAsia="Arial" w:hAnsi="Arial"/>
          <w:sz w:val="17"/>
          <w:szCs w:val="17"/>
          <w:color w:val="auto"/>
        </w:rPr>
        <w:t>The Company has a $150 million asset-based lending facility ("ABL Facility") in place with JPMorgan Chase Bank, N.A. as the arranging agent and BMO Harris Bank, N.A. as a one-third syndicated participant. The ABL Facility matures on May 19, 2026 and is secured by substantially all of the assets of the Company. The Company can elect borrowings on a floating rate basis or a term basis. Floating rate borrowings accrue interest at a rate equal to the prime rate minus 1% per annum. Term rate borrowings accrue interest at a rate equal to the SOFR rate applicable to the selected term plus 1.8% per annum. Availability of funds under the ABL Facility is subject to a borrowing base calculation determined as the sum of (a) 90% of eligible accounts receivable, plus (b) the product of 85% multiplied by the net orderly liquidating value percentage identified in the most recent inventory appraisal multiplied by eligible inventory. The ABL Facility contains a springing financial covenant whereby the financial covenant is only tested when availability falls below the greater of 15% of the revolving commitment or $22.5 million. The financial covenant restricts the Company from allowing its fixed charge coverage ratio to be, as of the end of any calendar month, less than 1.10 to 1.00 for the trailing twelve-month period then ending. The fixed charge coverage ratio is calculated as the ratio of (a) EBITDA, as defined in the ABL Facility, minus unfinanced capital expenditures to (b) cash interest expense plus scheduled principal payments on indebtedness plus taxes paid in cash plus restricted payments paid in cash plus capital lease obligation payments plus cash contributions to any employee pension benefit plans. The ABL Facility contains other representations and warranties and affirmative and negative covenants that are usual and customary. If certain conditions precedent are satisfied, the ABL facility may be increased by up to an aggregate of $25 million, in minimum increments of $5 million. At September 30, 2023, the Company had a balance of approximately $54.4 million under the ABL Facility with an applicable interest rate of 7.5%. At September 30, 2023, the Company's applicable borrowing base calculation supported access to approximately $119.3 million of the ABL Facility.</w:t>
      </w:r>
    </w:p>
    <w:p>
      <w:pPr>
        <w:spacing w:after="0" w:line="180" w:lineRule="exact"/>
        <w:rPr>
          <w:sz w:val="20"/>
          <w:szCs w:val="20"/>
          <w:color w:val="auto"/>
        </w:rPr>
      </w:pPr>
    </w:p>
    <w:p>
      <w:pPr>
        <w:jc w:val="both"/>
        <w:ind w:right="20" w:firstLine="441"/>
        <w:spacing w:after="0" w:line="308" w:lineRule="auto"/>
        <w:rPr>
          <w:sz w:val="20"/>
          <w:szCs w:val="20"/>
          <w:color w:val="auto"/>
        </w:rPr>
      </w:pPr>
      <w:r>
        <w:rPr>
          <w:rFonts w:ascii="Arial" w:cs="Arial" w:eastAsia="Arial" w:hAnsi="Arial"/>
          <w:sz w:val="17"/>
          <w:szCs w:val="17"/>
          <w:color w:val="auto"/>
        </w:rPr>
        <w:t>The Company incurred debt issuance costs of approximately $0.4 million in connection with the ABL Facility. The Company recorded these debt issuance costs as non-current other assets and is amortizing these costs on an equal monthly basis over the remaining term of the ABL facility.</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68"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NOTE E — LEASES</w:t>
      </w:r>
    </w:p>
    <w:p>
      <w:pPr>
        <w:spacing w:after="0" w:line="225" w:lineRule="exact"/>
        <w:rPr>
          <w:sz w:val="20"/>
          <w:szCs w:val="20"/>
          <w:color w:val="auto"/>
        </w:rPr>
      </w:pPr>
    </w:p>
    <w:p>
      <w:pPr>
        <w:jc w:val="both"/>
        <w:ind w:firstLine="441"/>
        <w:spacing w:after="0" w:line="291" w:lineRule="auto"/>
        <w:rPr>
          <w:sz w:val="20"/>
          <w:szCs w:val="20"/>
          <w:color w:val="auto"/>
        </w:rPr>
      </w:pPr>
      <w:r>
        <w:rPr>
          <w:rFonts w:ascii="Arial" w:cs="Arial" w:eastAsia="Arial" w:hAnsi="Arial"/>
          <w:sz w:val="16"/>
          <w:szCs w:val="16"/>
          <w:color w:val="auto"/>
        </w:rPr>
        <w:t>The Company was assigned an operating lease associated with the real property and leasehold improvements for the Granite City, IL facility acquired from Plateplus pursuant to the transaction disclosed in Note B. The lease contained an expiration date of August 31, 2023 and the Company is in the process of renewing the lease. The lease calls for quarterly rental payments of approximately $19,000. The Company recognized an initial right-of-use ("ROU") asset and lease liability of approximately $1.2 million during the June 30, 2022 quarter related to this lease. The anticipated renewal of this lease is included in the ROU asset and lease liability calculation. The Company’s lease of its office space in Longview, Texas is the only other operating lease included in the Company's ROU assets and lease liabilities. The lease calls for monthly rent payments of approximately $5,000 and expires on April 30, 2024. The Company’s other operating leases for items such as IT equipment and storage space are either short-term in nature or immaterial.</w:t>
      </w:r>
    </w:p>
    <w:p>
      <w:pPr>
        <w:spacing w:after="0" w:line="166" w:lineRule="exact"/>
        <w:rPr>
          <w:sz w:val="20"/>
          <w:szCs w:val="20"/>
          <w:color w:val="auto"/>
        </w:rPr>
      </w:pPr>
    </w:p>
    <w:p>
      <w:pPr>
        <w:jc w:val="both"/>
        <w:ind w:firstLine="441"/>
        <w:spacing w:after="0" w:line="277" w:lineRule="auto"/>
        <w:rPr>
          <w:sz w:val="20"/>
          <w:szCs w:val="20"/>
          <w:color w:val="auto"/>
        </w:rPr>
      </w:pPr>
      <w:r>
        <w:rPr>
          <w:rFonts w:ascii="Arial" w:cs="Arial" w:eastAsia="Arial" w:hAnsi="Arial"/>
          <w:sz w:val="18"/>
          <w:szCs w:val="18"/>
          <w:color w:val="auto"/>
        </w:rPr>
        <w:t>In October 2019, the Company acquired a new heavy-duty forklift under a 5-year finance lease arrangement with a financed amount of approximately $0.5 million and a monthly payment of approximately $9,000.</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components of expense related to leases for the three and six months ended September 30, 2023 and 2022 are as follows (in thousands):</w:t>
      </w:r>
    </w:p>
    <w:p>
      <w:pPr>
        <w:spacing w:after="0" w:line="233" w:lineRule="exact"/>
        <w:rPr>
          <w:sz w:val="20"/>
          <w:szCs w:val="20"/>
          <w:color w:val="auto"/>
        </w:rPr>
      </w:pPr>
    </w:p>
    <w:tbl>
      <w:tblPr>
        <w:tblLayout w:type="fixed"/>
        <w:tblInd w:w="840" w:type="dxa"/>
        <w:tblCellMar>
          <w:top w:w="0" w:type="dxa"/>
          <w:left w:w="0" w:type="dxa"/>
          <w:bottom w:w="0" w:type="dxa"/>
          <w:right w:w="0" w:type="dxa"/>
        </w:tblCellMar>
      </w:tblPr>
      <w:tr>
        <w:trPr>
          <w:trHeight w:val="216"/>
        </w:trPr>
        <w:tc>
          <w:tcPr>
            <w:tcW w:w="3940" w:type="dxa"/>
            <w:vAlign w:val="bottom"/>
          </w:tcPr>
          <w:p>
            <w:pPr>
              <w:spacing w:after="0"/>
              <w:rPr>
                <w:sz w:val="18"/>
                <w:szCs w:val="18"/>
                <w:color w:val="auto"/>
              </w:rPr>
            </w:pPr>
          </w:p>
        </w:tc>
        <w:tc>
          <w:tcPr>
            <w:tcW w:w="2380" w:type="dxa"/>
            <w:vAlign w:val="bottom"/>
            <w:gridSpan w:val="4"/>
          </w:tcPr>
          <w:p>
            <w:pPr>
              <w:jc w:val="right"/>
              <w:ind w:right="141"/>
              <w:spacing w:after="0"/>
              <w:rPr>
                <w:sz w:val="20"/>
                <w:szCs w:val="20"/>
                <w:color w:val="auto"/>
              </w:rPr>
            </w:pPr>
            <w:r>
              <w:rPr>
                <w:rFonts w:ascii="Arial" w:cs="Arial" w:eastAsia="Arial" w:hAnsi="Arial"/>
                <w:sz w:val="18"/>
                <w:szCs w:val="18"/>
                <w:b w:val="1"/>
                <w:bCs w:val="1"/>
                <w:color w:val="auto"/>
              </w:rPr>
              <w:t>Three Months Ended</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60" w:type="dxa"/>
            <w:vAlign w:val="bottom"/>
            <w:gridSpan w:val="5"/>
          </w:tcPr>
          <w:p>
            <w:pPr>
              <w:jc w:val="right"/>
              <w:ind w:right="700"/>
              <w:spacing w:after="0"/>
              <w:rPr>
                <w:sz w:val="20"/>
                <w:szCs w:val="20"/>
                <w:color w:val="auto"/>
              </w:rPr>
            </w:pPr>
            <w:r>
              <w:rPr>
                <w:rFonts w:ascii="Arial" w:cs="Arial" w:eastAsia="Arial" w:hAnsi="Arial"/>
                <w:sz w:val="18"/>
                <w:szCs w:val="18"/>
                <w:b w:val="1"/>
                <w:bCs w:val="1"/>
                <w:color w:val="auto"/>
              </w:rPr>
              <w:t>Six Months Ended</w:t>
            </w:r>
          </w:p>
        </w:tc>
      </w:tr>
      <w:tr>
        <w:trPr>
          <w:trHeight w:val="234"/>
        </w:trPr>
        <w:tc>
          <w:tcPr>
            <w:tcW w:w="3940" w:type="dxa"/>
            <w:vAlign w:val="bottom"/>
          </w:tcPr>
          <w:p>
            <w:pPr>
              <w:spacing w:after="0"/>
              <w:rPr>
                <w:sz w:val="20"/>
                <w:szCs w:val="20"/>
                <w:color w:val="auto"/>
              </w:rPr>
            </w:pPr>
          </w:p>
        </w:tc>
        <w:tc>
          <w:tcPr>
            <w:tcW w:w="2380" w:type="dxa"/>
            <w:vAlign w:val="bottom"/>
            <w:gridSpan w:val="4"/>
          </w:tcPr>
          <w:p>
            <w:pPr>
              <w:jc w:val="right"/>
              <w:ind w:right="401"/>
              <w:spacing w:after="0"/>
              <w:rPr>
                <w:sz w:val="20"/>
                <w:szCs w:val="20"/>
                <w:color w:val="auto"/>
              </w:rPr>
            </w:pPr>
            <w:r>
              <w:rPr>
                <w:rFonts w:ascii="Arial" w:cs="Arial" w:eastAsia="Arial" w:hAnsi="Arial"/>
                <w:sz w:val="18"/>
                <w:szCs w:val="18"/>
                <w:b w:val="1"/>
                <w:bCs w:val="1"/>
                <w:color w:val="auto"/>
              </w:rPr>
              <w:t>September 30,</w:t>
            </w: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60" w:type="dxa"/>
            <w:vAlign w:val="bottom"/>
            <w:gridSpan w:val="5"/>
          </w:tcPr>
          <w:p>
            <w:pPr>
              <w:jc w:val="right"/>
              <w:ind w:right="860"/>
              <w:spacing w:after="0"/>
              <w:rPr>
                <w:sz w:val="20"/>
                <w:szCs w:val="20"/>
                <w:color w:val="auto"/>
              </w:rPr>
            </w:pPr>
            <w:r>
              <w:rPr>
                <w:rFonts w:ascii="Arial" w:cs="Arial" w:eastAsia="Arial" w:hAnsi="Arial"/>
                <w:sz w:val="18"/>
                <w:szCs w:val="18"/>
                <w:b w:val="1"/>
                <w:bCs w:val="1"/>
                <w:color w:val="auto"/>
              </w:rPr>
              <w:t>September 30,</w:t>
            </w:r>
          </w:p>
        </w:tc>
      </w:tr>
      <w:tr>
        <w:trPr>
          <w:trHeight w:val="209"/>
        </w:trPr>
        <w:tc>
          <w:tcPr>
            <w:tcW w:w="3940" w:type="dxa"/>
            <w:vAlign w:val="bottom"/>
          </w:tcPr>
          <w:p>
            <w:pPr>
              <w:spacing w:after="0"/>
              <w:rPr>
                <w:sz w:val="18"/>
                <w:szCs w:val="18"/>
                <w:color w:val="auto"/>
              </w:rPr>
            </w:pPr>
          </w:p>
        </w:tc>
        <w:tc>
          <w:tcPr>
            <w:tcW w:w="94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8"/>
                <w:szCs w:val="18"/>
                <w:b w:val="1"/>
                <w:bCs w:val="1"/>
                <w:color w:val="auto"/>
              </w:rPr>
              <w:t>2023</w:t>
            </w:r>
          </w:p>
        </w:tc>
        <w:tc>
          <w:tcPr>
            <w:tcW w:w="320" w:type="dxa"/>
            <w:vAlign w:val="bottom"/>
            <w:tcBorders>
              <w:top w:val="single" w:sz="8" w:color="auto"/>
              <w:bottom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8"/>
                <w:szCs w:val="18"/>
                <w:b w:val="1"/>
                <w:bCs w:val="1"/>
                <w:color w:val="auto"/>
              </w:rPr>
              <w:t>2022</w:t>
            </w:r>
          </w:p>
        </w:tc>
        <w:tc>
          <w:tcPr>
            <w:tcW w:w="300" w:type="dxa"/>
            <w:vAlign w:val="bottom"/>
            <w:tcBorders>
              <w:top w:val="single" w:sz="8" w:color="auto"/>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2023</w:t>
            </w:r>
          </w:p>
        </w:tc>
        <w:tc>
          <w:tcPr>
            <w:tcW w:w="180" w:type="dxa"/>
            <w:vAlign w:val="bottom"/>
            <w:tcBorders>
              <w:top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2022</w:t>
            </w:r>
          </w:p>
        </w:tc>
        <w:tc>
          <w:tcPr>
            <w:tcW w:w="80" w:type="dxa"/>
            <w:vAlign w:val="bottom"/>
          </w:tcPr>
          <w:p>
            <w:pPr>
              <w:spacing w:after="0"/>
              <w:rPr>
                <w:sz w:val="18"/>
                <w:szCs w:val="18"/>
                <w:color w:val="auto"/>
              </w:rPr>
            </w:pPr>
          </w:p>
        </w:tc>
      </w:tr>
      <w:tr>
        <w:trPr>
          <w:trHeight w:val="209"/>
        </w:trPr>
        <w:tc>
          <w:tcPr>
            <w:tcW w:w="3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Finance lease – amortization of ROU asset</w:t>
            </w:r>
          </w:p>
        </w:tc>
        <w:tc>
          <w:tcPr>
            <w:tcW w:w="940" w:type="dxa"/>
            <w:vAlign w:val="bottom"/>
            <w:shd w:val="clear" w:color="auto" w:fill="CCEEFF"/>
          </w:tcPr>
          <w:p>
            <w:pPr>
              <w:jc w:val="right"/>
              <w:ind w:right="777"/>
              <w:spacing w:after="0"/>
              <w:rPr>
                <w:sz w:val="20"/>
                <w:szCs w:val="20"/>
                <w:color w:val="auto"/>
              </w:rPr>
            </w:pPr>
            <w:r>
              <w:rPr>
                <w:rFonts w:ascii="Arial" w:cs="Arial" w:eastAsia="Arial" w:hAnsi="Arial"/>
                <w:sz w:val="15"/>
                <w:szCs w:val="15"/>
                <w:color w:val="auto"/>
                <w:w w:val="71"/>
              </w:rPr>
              <w:t>$</w:t>
            </w:r>
          </w:p>
        </w:tc>
        <w:tc>
          <w:tcPr>
            <w:tcW w:w="3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761"/>
              <w:spacing w:after="0"/>
              <w:rPr>
                <w:sz w:val="20"/>
                <w:szCs w:val="20"/>
                <w:color w:val="auto"/>
              </w:rPr>
            </w:pPr>
            <w:r>
              <w:rPr>
                <w:rFonts w:ascii="Arial" w:cs="Arial" w:eastAsia="Arial" w:hAnsi="Arial"/>
                <w:sz w:val="15"/>
                <w:szCs w:val="15"/>
                <w:color w:val="auto"/>
                <w:w w:val="71"/>
              </w:rPr>
              <w:t>$</w:t>
            </w:r>
          </w:p>
        </w:tc>
        <w:tc>
          <w:tcPr>
            <w:tcW w:w="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26</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52</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52</w:t>
            </w:r>
          </w:p>
        </w:tc>
      </w:tr>
      <w:tr>
        <w:trPr>
          <w:trHeight w:val="216"/>
        </w:trPr>
        <w:tc>
          <w:tcPr>
            <w:tcW w:w="3940" w:type="dxa"/>
            <w:vAlign w:val="bottom"/>
          </w:tcPr>
          <w:p>
            <w:pPr>
              <w:ind w:left="20"/>
              <w:spacing w:after="0"/>
              <w:rPr>
                <w:sz w:val="20"/>
                <w:szCs w:val="20"/>
                <w:color w:val="auto"/>
              </w:rPr>
            </w:pPr>
            <w:r>
              <w:rPr>
                <w:rFonts w:ascii="Arial" w:cs="Arial" w:eastAsia="Arial" w:hAnsi="Arial"/>
                <w:sz w:val="18"/>
                <w:szCs w:val="18"/>
                <w:color w:val="auto"/>
              </w:rPr>
              <w:t>Finance lease – interest on lease liability</w:t>
            </w:r>
          </w:p>
        </w:tc>
        <w:tc>
          <w:tcPr>
            <w:tcW w:w="940" w:type="dxa"/>
            <w:vAlign w:val="bottom"/>
          </w:tcPr>
          <w:p>
            <w:pPr>
              <w:spacing w:after="0"/>
              <w:rPr>
                <w:sz w:val="18"/>
                <w:szCs w:val="18"/>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8"/>
                <w:szCs w:val="18"/>
                <w:color w:val="auto"/>
              </w:rPr>
              <w:t>1</w:t>
            </w:r>
          </w:p>
        </w:tc>
        <w:tc>
          <w:tcPr>
            <w:tcW w:w="920" w:type="dxa"/>
            <w:vAlign w:val="bottom"/>
          </w:tcPr>
          <w:p>
            <w:pPr>
              <w:spacing w:after="0"/>
              <w:rPr>
                <w:sz w:val="18"/>
                <w:szCs w:val="18"/>
                <w:color w:val="auto"/>
              </w:rPr>
            </w:pPr>
          </w:p>
        </w:tc>
        <w:tc>
          <w:tcPr>
            <w:tcW w:w="480" w:type="dxa"/>
            <w:vAlign w:val="bottom"/>
            <w:gridSpan w:val="2"/>
          </w:tcPr>
          <w:p>
            <w:pPr>
              <w:jc w:val="right"/>
              <w:ind w:right="180"/>
              <w:spacing w:after="0"/>
              <w:rPr>
                <w:sz w:val="20"/>
                <w:szCs w:val="20"/>
                <w:color w:val="auto"/>
              </w:rPr>
            </w:pPr>
            <w:r>
              <w:rPr>
                <w:rFonts w:ascii="Arial" w:cs="Arial" w:eastAsia="Arial" w:hAnsi="Arial"/>
                <w:sz w:val="18"/>
                <w:szCs w:val="18"/>
                <w:color w:val="auto"/>
              </w:rPr>
              <w:t>1</w:t>
            </w:r>
          </w:p>
        </w:tc>
        <w:tc>
          <w:tcPr>
            <w:tcW w:w="28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2</w:t>
            </w:r>
          </w:p>
        </w:tc>
        <w:tc>
          <w:tcPr>
            <w:tcW w:w="28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2</w:t>
            </w:r>
          </w:p>
        </w:tc>
      </w:tr>
      <w:tr>
        <w:trPr>
          <w:trHeight w:val="216"/>
        </w:trPr>
        <w:tc>
          <w:tcPr>
            <w:tcW w:w="3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expense</w:t>
            </w:r>
          </w:p>
        </w:tc>
        <w:tc>
          <w:tcPr>
            <w:tcW w:w="940" w:type="dxa"/>
            <w:vAlign w:val="bottom"/>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34</w:t>
            </w: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68</w:t>
            </w: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61</w:t>
            </w:r>
          </w:p>
        </w:tc>
      </w:tr>
      <w:tr>
        <w:trPr>
          <w:trHeight w:val="20"/>
        </w:trPr>
        <w:tc>
          <w:tcPr>
            <w:tcW w:w="3940" w:type="dxa"/>
            <w:vAlign w:val="bottom"/>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20" w:type="dxa"/>
            <w:vAlign w:val="bottom"/>
            <w:tcBorders>
              <w:right w:val="single" w:sz="8" w:color="CCEEFF"/>
            </w:tcBorders>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209"/>
        </w:trPr>
        <w:tc>
          <w:tcPr>
            <w:tcW w:w="3940" w:type="dxa"/>
            <w:vAlign w:val="bottom"/>
          </w:tcPr>
          <w:p>
            <w:pPr>
              <w:spacing w:after="0"/>
              <w:rPr>
                <w:sz w:val="18"/>
                <w:szCs w:val="18"/>
                <w:color w:val="auto"/>
              </w:rPr>
            </w:pPr>
          </w:p>
        </w:tc>
        <w:tc>
          <w:tcPr>
            <w:tcW w:w="940" w:type="dxa"/>
            <w:vAlign w:val="bottom"/>
          </w:tcPr>
          <w:p>
            <w:pPr>
              <w:jc w:val="right"/>
              <w:ind w:right="777"/>
              <w:spacing w:after="0"/>
              <w:rPr>
                <w:sz w:val="20"/>
                <w:szCs w:val="20"/>
                <w:color w:val="auto"/>
              </w:rPr>
            </w:pPr>
            <w:r>
              <w:rPr>
                <w:rFonts w:ascii="Arial" w:cs="Arial" w:eastAsia="Arial" w:hAnsi="Arial"/>
                <w:sz w:val="15"/>
                <w:szCs w:val="15"/>
                <w:color w:val="auto"/>
                <w:w w:val="71"/>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61</w:t>
            </w:r>
          </w:p>
        </w:tc>
        <w:tc>
          <w:tcPr>
            <w:tcW w:w="200" w:type="dxa"/>
            <w:vAlign w:val="bottom"/>
          </w:tcPr>
          <w:p>
            <w:pPr>
              <w:spacing w:after="0"/>
              <w:rPr>
                <w:sz w:val="18"/>
                <w:szCs w:val="18"/>
                <w:color w:val="auto"/>
              </w:rPr>
            </w:pPr>
          </w:p>
        </w:tc>
        <w:tc>
          <w:tcPr>
            <w:tcW w:w="920" w:type="dxa"/>
            <w:vAlign w:val="bottom"/>
          </w:tcPr>
          <w:p>
            <w:pPr>
              <w:jc w:val="right"/>
              <w:ind w:right="761"/>
              <w:spacing w:after="0"/>
              <w:rPr>
                <w:sz w:val="20"/>
                <w:szCs w:val="20"/>
                <w:color w:val="auto"/>
              </w:rPr>
            </w:pPr>
            <w:r>
              <w:rPr>
                <w:rFonts w:ascii="Arial" w:cs="Arial" w:eastAsia="Arial" w:hAnsi="Arial"/>
                <w:sz w:val="15"/>
                <w:szCs w:val="15"/>
                <w:color w:val="auto"/>
                <w:w w:val="71"/>
              </w:rPr>
              <w:t>$</w:t>
            </w:r>
          </w:p>
        </w:tc>
        <w:tc>
          <w:tcPr>
            <w:tcW w:w="480" w:type="dxa"/>
            <w:vAlign w:val="bottom"/>
            <w:gridSpan w:val="2"/>
          </w:tcPr>
          <w:p>
            <w:pPr>
              <w:jc w:val="right"/>
              <w:ind w:right="180"/>
              <w:spacing w:after="0"/>
              <w:rPr>
                <w:sz w:val="20"/>
                <w:szCs w:val="20"/>
                <w:color w:val="auto"/>
              </w:rPr>
            </w:pPr>
            <w:r>
              <w:rPr>
                <w:rFonts w:ascii="Arial" w:cs="Arial" w:eastAsia="Arial" w:hAnsi="Arial"/>
                <w:sz w:val="18"/>
                <w:szCs w:val="18"/>
                <w:color w:val="auto"/>
              </w:rPr>
              <w:t>61</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122</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115</w:t>
            </w:r>
          </w:p>
        </w:tc>
      </w:tr>
      <w:tr>
        <w:trPr>
          <w:trHeight w:val="20"/>
        </w:trPr>
        <w:tc>
          <w:tcPr>
            <w:tcW w:w="394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 w:firstLine="441"/>
        <w:spacing w:after="0" w:line="277" w:lineRule="auto"/>
        <w:rPr>
          <w:sz w:val="20"/>
          <w:szCs w:val="20"/>
          <w:color w:val="auto"/>
        </w:rPr>
      </w:pPr>
      <w:r>
        <w:rPr>
          <w:rFonts w:ascii="Arial" w:cs="Arial" w:eastAsia="Arial" w:hAnsi="Arial"/>
          <w:sz w:val="18"/>
          <w:szCs w:val="18"/>
          <w:color w:val="auto"/>
        </w:rPr>
        <w:t>The following table illustrates the balance sheet classification for ROU assets and lease liabilities as of September 30, 2023 and March 31, 2023 (in thousands):</w:t>
      </w:r>
    </w:p>
    <w:p>
      <w:pPr>
        <w:spacing w:after="0" w:line="166" w:lineRule="exact"/>
        <w:rPr>
          <w:sz w:val="20"/>
          <w:szCs w:val="20"/>
          <w:color w:val="auto"/>
        </w:rPr>
      </w:pPr>
    </w:p>
    <w:tbl>
      <w:tblPr>
        <w:tblLayout w:type="fixed"/>
        <w:tblInd w:w="5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jc w:val="right"/>
              <w:ind w:right="90"/>
              <w:spacing w:after="0"/>
              <w:rPr>
                <w:sz w:val="20"/>
                <w:szCs w:val="20"/>
                <w:color w:val="auto"/>
              </w:rPr>
            </w:pPr>
            <w:r>
              <w:rPr>
                <w:rFonts w:ascii="Arial" w:cs="Arial" w:eastAsia="Arial" w:hAnsi="Arial"/>
                <w:sz w:val="18"/>
                <w:szCs w:val="18"/>
                <w:b w:val="1"/>
                <w:bCs w:val="1"/>
                <w:color w:val="auto"/>
                <w:w w:val="90"/>
              </w:rPr>
              <w:t>September 30,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920" w:type="dxa"/>
            <w:vAlign w:val="bottom"/>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40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2023</w:t>
            </w:r>
          </w:p>
        </w:tc>
        <w:tc>
          <w:tcPr>
            <w:tcW w:w="2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2"/>
              </w:rPr>
              <w:t>March 31, 2023</w:t>
            </w:r>
          </w:p>
        </w:tc>
        <w:tc>
          <w:tcPr>
            <w:tcW w:w="100" w:type="dxa"/>
            <w:vAlign w:val="bottom"/>
          </w:tcPr>
          <w:p>
            <w:pPr>
              <w:spacing w:after="0"/>
              <w:rPr>
                <w:sz w:val="20"/>
                <w:szCs w:val="20"/>
                <w:color w:val="auto"/>
              </w:rPr>
            </w:pPr>
          </w:p>
        </w:tc>
        <w:tc>
          <w:tcPr>
            <w:tcW w:w="29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Balance Sheet Classification</w:t>
            </w:r>
          </w:p>
        </w:tc>
      </w:tr>
      <w:tr>
        <w:trPr>
          <w:trHeight w:val="210"/>
        </w:trPr>
        <w:tc>
          <w:tcPr>
            <w:tcW w:w="2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9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40" w:type="dxa"/>
            <w:vAlign w:val="bottom"/>
          </w:tcPr>
          <w:p>
            <w:pPr>
              <w:ind w:left="320"/>
              <w:spacing w:after="0"/>
              <w:rPr>
                <w:sz w:val="20"/>
                <w:szCs w:val="20"/>
                <w:color w:val="auto"/>
              </w:rPr>
            </w:pPr>
            <w:r>
              <w:rPr>
                <w:rFonts w:ascii="Arial" w:cs="Arial" w:eastAsia="Arial" w:hAnsi="Arial"/>
                <w:sz w:val="18"/>
                <w:szCs w:val="18"/>
                <w:color w:val="auto"/>
              </w:rPr>
              <w:t>Operating lease right-of-use asset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1,219</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1,270</w:t>
            </w:r>
          </w:p>
        </w:tc>
        <w:tc>
          <w:tcPr>
            <w:tcW w:w="100" w:type="dxa"/>
            <w:vAlign w:val="bottom"/>
          </w:tcPr>
          <w:p>
            <w:pPr>
              <w:spacing w:after="0"/>
              <w:rPr>
                <w:sz w:val="18"/>
                <w:szCs w:val="18"/>
                <w:color w:val="auto"/>
              </w:rPr>
            </w:pPr>
          </w:p>
        </w:tc>
        <w:tc>
          <w:tcPr>
            <w:tcW w:w="2920" w:type="dxa"/>
            <w:vAlign w:val="bottom"/>
          </w:tcPr>
          <w:p>
            <w:pPr>
              <w:jc w:val="center"/>
              <w:spacing w:after="0"/>
              <w:rPr>
                <w:sz w:val="20"/>
                <w:szCs w:val="20"/>
                <w:color w:val="auto"/>
              </w:rPr>
            </w:pPr>
            <w:r>
              <w:rPr>
                <w:rFonts w:ascii="Arial" w:cs="Arial" w:eastAsia="Arial" w:hAnsi="Arial"/>
                <w:sz w:val="18"/>
                <w:szCs w:val="18"/>
                <w:color w:val="auto"/>
                <w:w w:val="89"/>
              </w:rPr>
              <w:t>Operating lease right-of-use asset</w:t>
            </w:r>
          </w:p>
        </w:tc>
      </w:tr>
      <w:tr>
        <w:trPr>
          <w:trHeight w:val="216"/>
        </w:trPr>
        <w:tc>
          <w:tcPr>
            <w:tcW w:w="20" w:type="dxa"/>
            <w:vAlign w:val="bottom"/>
          </w:tcPr>
          <w:p>
            <w:pPr>
              <w:spacing w:after="0"/>
              <w:rPr>
                <w:sz w:val="18"/>
                <w:szCs w:val="18"/>
                <w:color w:val="auto"/>
              </w:rPr>
            </w:pPr>
          </w:p>
        </w:tc>
        <w:tc>
          <w:tcPr>
            <w:tcW w:w="404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Finance lease right-of-use asset</w:t>
            </w:r>
          </w:p>
        </w:tc>
        <w:tc>
          <w:tcPr>
            <w:tcW w:w="12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417</w:t>
            </w:r>
          </w:p>
        </w:tc>
        <w:tc>
          <w:tcPr>
            <w:tcW w:w="2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430</w:t>
            </w:r>
          </w:p>
        </w:tc>
        <w:tc>
          <w:tcPr>
            <w:tcW w:w="100" w:type="dxa"/>
            <w:vAlign w:val="bottom"/>
            <w:tcBorders>
              <w:bottom w:val="single" w:sz="8" w:color="CCEEFF"/>
            </w:tcBorders>
            <w:shd w:val="clear" w:color="auto" w:fill="CCEEFF"/>
          </w:tcPr>
          <w:p>
            <w:pPr>
              <w:spacing w:after="0"/>
              <w:rPr>
                <w:sz w:val="18"/>
                <w:szCs w:val="18"/>
                <w:color w:val="auto"/>
              </w:rPr>
            </w:pPr>
          </w:p>
        </w:tc>
        <w:tc>
          <w:tcPr>
            <w:tcW w:w="29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Property, plant &amp; equipment</w:t>
            </w:r>
          </w:p>
        </w:tc>
      </w:tr>
      <w:tr>
        <w:trPr>
          <w:trHeight w:val="210"/>
        </w:trPr>
        <w:tc>
          <w:tcPr>
            <w:tcW w:w="20" w:type="dxa"/>
            <w:vAlign w:val="bottom"/>
          </w:tcPr>
          <w:p>
            <w:pPr>
              <w:spacing w:after="0"/>
              <w:rPr>
                <w:sz w:val="18"/>
                <w:szCs w:val="18"/>
                <w:color w:val="auto"/>
              </w:rPr>
            </w:pPr>
          </w:p>
        </w:tc>
        <w:tc>
          <w:tcPr>
            <w:tcW w:w="4040" w:type="dxa"/>
            <w:vAlign w:val="bottom"/>
          </w:tcPr>
          <w:p>
            <w:pPr>
              <w:ind w:left="640"/>
              <w:spacing w:after="0"/>
              <w:rPr>
                <w:sz w:val="20"/>
                <w:szCs w:val="20"/>
                <w:color w:val="auto"/>
              </w:rPr>
            </w:pPr>
            <w:r>
              <w:rPr>
                <w:rFonts w:ascii="Arial" w:cs="Arial" w:eastAsia="Arial" w:hAnsi="Arial"/>
                <w:sz w:val="18"/>
                <w:szCs w:val="18"/>
                <w:color w:val="auto"/>
              </w:rPr>
              <w:t>Total right-of-use assets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1,636</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1,700</w:t>
            </w:r>
          </w:p>
        </w:tc>
        <w:tc>
          <w:tcPr>
            <w:tcW w:w="100" w:type="dxa"/>
            <w:vAlign w:val="bottom"/>
          </w:tcPr>
          <w:p>
            <w:pPr>
              <w:spacing w:after="0"/>
              <w:rPr>
                <w:sz w:val="18"/>
                <w:szCs w:val="18"/>
                <w:color w:val="auto"/>
              </w:rPr>
            </w:pPr>
          </w:p>
        </w:tc>
        <w:tc>
          <w:tcPr>
            <w:tcW w:w="29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40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Liabilities</w:t>
            </w:r>
          </w:p>
        </w:tc>
        <w:tc>
          <w:tcPr>
            <w:tcW w:w="12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92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4040" w:type="dxa"/>
            <w:vAlign w:val="bottom"/>
          </w:tcPr>
          <w:p>
            <w:pPr>
              <w:ind w:left="320"/>
              <w:spacing w:after="0"/>
              <w:rPr>
                <w:sz w:val="20"/>
                <w:szCs w:val="20"/>
                <w:color w:val="auto"/>
              </w:rPr>
            </w:pPr>
            <w:r>
              <w:rPr>
                <w:rFonts w:ascii="Arial" w:cs="Arial" w:eastAsia="Arial" w:hAnsi="Arial"/>
                <w:sz w:val="18"/>
                <w:szCs w:val="18"/>
                <w:color w:val="auto"/>
              </w:rPr>
              <w:t>Operating lease liability, current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80</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18"/>
                <w:szCs w:val="18"/>
                <w:color w:val="auto"/>
              </w:rPr>
            </w:pPr>
          </w:p>
        </w:tc>
        <w:tc>
          <w:tcPr>
            <w:tcW w:w="2920" w:type="dxa"/>
            <w:vAlign w:val="bottom"/>
          </w:tcPr>
          <w:p>
            <w:pPr>
              <w:jc w:val="center"/>
              <w:spacing w:after="0"/>
              <w:rPr>
                <w:sz w:val="20"/>
                <w:szCs w:val="20"/>
                <w:color w:val="auto"/>
              </w:rPr>
            </w:pPr>
            <w:r>
              <w:rPr>
                <w:rFonts w:ascii="Arial" w:cs="Arial" w:eastAsia="Arial" w:hAnsi="Arial"/>
                <w:sz w:val="18"/>
                <w:szCs w:val="18"/>
                <w:color w:val="auto"/>
                <w:w w:val="87"/>
              </w:rPr>
              <w:t>Accrued expenses</w:t>
            </w: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Finance lease liability, current</w:t>
            </w: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100" w:type="dxa"/>
            <w:vAlign w:val="bottom"/>
            <w:shd w:val="clear" w:color="auto" w:fill="CCEEFF"/>
          </w:tcPr>
          <w:p>
            <w:pPr>
              <w:spacing w:after="0"/>
              <w:rPr>
                <w:sz w:val="18"/>
                <w:szCs w:val="18"/>
                <w:color w:val="auto"/>
              </w:rPr>
            </w:pPr>
          </w:p>
        </w:tc>
        <w:tc>
          <w:tcPr>
            <w:tcW w:w="2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Current portion of finance lease</w:t>
            </w:r>
          </w:p>
        </w:tc>
      </w:tr>
      <w:tr>
        <w:trPr>
          <w:trHeight w:val="216"/>
        </w:trPr>
        <w:tc>
          <w:tcPr>
            <w:tcW w:w="20" w:type="dxa"/>
            <w:vAlign w:val="bottom"/>
          </w:tcPr>
          <w:p>
            <w:pPr>
              <w:spacing w:after="0"/>
              <w:rPr>
                <w:sz w:val="18"/>
                <w:szCs w:val="18"/>
                <w:color w:val="auto"/>
              </w:rPr>
            </w:pPr>
          </w:p>
        </w:tc>
        <w:tc>
          <w:tcPr>
            <w:tcW w:w="4040" w:type="dxa"/>
            <w:vAlign w:val="bottom"/>
          </w:tcPr>
          <w:p>
            <w:pPr>
              <w:ind w:left="320"/>
              <w:spacing w:after="0"/>
              <w:rPr>
                <w:sz w:val="20"/>
                <w:szCs w:val="20"/>
                <w:color w:val="auto"/>
              </w:rPr>
            </w:pPr>
            <w:r>
              <w:rPr>
                <w:rFonts w:ascii="Arial" w:cs="Arial" w:eastAsia="Arial" w:hAnsi="Arial"/>
                <w:sz w:val="18"/>
                <w:szCs w:val="18"/>
                <w:color w:val="auto"/>
              </w:rPr>
              <w:t>Operating lease liability, non-current</w:t>
            </w: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1,139</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1,168</w:t>
            </w:r>
          </w:p>
        </w:tc>
        <w:tc>
          <w:tcPr>
            <w:tcW w:w="100" w:type="dxa"/>
            <w:vAlign w:val="bottom"/>
          </w:tcPr>
          <w:p>
            <w:pPr>
              <w:spacing w:after="0"/>
              <w:rPr>
                <w:sz w:val="18"/>
                <w:szCs w:val="18"/>
                <w:color w:val="auto"/>
              </w:rPr>
            </w:pPr>
          </w:p>
        </w:tc>
        <w:tc>
          <w:tcPr>
            <w:tcW w:w="2920" w:type="dxa"/>
            <w:vAlign w:val="bottom"/>
          </w:tcPr>
          <w:p>
            <w:pPr>
              <w:jc w:val="center"/>
              <w:spacing w:after="0"/>
              <w:rPr>
                <w:sz w:val="20"/>
                <w:szCs w:val="20"/>
                <w:color w:val="auto"/>
              </w:rPr>
            </w:pPr>
            <w:r>
              <w:rPr>
                <w:rFonts w:ascii="Arial" w:cs="Arial" w:eastAsia="Arial" w:hAnsi="Arial"/>
                <w:sz w:val="18"/>
                <w:szCs w:val="18"/>
                <w:color w:val="auto"/>
                <w:w w:val="93"/>
              </w:rPr>
              <w:t>Other non-current liabilities</w:t>
            </w:r>
          </w:p>
        </w:tc>
      </w:tr>
      <w:tr>
        <w:trPr>
          <w:trHeight w:val="216"/>
        </w:trPr>
        <w:tc>
          <w:tcPr>
            <w:tcW w:w="20" w:type="dxa"/>
            <w:vAlign w:val="bottom"/>
          </w:tcPr>
          <w:p>
            <w:pPr>
              <w:spacing w:after="0"/>
              <w:rPr>
                <w:sz w:val="18"/>
                <w:szCs w:val="18"/>
                <w:color w:val="auto"/>
              </w:rPr>
            </w:pPr>
          </w:p>
        </w:tc>
        <w:tc>
          <w:tcPr>
            <w:tcW w:w="404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Finance lease liability, non-current</w:t>
            </w:r>
          </w:p>
        </w:tc>
        <w:tc>
          <w:tcPr>
            <w:tcW w:w="12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00" w:type="dxa"/>
            <w:vAlign w:val="bottom"/>
            <w:tcBorders>
              <w:bottom w:val="single" w:sz="8" w:color="CCEEFF"/>
            </w:tcBorders>
            <w:shd w:val="clear" w:color="auto" w:fill="CCEEFF"/>
          </w:tcPr>
          <w:p>
            <w:pPr>
              <w:spacing w:after="0"/>
              <w:rPr>
                <w:sz w:val="18"/>
                <w:szCs w:val="18"/>
                <w:color w:val="auto"/>
              </w:rPr>
            </w:pPr>
          </w:p>
        </w:tc>
        <w:tc>
          <w:tcPr>
            <w:tcW w:w="29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Other non-current liabilities</w:t>
            </w:r>
          </w:p>
        </w:tc>
      </w:tr>
      <w:tr>
        <w:trPr>
          <w:trHeight w:val="209"/>
        </w:trPr>
        <w:tc>
          <w:tcPr>
            <w:tcW w:w="20" w:type="dxa"/>
            <w:vAlign w:val="bottom"/>
          </w:tcPr>
          <w:p>
            <w:pPr>
              <w:spacing w:after="0"/>
              <w:rPr>
                <w:sz w:val="18"/>
                <w:szCs w:val="18"/>
                <w:color w:val="auto"/>
              </w:rPr>
            </w:pPr>
          </w:p>
        </w:tc>
        <w:tc>
          <w:tcPr>
            <w:tcW w:w="4040" w:type="dxa"/>
            <w:vAlign w:val="bottom"/>
          </w:tcPr>
          <w:p>
            <w:pPr>
              <w:ind w:left="640"/>
              <w:spacing w:after="0"/>
              <w:rPr>
                <w:sz w:val="20"/>
                <w:szCs w:val="20"/>
                <w:color w:val="auto"/>
              </w:rPr>
            </w:pPr>
            <w:r>
              <w:rPr>
                <w:rFonts w:ascii="Arial" w:cs="Arial" w:eastAsia="Arial" w:hAnsi="Arial"/>
                <w:sz w:val="18"/>
                <w:szCs w:val="18"/>
                <w:color w:val="auto"/>
              </w:rPr>
              <w:t>Total lease liabilities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1,327</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1,430</w:t>
            </w:r>
          </w:p>
        </w:tc>
        <w:tc>
          <w:tcPr>
            <w:tcW w:w="100" w:type="dxa"/>
            <w:vAlign w:val="bottom"/>
          </w:tcPr>
          <w:p>
            <w:pPr>
              <w:spacing w:after="0"/>
              <w:rPr>
                <w:sz w:val="18"/>
                <w:szCs w:val="18"/>
                <w:color w:val="auto"/>
              </w:rPr>
            </w:pPr>
          </w:p>
        </w:tc>
        <w:tc>
          <w:tcPr>
            <w:tcW w:w="29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 w:firstLine="441"/>
        <w:spacing w:after="0" w:line="277" w:lineRule="auto"/>
        <w:rPr>
          <w:sz w:val="20"/>
          <w:szCs w:val="20"/>
          <w:color w:val="auto"/>
        </w:rPr>
      </w:pPr>
      <w:r>
        <w:rPr>
          <w:rFonts w:ascii="Arial" w:cs="Arial" w:eastAsia="Arial" w:hAnsi="Arial"/>
          <w:sz w:val="18"/>
          <w:szCs w:val="18"/>
          <w:color w:val="auto"/>
        </w:rPr>
        <w:t>As of September 30, 2023, the weighted-average remaining lease term was 19.4 years for operating leases and 1.0 years for finance leases. The weighted average discount rate was 2.6% for operating leases and 1.9% for finance leases.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Maturities of lease liabilities as of September 30, 2023 were as follows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40" w:type="dxa"/>
            <w:vAlign w:val="bottom"/>
          </w:tcPr>
          <w:p>
            <w:pPr>
              <w:spacing w:after="0"/>
              <w:rPr>
                <w:sz w:val="20"/>
                <w:szCs w:val="20"/>
                <w:color w:val="auto"/>
              </w:rPr>
            </w:pPr>
          </w:p>
        </w:tc>
        <w:tc>
          <w:tcPr>
            <w:tcW w:w="388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2"/>
              </w:rPr>
              <w:t>Operating Leases</w:t>
            </w:r>
          </w:p>
        </w:tc>
        <w:tc>
          <w:tcPr>
            <w:tcW w:w="1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w w:val="98"/>
              </w:rPr>
              <w:t>Finance Leases</w:t>
            </w:r>
          </w:p>
        </w:tc>
        <w:tc>
          <w:tcPr>
            <w:tcW w:w="8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210"/>
        </w:trPr>
        <w:tc>
          <w:tcPr>
            <w:tcW w:w="840" w:type="dxa"/>
            <w:vAlign w:val="bottom"/>
          </w:tcPr>
          <w:p>
            <w:pPr>
              <w:spacing w:after="0"/>
              <w:rPr>
                <w:sz w:val="18"/>
                <w:szCs w:val="18"/>
                <w:color w:val="auto"/>
              </w:rPr>
            </w:pPr>
          </w:p>
        </w:tc>
        <w:tc>
          <w:tcPr>
            <w:tcW w:w="3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Fiscal 2024 (remainder of fiscal year)</w:t>
            </w:r>
          </w:p>
        </w:tc>
        <w:tc>
          <w:tcPr>
            <w:tcW w:w="2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67</w:t>
            </w: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55</w:t>
            </w:r>
          </w:p>
        </w:tc>
        <w:tc>
          <w:tcPr>
            <w:tcW w:w="860" w:type="dxa"/>
            <w:vAlign w:val="bottom"/>
          </w:tcPr>
          <w:p>
            <w:pPr>
              <w:spacing w:after="0"/>
              <w:rPr>
                <w:sz w:val="18"/>
                <w:szCs w:val="18"/>
                <w:color w:val="auto"/>
              </w:rPr>
            </w:pPr>
          </w:p>
        </w:tc>
      </w:tr>
      <w:tr>
        <w:trPr>
          <w:trHeight w:val="230"/>
        </w:trPr>
        <w:tc>
          <w:tcPr>
            <w:tcW w:w="840" w:type="dxa"/>
            <w:vAlign w:val="bottom"/>
          </w:tcPr>
          <w:p>
            <w:pPr>
              <w:spacing w:after="0"/>
              <w:rPr>
                <w:sz w:val="19"/>
                <w:szCs w:val="19"/>
                <w:color w:val="auto"/>
              </w:rPr>
            </w:pPr>
          </w:p>
        </w:tc>
        <w:tc>
          <w:tcPr>
            <w:tcW w:w="3880" w:type="dxa"/>
            <w:vAlign w:val="bottom"/>
          </w:tcPr>
          <w:p>
            <w:pPr>
              <w:ind w:left="20"/>
              <w:spacing w:after="0"/>
              <w:rPr>
                <w:sz w:val="20"/>
                <w:szCs w:val="20"/>
                <w:color w:val="auto"/>
              </w:rPr>
            </w:pPr>
            <w:r>
              <w:rPr>
                <w:rFonts w:ascii="Arial" w:cs="Arial" w:eastAsia="Arial" w:hAnsi="Arial"/>
                <w:sz w:val="18"/>
                <w:szCs w:val="18"/>
                <w:color w:val="auto"/>
              </w:rPr>
              <w:t>Fiscal 2025</w:t>
            </w:r>
          </w:p>
        </w:tc>
        <w:tc>
          <w:tcPr>
            <w:tcW w:w="2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0" w:type="dxa"/>
            <w:vAlign w:val="bottom"/>
            <w:gridSpan w:val="2"/>
          </w:tcPr>
          <w:p>
            <w:pPr>
              <w:jc w:val="right"/>
              <w:ind w:right="180"/>
              <w:spacing w:after="0"/>
              <w:rPr>
                <w:sz w:val="20"/>
                <w:szCs w:val="20"/>
                <w:color w:val="auto"/>
              </w:rPr>
            </w:pPr>
            <w:r>
              <w:rPr>
                <w:rFonts w:ascii="Arial" w:cs="Arial" w:eastAsia="Arial" w:hAnsi="Arial"/>
                <w:sz w:val="18"/>
                <w:szCs w:val="18"/>
                <w:color w:val="auto"/>
              </w:rPr>
              <w:t>80</w:t>
            </w:r>
          </w:p>
        </w:tc>
        <w:tc>
          <w:tcPr>
            <w:tcW w:w="160" w:type="dxa"/>
            <w:vAlign w:val="bottom"/>
          </w:tcPr>
          <w:p>
            <w:pPr>
              <w:spacing w:after="0"/>
              <w:rPr>
                <w:sz w:val="19"/>
                <w:szCs w:val="19"/>
                <w:color w:val="auto"/>
              </w:rPr>
            </w:pPr>
          </w:p>
        </w:tc>
        <w:tc>
          <w:tcPr>
            <w:tcW w:w="1460" w:type="dxa"/>
            <w:vAlign w:val="bottom"/>
            <w:gridSpan w:val="2"/>
          </w:tcPr>
          <w:p>
            <w:pPr>
              <w:jc w:val="right"/>
              <w:ind w:right="80"/>
              <w:spacing w:after="0"/>
              <w:rPr>
                <w:sz w:val="20"/>
                <w:szCs w:val="20"/>
                <w:color w:val="auto"/>
              </w:rPr>
            </w:pPr>
            <w:r>
              <w:rPr>
                <w:rFonts w:ascii="Arial" w:cs="Arial" w:eastAsia="Arial" w:hAnsi="Arial"/>
                <w:sz w:val="18"/>
                <w:szCs w:val="18"/>
                <w:color w:val="auto"/>
              </w:rPr>
              <w:t>54</w:t>
            </w:r>
          </w:p>
        </w:tc>
        <w:tc>
          <w:tcPr>
            <w:tcW w:w="860" w:type="dxa"/>
            <w:vAlign w:val="bottom"/>
          </w:tcPr>
          <w:p>
            <w:pPr>
              <w:spacing w:after="0"/>
              <w:rPr>
                <w:sz w:val="19"/>
                <w:szCs w:val="19"/>
                <w:color w:val="auto"/>
              </w:rPr>
            </w:pPr>
          </w:p>
        </w:tc>
      </w:tr>
      <w:tr>
        <w:trPr>
          <w:trHeight w:val="216"/>
        </w:trPr>
        <w:tc>
          <w:tcPr>
            <w:tcW w:w="840" w:type="dxa"/>
            <w:vAlign w:val="bottom"/>
          </w:tcPr>
          <w:p>
            <w:pPr>
              <w:spacing w:after="0"/>
              <w:rPr>
                <w:sz w:val="18"/>
                <w:szCs w:val="18"/>
                <w:color w:val="auto"/>
              </w:rPr>
            </w:pPr>
          </w:p>
        </w:tc>
        <w:tc>
          <w:tcPr>
            <w:tcW w:w="3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Fiscal 2026</w:t>
            </w:r>
          </w:p>
        </w:tc>
        <w:tc>
          <w:tcPr>
            <w:tcW w:w="2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75</w:t>
            </w: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60" w:type="dxa"/>
            <w:vAlign w:val="bottom"/>
          </w:tcPr>
          <w:p>
            <w:pPr>
              <w:spacing w:after="0"/>
              <w:rPr>
                <w:sz w:val="18"/>
                <w:szCs w:val="18"/>
                <w:color w:val="auto"/>
              </w:rPr>
            </w:pPr>
          </w:p>
        </w:tc>
      </w:tr>
      <w:tr>
        <w:trPr>
          <w:trHeight w:val="216"/>
        </w:trPr>
        <w:tc>
          <w:tcPr>
            <w:tcW w:w="840" w:type="dxa"/>
            <w:vAlign w:val="bottom"/>
          </w:tcPr>
          <w:p>
            <w:pPr>
              <w:spacing w:after="0"/>
              <w:rPr>
                <w:sz w:val="18"/>
                <w:szCs w:val="18"/>
                <w:color w:val="auto"/>
              </w:rPr>
            </w:pPr>
          </w:p>
        </w:tc>
        <w:tc>
          <w:tcPr>
            <w:tcW w:w="3880" w:type="dxa"/>
            <w:vAlign w:val="bottom"/>
          </w:tcPr>
          <w:p>
            <w:pPr>
              <w:ind w:left="20"/>
              <w:spacing w:after="0"/>
              <w:rPr>
                <w:sz w:val="20"/>
                <w:szCs w:val="20"/>
                <w:color w:val="auto"/>
              </w:rPr>
            </w:pPr>
            <w:r>
              <w:rPr>
                <w:rFonts w:ascii="Arial" w:cs="Arial" w:eastAsia="Arial" w:hAnsi="Arial"/>
                <w:sz w:val="18"/>
                <w:szCs w:val="18"/>
                <w:color w:val="auto"/>
              </w:rPr>
              <w:t>Fiscal 2027</w:t>
            </w:r>
          </w:p>
        </w:tc>
        <w:tc>
          <w:tcPr>
            <w:tcW w:w="2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gridSpan w:val="2"/>
          </w:tcPr>
          <w:p>
            <w:pPr>
              <w:jc w:val="right"/>
              <w:ind w:right="180"/>
              <w:spacing w:after="0"/>
              <w:rPr>
                <w:sz w:val="20"/>
                <w:szCs w:val="20"/>
                <w:color w:val="auto"/>
              </w:rPr>
            </w:pPr>
            <w:r>
              <w:rPr>
                <w:rFonts w:ascii="Arial" w:cs="Arial" w:eastAsia="Arial" w:hAnsi="Arial"/>
                <w:sz w:val="18"/>
                <w:szCs w:val="18"/>
                <w:color w:val="auto"/>
              </w:rPr>
              <w:t>75</w:t>
            </w:r>
          </w:p>
        </w:tc>
        <w:tc>
          <w:tcPr>
            <w:tcW w:w="160" w:type="dxa"/>
            <w:vAlign w:val="bottom"/>
          </w:tcPr>
          <w:p>
            <w:pPr>
              <w:spacing w:after="0"/>
              <w:rPr>
                <w:sz w:val="18"/>
                <w:szCs w:val="18"/>
                <w:color w:val="auto"/>
              </w:rPr>
            </w:pPr>
          </w:p>
        </w:tc>
        <w:tc>
          <w:tcPr>
            <w:tcW w:w="14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60" w:type="dxa"/>
            <w:vAlign w:val="bottom"/>
          </w:tcPr>
          <w:p>
            <w:pPr>
              <w:spacing w:after="0"/>
              <w:rPr>
                <w:sz w:val="18"/>
                <w:szCs w:val="18"/>
                <w:color w:val="auto"/>
              </w:rPr>
            </w:pPr>
          </w:p>
        </w:tc>
      </w:tr>
      <w:tr>
        <w:trPr>
          <w:trHeight w:val="216"/>
        </w:trPr>
        <w:tc>
          <w:tcPr>
            <w:tcW w:w="840" w:type="dxa"/>
            <w:vAlign w:val="bottom"/>
          </w:tcPr>
          <w:p>
            <w:pPr>
              <w:spacing w:after="0"/>
              <w:rPr>
                <w:sz w:val="18"/>
                <w:szCs w:val="18"/>
                <w:color w:val="auto"/>
              </w:rPr>
            </w:pPr>
          </w:p>
        </w:tc>
        <w:tc>
          <w:tcPr>
            <w:tcW w:w="3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Fiscal 2028 and beyond</w:t>
            </w:r>
          </w:p>
        </w:tc>
        <w:tc>
          <w:tcPr>
            <w:tcW w:w="2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1,237</w:t>
            </w: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60" w:type="dxa"/>
            <w:vAlign w:val="bottom"/>
          </w:tcPr>
          <w:p>
            <w:pPr>
              <w:spacing w:after="0"/>
              <w:rPr>
                <w:sz w:val="18"/>
                <w:szCs w:val="18"/>
                <w:color w:val="auto"/>
              </w:rPr>
            </w:pPr>
          </w:p>
        </w:tc>
      </w:tr>
      <w:tr>
        <w:trPr>
          <w:trHeight w:val="20"/>
        </w:trPr>
        <w:tc>
          <w:tcPr>
            <w:tcW w:w="840" w:type="dxa"/>
            <w:vAlign w:val="bottom"/>
          </w:tcPr>
          <w:p>
            <w:pPr>
              <w:spacing w:after="0" w:line="20" w:lineRule="exact"/>
              <w:rPr>
                <w:sz w:val="1"/>
                <w:szCs w:val="1"/>
                <w:color w:val="auto"/>
              </w:rPr>
            </w:pPr>
          </w:p>
        </w:tc>
        <w:tc>
          <w:tcPr>
            <w:tcW w:w="3880" w:type="dxa"/>
            <w:vAlign w:val="bottom"/>
            <w:shd w:val="clear" w:color="auto" w:fill="CCEEFF"/>
          </w:tcPr>
          <w:p>
            <w:pPr>
              <w:spacing w:after="0" w:line="20" w:lineRule="exact"/>
              <w:rPr>
                <w:sz w:val="1"/>
                <w:szCs w:val="1"/>
                <w:color w:val="auto"/>
              </w:rPr>
            </w:pPr>
          </w:p>
        </w:tc>
        <w:tc>
          <w:tcPr>
            <w:tcW w:w="23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209"/>
        </w:trPr>
        <w:tc>
          <w:tcPr>
            <w:tcW w:w="840" w:type="dxa"/>
            <w:vAlign w:val="bottom"/>
          </w:tcPr>
          <w:p>
            <w:pPr>
              <w:spacing w:after="0"/>
              <w:rPr>
                <w:sz w:val="18"/>
                <w:szCs w:val="18"/>
                <w:color w:val="auto"/>
              </w:rPr>
            </w:pPr>
          </w:p>
        </w:tc>
        <w:tc>
          <w:tcPr>
            <w:tcW w:w="3880" w:type="dxa"/>
            <w:vAlign w:val="bottom"/>
          </w:tcPr>
          <w:p>
            <w:pPr>
              <w:ind w:left="500"/>
              <w:spacing w:after="0"/>
              <w:rPr>
                <w:sz w:val="20"/>
                <w:szCs w:val="20"/>
                <w:color w:val="auto"/>
              </w:rPr>
            </w:pPr>
            <w:r>
              <w:rPr>
                <w:rFonts w:ascii="Arial" w:cs="Arial" w:eastAsia="Arial" w:hAnsi="Arial"/>
                <w:sz w:val="18"/>
                <w:szCs w:val="18"/>
                <w:color w:val="auto"/>
              </w:rPr>
              <w:t>Total undiscounted lease payments</w:t>
            </w:r>
          </w:p>
        </w:tc>
        <w:tc>
          <w:tcPr>
            <w:tcW w:w="23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gridSpan w:val="2"/>
          </w:tcPr>
          <w:p>
            <w:pPr>
              <w:jc w:val="right"/>
              <w:ind w:right="180"/>
              <w:spacing w:after="0"/>
              <w:rPr>
                <w:sz w:val="20"/>
                <w:szCs w:val="20"/>
                <w:color w:val="auto"/>
              </w:rPr>
            </w:pPr>
            <w:r>
              <w:rPr>
                <w:rFonts w:ascii="Arial" w:cs="Arial" w:eastAsia="Arial" w:hAnsi="Arial"/>
                <w:sz w:val="18"/>
                <w:szCs w:val="18"/>
                <w:color w:val="auto"/>
              </w:rPr>
              <w:t>1,534</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tcPr>
          <w:p>
            <w:pPr>
              <w:jc w:val="right"/>
              <w:ind w:right="80"/>
              <w:spacing w:after="0"/>
              <w:rPr>
                <w:sz w:val="20"/>
                <w:szCs w:val="20"/>
                <w:color w:val="auto"/>
              </w:rPr>
            </w:pPr>
            <w:r>
              <w:rPr>
                <w:rFonts w:ascii="Arial" w:cs="Arial" w:eastAsia="Arial" w:hAnsi="Arial"/>
                <w:sz w:val="18"/>
                <w:szCs w:val="18"/>
                <w:color w:val="auto"/>
              </w:rPr>
              <w:t>109</w:t>
            </w:r>
          </w:p>
        </w:tc>
        <w:tc>
          <w:tcPr>
            <w:tcW w:w="860" w:type="dxa"/>
            <w:vAlign w:val="bottom"/>
          </w:tcPr>
          <w:p>
            <w:pPr>
              <w:spacing w:after="0"/>
              <w:rPr>
                <w:sz w:val="18"/>
                <w:szCs w:val="18"/>
                <w:color w:val="auto"/>
              </w:rPr>
            </w:pPr>
          </w:p>
        </w:tc>
      </w:tr>
      <w:tr>
        <w:trPr>
          <w:trHeight w:val="216"/>
        </w:trPr>
        <w:tc>
          <w:tcPr>
            <w:tcW w:w="840" w:type="dxa"/>
            <w:vAlign w:val="bottom"/>
          </w:tcPr>
          <w:p>
            <w:pPr>
              <w:spacing w:after="0"/>
              <w:rPr>
                <w:sz w:val="18"/>
                <w:szCs w:val="18"/>
                <w:color w:val="auto"/>
              </w:rPr>
            </w:pPr>
          </w:p>
        </w:tc>
        <w:tc>
          <w:tcPr>
            <w:tcW w:w="3880" w:type="dxa"/>
            <w:vAlign w:val="bottom"/>
            <w:shd w:val="clear" w:color="auto" w:fill="CCEEFF"/>
          </w:tcPr>
          <w:p>
            <w:pPr>
              <w:ind w:left="500"/>
              <w:spacing w:after="0"/>
              <w:rPr>
                <w:sz w:val="20"/>
                <w:szCs w:val="20"/>
                <w:color w:val="auto"/>
              </w:rPr>
            </w:pPr>
            <w:r>
              <w:rPr>
                <w:rFonts w:ascii="Arial" w:cs="Arial" w:eastAsia="Arial" w:hAnsi="Arial"/>
                <w:sz w:val="18"/>
                <w:szCs w:val="18"/>
                <w:color w:val="auto"/>
              </w:rPr>
              <w:t>Less: imputed interest</w:t>
            </w:r>
          </w:p>
        </w:tc>
        <w:tc>
          <w:tcPr>
            <w:tcW w:w="2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(315)</w:t>
            </w: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w:t>
            </w:r>
          </w:p>
        </w:tc>
        <w:tc>
          <w:tcPr>
            <w:tcW w:w="860" w:type="dxa"/>
            <w:vAlign w:val="bottom"/>
          </w:tcPr>
          <w:p>
            <w:pPr>
              <w:spacing w:after="0"/>
              <w:rPr>
                <w:sz w:val="18"/>
                <w:szCs w:val="18"/>
                <w:color w:val="auto"/>
              </w:rPr>
            </w:pPr>
          </w:p>
        </w:tc>
      </w:tr>
      <w:tr>
        <w:trPr>
          <w:trHeight w:val="20"/>
        </w:trPr>
        <w:tc>
          <w:tcPr>
            <w:tcW w:w="840" w:type="dxa"/>
            <w:vAlign w:val="bottom"/>
          </w:tcPr>
          <w:p>
            <w:pPr>
              <w:spacing w:after="0" w:line="20" w:lineRule="exact"/>
              <w:rPr>
                <w:sz w:val="1"/>
                <w:szCs w:val="1"/>
                <w:color w:val="auto"/>
              </w:rPr>
            </w:pPr>
          </w:p>
        </w:tc>
        <w:tc>
          <w:tcPr>
            <w:tcW w:w="3880" w:type="dxa"/>
            <w:vAlign w:val="bottom"/>
            <w:shd w:val="clear" w:color="auto" w:fill="CCEEFF"/>
          </w:tcPr>
          <w:p>
            <w:pPr>
              <w:spacing w:after="0" w:line="20" w:lineRule="exact"/>
              <w:rPr>
                <w:sz w:val="1"/>
                <w:szCs w:val="1"/>
                <w:color w:val="auto"/>
              </w:rPr>
            </w:pPr>
          </w:p>
        </w:tc>
        <w:tc>
          <w:tcPr>
            <w:tcW w:w="23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224"/>
        </w:trPr>
        <w:tc>
          <w:tcPr>
            <w:tcW w:w="840" w:type="dxa"/>
            <w:vAlign w:val="bottom"/>
          </w:tcPr>
          <w:p>
            <w:pPr>
              <w:spacing w:after="0"/>
              <w:rPr>
                <w:sz w:val="19"/>
                <w:szCs w:val="19"/>
                <w:color w:val="auto"/>
              </w:rPr>
            </w:pPr>
          </w:p>
        </w:tc>
        <w:tc>
          <w:tcPr>
            <w:tcW w:w="3880" w:type="dxa"/>
            <w:vAlign w:val="bottom"/>
          </w:tcPr>
          <w:p>
            <w:pPr>
              <w:ind w:left="500"/>
              <w:spacing w:after="0"/>
              <w:rPr>
                <w:sz w:val="20"/>
                <w:szCs w:val="20"/>
                <w:color w:val="auto"/>
              </w:rPr>
            </w:pPr>
            <w:r>
              <w:rPr>
                <w:rFonts w:ascii="Arial" w:cs="Arial" w:eastAsia="Arial" w:hAnsi="Arial"/>
                <w:sz w:val="18"/>
                <w:szCs w:val="18"/>
                <w:color w:val="auto"/>
              </w:rPr>
              <w:t>Present value of lease liability</w:t>
            </w:r>
          </w:p>
        </w:tc>
        <w:tc>
          <w:tcPr>
            <w:tcW w:w="23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gridSpan w:val="2"/>
          </w:tcPr>
          <w:p>
            <w:pPr>
              <w:jc w:val="right"/>
              <w:ind w:right="180"/>
              <w:spacing w:after="0"/>
              <w:rPr>
                <w:sz w:val="20"/>
                <w:szCs w:val="20"/>
                <w:color w:val="auto"/>
              </w:rPr>
            </w:pPr>
            <w:r>
              <w:rPr>
                <w:rFonts w:ascii="Arial" w:cs="Arial" w:eastAsia="Arial" w:hAnsi="Arial"/>
                <w:sz w:val="18"/>
                <w:szCs w:val="18"/>
                <w:color w:val="auto"/>
              </w:rPr>
              <w:t>1,219</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tcPr>
          <w:p>
            <w:pPr>
              <w:jc w:val="right"/>
              <w:ind w:right="80"/>
              <w:spacing w:after="0"/>
              <w:rPr>
                <w:sz w:val="20"/>
                <w:szCs w:val="20"/>
                <w:color w:val="auto"/>
              </w:rPr>
            </w:pPr>
            <w:r>
              <w:rPr>
                <w:rFonts w:ascii="Arial" w:cs="Arial" w:eastAsia="Arial" w:hAnsi="Arial"/>
                <w:sz w:val="18"/>
                <w:szCs w:val="18"/>
                <w:color w:val="auto"/>
              </w:rPr>
              <w:t>108</w:t>
            </w:r>
          </w:p>
        </w:tc>
        <w:tc>
          <w:tcPr>
            <w:tcW w:w="860" w:type="dxa"/>
            <w:vAlign w:val="bottom"/>
          </w:tcPr>
          <w:p>
            <w:pPr>
              <w:spacing w:after="0"/>
              <w:rPr>
                <w:sz w:val="19"/>
                <w:szCs w:val="19"/>
                <w:color w:val="auto"/>
              </w:rPr>
            </w:pPr>
          </w:p>
        </w:tc>
      </w:tr>
      <w:tr>
        <w:trPr>
          <w:trHeight w:val="418"/>
        </w:trPr>
        <w:tc>
          <w:tcPr>
            <w:tcW w:w="84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2340" w:type="dxa"/>
            <w:vAlign w:val="bottom"/>
          </w:tcPr>
          <w:p>
            <w:pPr>
              <w:jc w:val="right"/>
              <w:ind w:right="1310"/>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15"/>
        </w:trPr>
        <w:tc>
          <w:tcPr>
            <w:tcW w:w="840" w:type="dxa"/>
            <w:vAlign w:val="bottom"/>
            <w:tcBorders>
              <w:bottom w:val="single" w:sz="8" w:color="auto"/>
            </w:tcBorders>
          </w:tcPr>
          <w:p>
            <w:pPr>
              <w:spacing w:after="0"/>
              <w:rPr>
                <w:sz w:val="10"/>
                <w:szCs w:val="10"/>
                <w:color w:val="auto"/>
              </w:rPr>
            </w:pPr>
          </w:p>
        </w:tc>
        <w:tc>
          <w:tcPr>
            <w:tcW w:w="3880" w:type="dxa"/>
            <w:vAlign w:val="bottom"/>
            <w:tcBorders>
              <w:bottom w:val="single" w:sz="8" w:color="auto"/>
            </w:tcBorders>
          </w:tcPr>
          <w:p>
            <w:pPr>
              <w:spacing w:after="0"/>
              <w:rPr>
                <w:sz w:val="10"/>
                <w:szCs w:val="10"/>
                <w:color w:val="auto"/>
              </w:rPr>
            </w:pPr>
          </w:p>
        </w:tc>
        <w:tc>
          <w:tcPr>
            <w:tcW w:w="23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42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3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25"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NOTE F — PROPERTY, PLANT AND EQUIPMENT</w:t>
      </w:r>
    </w:p>
    <w:p>
      <w:pPr>
        <w:spacing w:after="0" w:line="225"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In October 2022, the Company completed its new facility in Sinton, Texas, which is part of the flat-roll product segment (previously referred to as the coil product segment) at a total completed cost of approximately $22.2 million. The new facility is on the campus of Steel Dynamics, Inc.'s ("SDI") new flat roll steel mill in Sinton, Texas and consists of an approximately 70,000 square foot building located on approximately 26.5 acres leased from SDI under a 99-year agreement with an annual rental payment of $1. The facility is equipped with a stretcher leveler cut-to-length line that is capable of handling material up to 1” thick, widths up to 96” and yields exceeding 100,000 psi.</w:t>
      </w:r>
    </w:p>
    <w:p>
      <w:pPr>
        <w:spacing w:after="0" w:line="188" w:lineRule="exact"/>
        <w:rPr>
          <w:sz w:val="20"/>
          <w:szCs w:val="20"/>
          <w:color w:val="auto"/>
        </w:rPr>
      </w:pPr>
    </w:p>
    <w:p>
      <w:pPr>
        <w:jc w:val="both"/>
        <w:ind w:firstLine="486"/>
        <w:spacing w:after="0" w:line="301" w:lineRule="auto"/>
        <w:rPr>
          <w:sz w:val="20"/>
          <w:szCs w:val="20"/>
          <w:color w:val="auto"/>
        </w:rPr>
      </w:pPr>
      <w:r>
        <w:rPr>
          <w:rFonts w:ascii="Arial" w:cs="Arial" w:eastAsia="Arial" w:hAnsi="Arial"/>
          <w:sz w:val="16"/>
          <w:szCs w:val="16"/>
          <w:color w:val="auto"/>
        </w:rPr>
        <w:t>At September 30, 2023, the Company's construction in process balance of approximately $3.9 million consisted primarily of projects at the Decatur, AL facility which include approximately $1.2 million associated with a building expansion, $1.1 million associated with upgrading a component of the processing line and $0.5 million associated with expansion of the storage yard. The total of the three projects is estimated to cost $4.4 million with completion expected during the March 31, 2024 quarter. The remaining construction in process balance is comprised of several smaller projects.</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color w:val="auto"/>
        </w:rPr>
        <w:t>NOTE G — STOCK BASED COMPENSATION</w:t>
      </w:r>
    </w:p>
    <w:p>
      <w:pPr>
        <w:spacing w:after="0" w:line="225" w:lineRule="exact"/>
        <w:rPr>
          <w:sz w:val="20"/>
          <w:szCs w:val="20"/>
          <w:color w:val="auto"/>
        </w:rPr>
      </w:pPr>
    </w:p>
    <w:p>
      <w:pPr>
        <w:jc w:val="both"/>
        <w:ind w:firstLine="441"/>
        <w:spacing w:after="0" w:line="271" w:lineRule="auto"/>
        <w:rPr>
          <w:sz w:val="20"/>
          <w:szCs w:val="20"/>
          <w:color w:val="auto"/>
        </w:rPr>
      </w:pPr>
      <w:r>
        <w:rPr>
          <w:rFonts w:ascii="Arial" w:cs="Arial" w:eastAsia="Arial" w:hAnsi="Arial"/>
          <w:sz w:val="17"/>
          <w:szCs w:val="17"/>
          <w:color w:val="auto"/>
        </w:rPr>
        <w:t>The Company maintains the Friedman Industries, Incorporated 2016 Restricted Stock Plan (the “Plan”). The Plan is administered by the Compensation Committee (the “Committee”) of the Board of Directors (the “Board”) and continues indefinitely until terminated by the Board or until all shares allowed by the Plan have been awarded and earned. The aggregate number of shares of the Company’s Common Stock eligible for award under the Plan is 500,000 shares. Subject to the terms and provisions of the Plan, the Committee may, from time to time, select the employees, directors or consultants to whom awards will be granted and shall determine the amount and applicable restrictions of each award. Restricted awards entitle recipients to vote and receive non-forfeitable dividends during the restriction period. Because dividends are non-forfeitable, they are reflected in retained earnings. Forfeitures are accounted for upon their occurrence. Because the Company accounts for forfeitures as they occur, the non-forfeitable dividends are reclassified from retained earnings to additional stock compensation for the actual forfeitures that occurred.</w:t>
      </w:r>
    </w:p>
    <w:p>
      <w:pPr>
        <w:spacing w:after="0" w:line="17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the activity related to restricted stock units ("RSUs") for the six months ended September 30, 2023:</w:t>
      </w:r>
    </w:p>
    <w:p>
      <w:pPr>
        <w:sectPr>
          <w:pgSz w:w="11900" w:h="16838" w:orient="portrait"/>
          <w:cols w:equalWidth="0" w:num="1">
            <w:col w:w="11240"/>
          </w:cols>
          <w:pgMar w:left="320" w:top="125" w:right="3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Unvested at March 31, 2023</w:t>
      </w:r>
    </w:p>
    <w:p>
      <w:pPr>
        <w:spacing w:after="0" w:line="23" w:lineRule="exact"/>
        <w:rPr>
          <w:sz w:val="20"/>
          <w:szCs w:val="20"/>
          <w:color w:val="auto"/>
        </w:rPr>
      </w:pPr>
    </w:p>
    <w:p>
      <w:pPr>
        <w:ind w:left="740"/>
        <w:spacing w:after="0"/>
        <w:rPr>
          <w:sz w:val="20"/>
          <w:szCs w:val="20"/>
          <w:color w:val="auto"/>
        </w:rPr>
      </w:pPr>
      <w:r>
        <w:rPr>
          <w:rFonts w:ascii="Arial" w:cs="Arial" w:eastAsia="Arial" w:hAnsi="Arial"/>
          <w:sz w:val="18"/>
          <w:szCs w:val="18"/>
          <w:color w:val="auto"/>
        </w:rPr>
        <w:t>Cancelled or forfeited</w:t>
      </w:r>
    </w:p>
    <w:p>
      <w:pPr>
        <w:spacing w:after="0" w:line="9" w:lineRule="exact"/>
        <w:rPr>
          <w:sz w:val="20"/>
          <w:szCs w:val="20"/>
          <w:color w:val="auto"/>
        </w:rPr>
      </w:pPr>
    </w:p>
    <w:p>
      <w:pPr>
        <w:ind w:left="740"/>
        <w:spacing w:after="0"/>
        <w:rPr>
          <w:sz w:val="20"/>
          <w:szCs w:val="20"/>
          <w:color w:val="auto"/>
        </w:rPr>
      </w:pPr>
      <w:r>
        <w:rPr>
          <w:rFonts w:ascii="Arial" w:cs="Arial" w:eastAsia="Arial" w:hAnsi="Arial"/>
          <w:sz w:val="18"/>
          <w:szCs w:val="18"/>
          <w:color w:val="auto"/>
        </w:rPr>
        <w:t>Granted</w:t>
      </w:r>
    </w:p>
    <w:p>
      <w:pPr>
        <w:spacing w:after="0" w:line="9" w:lineRule="exact"/>
        <w:rPr>
          <w:sz w:val="20"/>
          <w:szCs w:val="20"/>
          <w:color w:val="auto"/>
        </w:rPr>
      </w:pPr>
    </w:p>
    <w:p>
      <w:pPr>
        <w:ind w:left="740"/>
        <w:spacing w:after="0"/>
        <w:rPr>
          <w:sz w:val="20"/>
          <w:szCs w:val="20"/>
          <w:color w:val="auto"/>
        </w:rPr>
      </w:pPr>
      <w:r>
        <w:rPr>
          <w:rFonts w:ascii="Arial" w:cs="Arial" w:eastAsia="Arial" w:hAnsi="Arial"/>
          <w:sz w:val="18"/>
          <w:szCs w:val="18"/>
          <w:color w:val="auto"/>
        </w:rPr>
        <w:t>Vested</w:t>
      </w:r>
    </w:p>
    <w:p>
      <w:pPr>
        <w:spacing w:after="0" w:line="49" w:lineRule="exact"/>
        <w:rPr>
          <w:sz w:val="20"/>
          <w:szCs w:val="20"/>
          <w:color w:val="auto"/>
        </w:rPr>
      </w:pPr>
    </w:p>
    <w:p>
      <w:pPr>
        <w:ind w:left="560"/>
        <w:spacing w:after="0"/>
        <w:rPr>
          <w:sz w:val="20"/>
          <w:szCs w:val="20"/>
          <w:color w:val="auto"/>
        </w:rPr>
      </w:pPr>
      <w:r>
        <w:rPr>
          <w:rFonts w:ascii="Arial" w:cs="Arial" w:eastAsia="Arial" w:hAnsi="Arial"/>
          <w:sz w:val="16"/>
          <w:szCs w:val="16"/>
          <w:color w:val="auto"/>
        </w:rPr>
        <w:t>Unvested at September 30, 2023</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00" w:type="dxa"/>
            <w:vAlign w:val="bottom"/>
            <w:gridSpan w:val="2"/>
          </w:tcPr>
          <w:p>
            <w:pPr>
              <w:jc w:val="right"/>
              <w:spacing w:after="0"/>
              <w:rPr>
                <w:sz w:val="20"/>
                <w:szCs w:val="20"/>
                <w:color w:val="auto"/>
              </w:rPr>
            </w:pPr>
            <w:r>
              <w:rPr>
                <w:rFonts w:ascii="Arial" w:cs="Arial" w:eastAsia="Arial" w:hAnsi="Arial"/>
                <w:sz w:val="18"/>
                <w:szCs w:val="18"/>
                <w:b w:val="1"/>
                <w:bCs w:val="1"/>
                <w:color w:val="auto"/>
                <w:w w:val="90"/>
              </w:rPr>
              <w:t>Weighted Average</w:t>
            </w:r>
          </w:p>
        </w:tc>
      </w:tr>
      <w:tr>
        <w:trPr>
          <w:trHeight w:val="216"/>
        </w:trPr>
        <w:tc>
          <w:tcPr>
            <w:tcW w:w="1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jc w:val="right"/>
              <w:ind w:right="50"/>
              <w:spacing w:after="0"/>
              <w:rPr>
                <w:sz w:val="20"/>
                <w:szCs w:val="20"/>
                <w:color w:val="auto"/>
              </w:rPr>
            </w:pPr>
            <w:r>
              <w:rPr>
                <w:rFonts w:ascii="Arial" w:cs="Arial" w:eastAsia="Arial" w:hAnsi="Arial"/>
                <w:sz w:val="18"/>
                <w:szCs w:val="18"/>
                <w:b w:val="1"/>
                <w:bCs w:val="1"/>
                <w:color w:val="auto"/>
                <w:w w:val="95"/>
              </w:rPr>
              <w:t>Grant Date Fair</w:t>
            </w:r>
          </w:p>
        </w:tc>
      </w:tr>
      <w:tr>
        <w:trPr>
          <w:trHeight w:val="234"/>
        </w:trPr>
        <w:tc>
          <w:tcPr>
            <w:tcW w:w="16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91"/>
              </w:rPr>
              <w:t>Number of Shares</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tcPr>
          <w:p>
            <w:pPr>
              <w:jc w:val="right"/>
              <w:ind w:right="50"/>
              <w:spacing w:after="0"/>
              <w:rPr>
                <w:sz w:val="20"/>
                <w:szCs w:val="20"/>
                <w:color w:val="auto"/>
              </w:rPr>
            </w:pPr>
            <w:r>
              <w:rPr>
                <w:rFonts w:ascii="Arial" w:cs="Arial" w:eastAsia="Arial" w:hAnsi="Arial"/>
                <w:sz w:val="18"/>
                <w:szCs w:val="18"/>
                <w:b w:val="1"/>
                <w:bCs w:val="1"/>
                <w:color w:val="auto"/>
                <w:w w:val="90"/>
              </w:rPr>
              <w:t>Value Per Share</w:t>
            </w:r>
          </w:p>
        </w:tc>
      </w:tr>
      <w:tr>
        <w:trPr>
          <w:trHeight w:val="195"/>
        </w:trPr>
        <w:tc>
          <w:tcPr>
            <w:tcW w:w="15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100,366</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6.08</w:t>
            </w:r>
          </w:p>
        </w:tc>
      </w:tr>
      <w:tr>
        <w:trPr>
          <w:trHeight w:val="216"/>
        </w:trPr>
        <w:tc>
          <w:tcPr>
            <w:tcW w:w="16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16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1640" w:type="dxa"/>
            <w:vAlign w:val="bottom"/>
            <w:gridSpan w:val="2"/>
          </w:tcPr>
          <w:p>
            <w:pPr>
              <w:jc w:val="right"/>
              <w:ind w:right="60"/>
              <w:spacing w:after="0"/>
              <w:rPr>
                <w:sz w:val="20"/>
                <w:szCs w:val="20"/>
                <w:color w:val="auto"/>
              </w:rPr>
            </w:pPr>
            <w:r>
              <w:rPr>
                <w:rFonts w:ascii="Arial" w:cs="Arial" w:eastAsia="Arial" w:hAnsi="Arial"/>
                <w:sz w:val="18"/>
                <w:szCs w:val="18"/>
                <w:color w:val="auto"/>
              </w:rPr>
              <w:t>(14,000)</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4.32</w:t>
            </w:r>
          </w:p>
        </w:tc>
      </w:tr>
      <w:tr>
        <w:trPr>
          <w:trHeight w:val="210"/>
        </w:trPr>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86,366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6.37</w:t>
            </w:r>
          </w:p>
        </w:tc>
      </w:tr>
      <w:tr>
        <w:trPr>
          <w:trHeight w:val="20"/>
        </w:trPr>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-4307840</wp:posOffset>
            </wp:positionH>
            <wp:positionV relativeFrom="paragraph">
              <wp:posOffset>-719455</wp:posOffset>
            </wp:positionV>
            <wp:extent cx="6412230" cy="1371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412230" cy="137160"/>
                    </a:xfrm>
                    <a:prstGeom prst="rect">
                      <a:avLst/>
                    </a:prstGeom>
                    <a:noFill/>
                  </pic:spPr>
                </pic:pic>
              </a:graphicData>
            </a:graphic>
          </wp:anchor>
        </w:drawing>
        <w:drawing>
          <wp:anchor simplePos="0" relativeHeight="251657728" behindDoc="1" locked="0" layoutInCell="0" allowOverlap="1">
            <wp:simplePos x="0" y="0"/>
            <wp:positionH relativeFrom="column">
              <wp:posOffset>-4307840</wp:posOffset>
            </wp:positionH>
            <wp:positionV relativeFrom="paragraph">
              <wp:posOffset>-445135</wp:posOffset>
            </wp:positionV>
            <wp:extent cx="6412230" cy="1371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412230" cy="137160"/>
                    </a:xfrm>
                    <a:prstGeom prst="rect">
                      <a:avLst/>
                    </a:prstGeom>
                    <a:noFill/>
                  </pic:spPr>
                </pic:pic>
              </a:graphicData>
            </a:graphic>
          </wp:anchor>
        </w:drawing>
        <w:drawing>
          <wp:anchor simplePos="0" relativeHeight="251657728" behindDoc="1" locked="0" layoutInCell="0" allowOverlap="1">
            <wp:simplePos x="0" y="0"/>
            <wp:positionH relativeFrom="column">
              <wp:posOffset>-4307840</wp:posOffset>
            </wp:positionH>
            <wp:positionV relativeFrom="paragraph">
              <wp:posOffset>-161925</wp:posOffset>
            </wp:positionV>
            <wp:extent cx="6412230" cy="1625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412230" cy="1625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640" w:space="720"/>
            <w:col w:w="3880"/>
          </w:cols>
          <w:pgMar w:left="320" w:top="125" w:right="339" w:bottom="0" w:gutter="0" w:footer="0" w:header="0"/>
          <w:type w:val="continuous"/>
        </w:sectPr>
      </w:pPr>
    </w:p>
    <w:p>
      <w:pPr>
        <w:spacing w:after="0" w:line="2" w:lineRule="exact"/>
        <w:rPr>
          <w:sz w:val="20"/>
          <w:szCs w:val="20"/>
          <w:color w:val="auto"/>
        </w:rPr>
      </w:pPr>
    </w:p>
    <w:p>
      <w:pPr>
        <w:jc w:val="both"/>
        <w:ind w:firstLine="441"/>
        <w:spacing w:after="0" w:line="296" w:lineRule="auto"/>
        <w:rPr>
          <w:sz w:val="20"/>
          <w:szCs w:val="20"/>
          <w:color w:val="auto"/>
        </w:rPr>
      </w:pPr>
      <w:r>
        <w:rPr>
          <w:rFonts w:ascii="Arial" w:cs="Arial" w:eastAsia="Arial" w:hAnsi="Arial"/>
          <w:sz w:val="16"/>
          <w:szCs w:val="16"/>
          <w:color w:val="auto"/>
        </w:rPr>
        <w:t>The Company measures compensation expense for RSUs at the market price of the common stock as of the grant date. Compensation expense is recognized over the requisite service period applicable to each award. The Company recorded compensation expense of approximately $0.2 million and $0.1 million in the six months ended September 30, 2023 and 2022, respectively, relating to the RSUs issued under the Plan. As of September 30, 2023, unrecognized compensation expense related to unvested RSUs was approximately $0.2 million which is expected to be recognized over a weighted average period of approximately 1.2 years. As of September 30, 2023, a total of 122,485 shares were still available to be issued under the Plan.</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NOTE H — DERIVATIVE FINANCIAL INSTRUMENTS</w:t>
      </w:r>
    </w:p>
    <w:p>
      <w:pPr>
        <w:spacing w:after="0" w:line="225" w:lineRule="exact"/>
        <w:rPr>
          <w:sz w:val="20"/>
          <w:szCs w:val="20"/>
          <w:color w:val="auto"/>
        </w:rPr>
      </w:pPr>
    </w:p>
    <w:p>
      <w:pPr>
        <w:jc w:val="both"/>
        <w:ind w:firstLine="441"/>
        <w:spacing w:after="0" w:line="288" w:lineRule="auto"/>
        <w:rPr>
          <w:sz w:val="20"/>
          <w:szCs w:val="20"/>
          <w:color w:val="auto"/>
        </w:rPr>
      </w:pPr>
      <w:r>
        <w:rPr>
          <w:rFonts w:ascii="Arial" w:cs="Arial" w:eastAsia="Arial" w:hAnsi="Arial"/>
          <w:sz w:val="16"/>
          <w:szCs w:val="16"/>
          <w:color w:val="auto"/>
        </w:rPr>
        <w:t>From time to time, we expect to use derivative financial instruments to minimize our exposure to commodity price risk that is inherent in our business. At the time derivative contracts are entered into, we assess whether the nature of the instrument qualifies for hedge accounting treatment according to the requirements of ASC 815 – Derivatives and Hedging (“ASC 815”). By using derivatives, the Company is exposed to credit and market risk. The Company’s exposure to credit risk includes the counterparty’s failure to fulfill its performance obligations under the terms of the derivative contract. The Company attempts to minimize its credit risk by entering into transactions with high quality counterparties and uses exchange-traded derivatives when available. Market risk is the risk that the value of the financial instrument might be adversely affected by a change in commodity prices. The Company manages market risk by continually monitoring exposure within its risk management strategy and portfolio. For those transactions designated as hedging instruments for accounting purposes, we document all relationships between hedging instruments and hedged items, as well as our risk-management objective and strategy for undertaking the various hedge transactions. We also assess, both at the hedge’s inception and on an ongoing basis, whether the derivatives used in hedging transactions are highly effective in offsetting changes in cash flows or fair value of hedged items.</w:t>
      </w:r>
    </w:p>
    <w:p>
      <w:pPr>
        <w:spacing w:after="0" w:line="168" w:lineRule="exact"/>
        <w:rPr>
          <w:sz w:val="20"/>
          <w:szCs w:val="20"/>
          <w:color w:val="auto"/>
        </w:rPr>
      </w:pPr>
    </w:p>
    <w:p>
      <w:pPr>
        <w:jc w:val="both"/>
        <w:ind w:firstLine="441"/>
        <w:spacing w:after="0" w:line="275" w:lineRule="auto"/>
        <w:rPr>
          <w:sz w:val="20"/>
          <w:szCs w:val="20"/>
          <w:color w:val="auto"/>
        </w:rPr>
      </w:pPr>
      <w:r>
        <w:rPr>
          <w:rFonts w:ascii="Arial" w:cs="Arial" w:eastAsia="Arial" w:hAnsi="Arial"/>
          <w:sz w:val="17"/>
          <w:szCs w:val="17"/>
          <w:color w:val="auto"/>
        </w:rPr>
        <w:t>From time to time, derivatives designated for hedge accounting may be closed prior to contract expiration. The accounting treatment of closed positions depends on whether the closure occurred due to the hedged transaction occurring early or if the hedged transaction is still expected to occur as originally forecasted. For hedged transactions that occur early, the closure results in the realized gain or loss from closure being recognized in the same period the accelerated hedged transaction affects earnings. For hedged transactions that are still expected to occur as originally forecasted, the closure results in the realized gain or loss being deferred until the hedged transaction affects earnings.</w:t>
      </w:r>
    </w:p>
    <w:p>
      <w:pPr>
        <w:spacing w:after="0" w:line="176" w:lineRule="exact"/>
        <w:rPr>
          <w:sz w:val="20"/>
          <w:szCs w:val="20"/>
          <w:color w:val="auto"/>
        </w:rPr>
      </w:pPr>
    </w:p>
    <w:p>
      <w:pPr>
        <w:jc w:val="both"/>
        <w:ind w:right="20" w:firstLine="441"/>
        <w:spacing w:after="0" w:line="277" w:lineRule="auto"/>
        <w:rPr>
          <w:sz w:val="20"/>
          <w:szCs w:val="20"/>
          <w:color w:val="auto"/>
        </w:rPr>
      </w:pPr>
      <w:r>
        <w:rPr>
          <w:rFonts w:ascii="Arial" w:cs="Arial" w:eastAsia="Arial" w:hAnsi="Arial"/>
          <w:sz w:val="18"/>
          <w:szCs w:val="18"/>
          <w:color w:val="auto"/>
        </w:rPr>
        <w:t>If it is determined that hedged transactions associated with cash flow hedges are no longer probable of occurring, the gain or loss associated with the instrument is recognized immediately into earnings.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From time to time, we may have derivative financial instruments for which we do not elect hedge accounting.</w:t>
      </w:r>
    </w:p>
    <w:p>
      <w:pPr>
        <w:spacing w:after="0" w:line="225" w:lineRule="exact"/>
        <w:rPr>
          <w:sz w:val="20"/>
          <w:szCs w:val="20"/>
          <w:color w:val="auto"/>
        </w:rPr>
      </w:pPr>
    </w:p>
    <w:p>
      <w:pPr>
        <w:jc w:val="both"/>
        <w:ind w:firstLine="441"/>
        <w:spacing w:after="0" w:line="263" w:lineRule="auto"/>
        <w:rPr>
          <w:sz w:val="20"/>
          <w:szCs w:val="20"/>
          <w:color w:val="auto"/>
        </w:rPr>
      </w:pPr>
      <w:r>
        <w:rPr>
          <w:rFonts w:ascii="Arial" w:cs="Arial" w:eastAsia="Arial" w:hAnsi="Arial"/>
          <w:sz w:val="18"/>
          <w:szCs w:val="18"/>
          <w:color w:val="auto"/>
        </w:rPr>
        <w:t>The Company has forward physical purchase supply agreements in place with some of its suppliers for a portion of its monthly physical steel needs. These supply agreements are not subject to mark-to-market accounting due to the Company electing the normal purchase normal sale exclusion provided in ASC 815.</w:t>
      </w:r>
    </w:p>
    <w:p>
      <w:pPr>
        <w:sectPr>
          <w:pgSz w:w="11900" w:h="16838" w:orient="portrait"/>
          <w:cols w:equalWidth="0" w:num="1">
            <w:col w:w="11240"/>
          </w:cols>
          <w:pgMar w:left="320" w:top="125" w:right="339" w:bottom="0" w:gutter="0" w:footer="0" w:header="0"/>
          <w:type w:val="continuous"/>
        </w:sectPr>
      </w:pP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0" w:gutter="0" w:footer="0" w:header="0"/>
          <w:type w:val="continuous"/>
        </w:sectPr>
      </w:pPr>
    </w:p>
    <w:bookmarkStart w:id="10" w:name="page11"/>
    <w:bookmarkEnd w:id="10"/>
    <w:p>
      <w:pPr>
        <w:spacing w:after="0"/>
        <w:rPr>
          <w:sz w:val="20"/>
          <w:szCs w:val="20"/>
          <w:color w:val="auto"/>
        </w:rPr>
      </w:pPr>
      <w:r>
        <w:rPr>
          <w:rFonts w:ascii="Arial" w:cs="Arial" w:eastAsia="Arial" w:hAnsi="Arial"/>
          <w:sz w:val="18"/>
          <w:szCs w:val="18"/>
          <w:u w:val="single" w:color="auto"/>
          <w:color w:val="0000EE"/>
        </w:rPr>
        <w:t>Table of Contents</w:t>
      </w:r>
    </w:p>
    <w:p>
      <w:pPr>
        <w:spacing w:after="0" w:line="252" w:lineRule="exact"/>
        <w:rPr>
          <w:sz w:val="20"/>
          <w:szCs w:val="20"/>
          <w:color w:val="auto"/>
        </w:rPr>
      </w:pPr>
    </w:p>
    <w:p>
      <w:pPr>
        <w:jc w:val="both"/>
        <w:ind w:firstLine="441"/>
        <w:spacing w:after="0" w:line="301" w:lineRule="auto"/>
        <w:rPr>
          <w:sz w:val="20"/>
          <w:szCs w:val="20"/>
          <w:color w:val="auto"/>
        </w:rPr>
      </w:pPr>
      <w:r>
        <w:rPr>
          <w:rFonts w:ascii="Arial" w:cs="Arial" w:eastAsia="Arial" w:hAnsi="Arial"/>
          <w:sz w:val="16"/>
          <w:szCs w:val="16"/>
          <w:color w:val="auto"/>
        </w:rPr>
        <w:t>At September 30, 2023 the Company did not have any hot-rolled coil futures contracts designated as hedging instruments and classified as cash flow hedges. At March 31, 2023, the Company held hot-rolled coil futures contracts which were designated as hedging instruments and classified as cash flow hedges, as hedges of variable sales prices. Accordingly, realized and unrealized gains and losses associated with the instruments were reported as a component of other comprehensive income and reclassified into earnings during the period in which the hedged transaction affects earnings.</w:t>
      </w:r>
    </w:p>
    <w:p>
      <w:pPr>
        <w:spacing w:after="0" w:line="157" w:lineRule="exact"/>
        <w:rPr>
          <w:sz w:val="20"/>
          <w:szCs w:val="20"/>
          <w:color w:val="auto"/>
        </w:rPr>
      </w:pPr>
    </w:p>
    <w:p>
      <w:pPr>
        <w:jc w:val="both"/>
        <w:ind w:firstLine="441"/>
        <w:spacing w:after="0" w:line="263" w:lineRule="auto"/>
        <w:rPr>
          <w:sz w:val="20"/>
          <w:szCs w:val="20"/>
          <w:color w:val="auto"/>
        </w:rPr>
      </w:pPr>
      <w:r>
        <w:rPr>
          <w:rFonts w:ascii="Arial" w:cs="Arial" w:eastAsia="Arial" w:hAnsi="Arial"/>
          <w:sz w:val="18"/>
          <w:szCs w:val="18"/>
          <w:color w:val="auto"/>
        </w:rPr>
        <w:t>During the six months ended September 30, 2023 and 2022, the Company entered into hot-rolled coil futures contracts that were not designated as hedging instruments for accounting purposes. Accordingly, the change in fair value related to these instruments was immediately recognized in earnings for these periods.</w:t>
      </w:r>
    </w:p>
    <w:p>
      <w:pPr>
        <w:spacing w:after="0" w:line="184" w:lineRule="exact"/>
        <w:rPr>
          <w:sz w:val="20"/>
          <w:szCs w:val="20"/>
          <w:color w:val="auto"/>
        </w:rPr>
      </w:pPr>
    </w:p>
    <w:p>
      <w:pPr>
        <w:jc w:val="both"/>
        <w:ind w:firstLine="441"/>
        <w:spacing w:after="0" w:line="277" w:lineRule="auto"/>
        <w:rPr>
          <w:sz w:val="20"/>
          <w:szCs w:val="20"/>
          <w:color w:val="auto"/>
        </w:rPr>
      </w:pPr>
      <w:r>
        <w:rPr>
          <w:rFonts w:ascii="Arial" w:cs="Arial" w:eastAsia="Arial" w:hAnsi="Arial"/>
          <w:sz w:val="18"/>
          <w:szCs w:val="18"/>
          <w:color w:val="auto"/>
        </w:rPr>
        <w:t>The following table summarizes the fair value of the Company’s derivative financial instruments and the respective line in which they were recorded in the Consolidated Balance Sheet as of September 30, 2023 (in thousands):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80" w:type="dxa"/>
            <w:vAlign w:val="bottom"/>
          </w:tcPr>
          <w:p>
            <w:pPr>
              <w:spacing w:after="0"/>
              <w:rPr>
                <w:sz w:val="20"/>
                <w:szCs w:val="20"/>
                <w:color w:val="auto"/>
              </w:rPr>
            </w:pPr>
          </w:p>
        </w:tc>
        <w:tc>
          <w:tcPr>
            <w:tcW w:w="2640" w:type="dxa"/>
            <w:vAlign w:val="bottom"/>
            <w:gridSpan w:val="3"/>
          </w:tcPr>
          <w:p>
            <w:pPr>
              <w:jc w:val="right"/>
              <w:ind w:right="60"/>
              <w:spacing w:after="0"/>
              <w:rPr>
                <w:sz w:val="20"/>
                <w:szCs w:val="20"/>
                <w:color w:val="auto"/>
              </w:rPr>
            </w:pPr>
            <w:r>
              <w:rPr>
                <w:rFonts w:ascii="Arial" w:cs="Arial" w:eastAsia="Arial" w:hAnsi="Arial"/>
                <w:sz w:val="18"/>
                <w:szCs w:val="18"/>
                <w:b w:val="1"/>
                <w:bCs w:val="1"/>
                <w:color w:val="auto"/>
              </w:rPr>
              <w:t>Asset Derivatives</w:t>
            </w: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900" w:type="dxa"/>
            <w:vAlign w:val="bottom"/>
            <w:gridSpan w:val="5"/>
          </w:tcPr>
          <w:p>
            <w:pPr>
              <w:ind w:left="1100"/>
              <w:spacing w:after="0"/>
              <w:rPr>
                <w:sz w:val="20"/>
                <w:szCs w:val="20"/>
                <w:color w:val="auto"/>
              </w:rPr>
            </w:pPr>
            <w:r>
              <w:rPr>
                <w:rFonts w:ascii="Arial" w:cs="Arial" w:eastAsia="Arial" w:hAnsi="Arial"/>
                <w:sz w:val="18"/>
                <w:szCs w:val="18"/>
                <w:b w:val="1"/>
                <w:bCs w:val="1"/>
                <w:color w:val="auto"/>
              </w:rPr>
              <w:t>Liability Derivatives</w:t>
            </w:r>
          </w:p>
        </w:tc>
        <w:tc>
          <w:tcPr>
            <w:tcW w:w="0" w:type="dxa"/>
            <w:vAlign w:val="bottom"/>
          </w:tcPr>
          <w:p>
            <w:pPr>
              <w:spacing w:after="0"/>
              <w:rPr>
                <w:sz w:val="1"/>
                <w:szCs w:val="1"/>
                <w:color w:val="auto"/>
              </w:rPr>
            </w:pPr>
          </w:p>
        </w:tc>
      </w:tr>
      <w:tr>
        <w:trPr>
          <w:trHeight w:val="228"/>
        </w:trPr>
        <w:tc>
          <w:tcPr>
            <w:tcW w:w="3380" w:type="dxa"/>
            <w:vAlign w:val="bottom"/>
            <w:vMerge w:val="restart"/>
          </w:tcPr>
          <w:p>
            <w:pPr>
              <w:spacing w:after="0"/>
              <w:rPr>
                <w:sz w:val="20"/>
                <w:szCs w:val="20"/>
                <w:color w:val="auto"/>
              </w:rPr>
            </w:pPr>
            <w:r>
              <w:rPr>
                <w:rFonts w:ascii="Arial" w:cs="Arial" w:eastAsia="Arial" w:hAnsi="Arial"/>
                <w:sz w:val="18"/>
                <w:szCs w:val="18"/>
                <w:b w:val="1"/>
                <w:bCs w:val="1"/>
                <w:color w:val="auto"/>
              </w:rPr>
              <w:t>Derivatives not designated as hedging</w:t>
            </w:r>
          </w:p>
        </w:tc>
        <w:tc>
          <w:tcPr>
            <w:tcW w:w="226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Balance Sheet</w:t>
            </w:r>
          </w:p>
        </w:tc>
        <w:tc>
          <w:tcPr>
            <w:tcW w:w="12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Balance Sheet</w:t>
            </w:r>
          </w:p>
        </w:tc>
        <w:tc>
          <w:tcPr>
            <w:tcW w:w="10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9"/>
        </w:trPr>
        <w:tc>
          <w:tcPr>
            <w:tcW w:w="3380" w:type="dxa"/>
            <w:vAlign w:val="bottom"/>
            <w:vMerge w:val="continue"/>
          </w:tcPr>
          <w:p>
            <w:pPr>
              <w:spacing w:after="0"/>
              <w:rPr>
                <w:sz w:val="15"/>
                <w:szCs w:val="15"/>
                <w:color w:val="auto"/>
              </w:rPr>
            </w:pPr>
          </w:p>
        </w:tc>
        <w:tc>
          <w:tcPr>
            <w:tcW w:w="226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0"/>
              </w:rPr>
              <w:t>Location</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20" w:type="dxa"/>
            <w:vAlign w:val="bottom"/>
            <w:gridSpan w:val="2"/>
            <w:vMerge w:val="restart"/>
          </w:tcPr>
          <w:p>
            <w:pPr>
              <w:ind w:left="80"/>
              <w:spacing w:after="0"/>
              <w:rPr>
                <w:sz w:val="20"/>
                <w:szCs w:val="20"/>
                <w:color w:val="auto"/>
              </w:rPr>
            </w:pPr>
            <w:r>
              <w:rPr>
                <w:rFonts w:ascii="Arial" w:cs="Arial" w:eastAsia="Arial" w:hAnsi="Arial"/>
                <w:sz w:val="18"/>
                <w:szCs w:val="18"/>
                <w:b w:val="1"/>
                <w:bCs w:val="1"/>
                <w:color w:val="auto"/>
              </w:rPr>
              <w:t>Fair Value</w:t>
            </w:r>
          </w:p>
        </w:tc>
        <w:tc>
          <w:tcPr>
            <w:tcW w:w="224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0"/>
              </w:rPr>
              <w:t>Location</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gridSpan w:val="2"/>
            <w:vMerge w:val="restart"/>
          </w:tcPr>
          <w:p>
            <w:pPr>
              <w:ind w:left="100"/>
              <w:spacing w:after="0"/>
              <w:rPr>
                <w:sz w:val="20"/>
                <w:szCs w:val="20"/>
                <w:color w:val="auto"/>
              </w:rPr>
            </w:pPr>
            <w:r>
              <w:rPr>
                <w:rFonts w:ascii="Arial" w:cs="Arial" w:eastAsia="Arial" w:hAnsi="Arial"/>
                <w:sz w:val="18"/>
                <w:szCs w:val="18"/>
                <w:b w:val="1"/>
                <w:bCs w:val="1"/>
                <w:color w:val="auto"/>
              </w:rPr>
              <w:t>Fair Value</w:t>
            </w:r>
          </w:p>
        </w:tc>
        <w:tc>
          <w:tcPr>
            <w:tcW w:w="0" w:type="dxa"/>
            <w:vAlign w:val="bottom"/>
          </w:tcPr>
          <w:p>
            <w:pPr>
              <w:spacing w:after="0"/>
              <w:rPr>
                <w:sz w:val="1"/>
                <w:szCs w:val="1"/>
                <w:color w:val="auto"/>
              </w:rPr>
            </w:pPr>
          </w:p>
        </w:tc>
      </w:tr>
      <w:tr>
        <w:trPr>
          <w:trHeight w:val="221"/>
        </w:trPr>
        <w:tc>
          <w:tcPr>
            <w:tcW w:w="3380" w:type="dxa"/>
            <w:vAlign w:val="bottom"/>
          </w:tcPr>
          <w:p>
            <w:pPr>
              <w:spacing w:after="0"/>
              <w:rPr>
                <w:sz w:val="20"/>
                <w:szCs w:val="20"/>
                <w:color w:val="auto"/>
              </w:rPr>
            </w:pPr>
            <w:r>
              <w:rPr>
                <w:rFonts w:ascii="Arial" w:cs="Arial" w:eastAsia="Arial" w:hAnsi="Arial"/>
                <w:sz w:val="18"/>
                <w:szCs w:val="18"/>
                <w:b w:val="1"/>
                <w:bCs w:val="1"/>
                <w:color w:val="auto"/>
              </w:rPr>
              <w:t>instruments:</w:t>
            </w:r>
          </w:p>
        </w:tc>
        <w:tc>
          <w:tcPr>
            <w:tcW w:w="22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gridSpan w:val="2"/>
            <w:vMerge w:val="continue"/>
          </w:tcPr>
          <w:p>
            <w:pPr>
              <w:spacing w:after="0"/>
              <w:rPr>
                <w:sz w:val="19"/>
                <w:szCs w:val="19"/>
                <w:color w:val="auto"/>
              </w:rPr>
            </w:pPr>
          </w:p>
        </w:tc>
        <w:tc>
          <w:tcPr>
            <w:tcW w:w="22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3380" w:type="dxa"/>
            <w:vAlign w:val="bottom"/>
            <w:shd w:val="clear" w:color="auto" w:fill="CCEEFF"/>
          </w:tcPr>
          <w:p>
            <w:pPr>
              <w:spacing w:after="0"/>
              <w:rPr>
                <w:sz w:val="16"/>
                <w:szCs w:val="16"/>
                <w:color w:val="auto"/>
              </w:rPr>
            </w:pPr>
          </w:p>
        </w:tc>
        <w:tc>
          <w:tcPr>
            <w:tcW w:w="226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92"/>
              </w:rPr>
              <w:t>Current portion of derivative</w:t>
            </w:r>
          </w:p>
        </w:tc>
        <w:tc>
          <w:tcPr>
            <w:tcW w:w="120" w:type="dxa"/>
            <w:vAlign w:val="bottom"/>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122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4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93"/>
              </w:rPr>
              <w:t>Current portion of derivative</w:t>
            </w:r>
          </w:p>
        </w:tc>
        <w:tc>
          <w:tcPr>
            <w:tcW w:w="100" w:type="dxa"/>
            <w:vAlign w:val="bottom"/>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124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Hot-rolled coil steel contracts</w:t>
            </w:r>
          </w:p>
        </w:tc>
        <w:tc>
          <w:tcPr>
            <w:tcW w:w="2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0"/>
              </w:rPr>
              <w:t>assets</w:t>
            </w: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692</w:t>
            </w:r>
          </w:p>
        </w:tc>
        <w:tc>
          <w:tcPr>
            <w:tcW w:w="22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liability</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The following table summarizes the fair value of the Company’s derivative financial instruments and the respective line in which they were recorded in the Consolidated Balance Sheet as of March 31, 2023 (in thousands):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80" w:type="dxa"/>
            <w:vAlign w:val="bottom"/>
          </w:tcPr>
          <w:p>
            <w:pPr>
              <w:spacing w:after="0"/>
              <w:rPr>
                <w:sz w:val="20"/>
                <w:szCs w:val="20"/>
                <w:color w:val="auto"/>
              </w:rPr>
            </w:pPr>
          </w:p>
        </w:tc>
        <w:tc>
          <w:tcPr>
            <w:tcW w:w="2640" w:type="dxa"/>
            <w:vAlign w:val="bottom"/>
            <w:gridSpan w:val="3"/>
          </w:tcPr>
          <w:p>
            <w:pPr>
              <w:jc w:val="right"/>
              <w:ind w:right="60"/>
              <w:spacing w:after="0"/>
              <w:rPr>
                <w:sz w:val="20"/>
                <w:szCs w:val="20"/>
                <w:color w:val="auto"/>
              </w:rPr>
            </w:pPr>
            <w:r>
              <w:rPr>
                <w:rFonts w:ascii="Arial" w:cs="Arial" w:eastAsia="Arial" w:hAnsi="Arial"/>
                <w:sz w:val="18"/>
                <w:szCs w:val="18"/>
                <w:b w:val="1"/>
                <w:bCs w:val="1"/>
                <w:color w:val="auto"/>
              </w:rPr>
              <w:t>Asset Derivatives</w:t>
            </w: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900" w:type="dxa"/>
            <w:vAlign w:val="bottom"/>
            <w:gridSpan w:val="5"/>
          </w:tcPr>
          <w:p>
            <w:pPr>
              <w:ind w:left="1100"/>
              <w:spacing w:after="0"/>
              <w:rPr>
                <w:sz w:val="20"/>
                <w:szCs w:val="20"/>
                <w:color w:val="auto"/>
              </w:rPr>
            </w:pPr>
            <w:r>
              <w:rPr>
                <w:rFonts w:ascii="Arial" w:cs="Arial" w:eastAsia="Arial" w:hAnsi="Arial"/>
                <w:sz w:val="18"/>
                <w:szCs w:val="18"/>
                <w:b w:val="1"/>
                <w:bCs w:val="1"/>
                <w:color w:val="auto"/>
              </w:rPr>
              <w:t>Liability Derivatives</w:t>
            </w:r>
          </w:p>
        </w:tc>
        <w:tc>
          <w:tcPr>
            <w:tcW w:w="0" w:type="dxa"/>
            <w:vAlign w:val="bottom"/>
          </w:tcPr>
          <w:p>
            <w:pPr>
              <w:spacing w:after="0"/>
              <w:rPr>
                <w:sz w:val="1"/>
                <w:szCs w:val="1"/>
                <w:color w:val="auto"/>
              </w:rPr>
            </w:pPr>
          </w:p>
        </w:tc>
      </w:tr>
      <w:tr>
        <w:trPr>
          <w:trHeight w:val="228"/>
        </w:trPr>
        <w:tc>
          <w:tcPr>
            <w:tcW w:w="3380" w:type="dxa"/>
            <w:vAlign w:val="bottom"/>
            <w:vMerge w:val="restart"/>
          </w:tcPr>
          <w:p>
            <w:pPr>
              <w:spacing w:after="0"/>
              <w:rPr>
                <w:sz w:val="20"/>
                <w:szCs w:val="20"/>
                <w:color w:val="auto"/>
              </w:rPr>
            </w:pPr>
            <w:r>
              <w:rPr>
                <w:rFonts w:ascii="Arial" w:cs="Arial" w:eastAsia="Arial" w:hAnsi="Arial"/>
                <w:sz w:val="18"/>
                <w:szCs w:val="18"/>
                <w:b w:val="1"/>
                <w:bCs w:val="1"/>
                <w:color w:val="auto"/>
              </w:rPr>
              <w:t>Derivatives not designated as hedging</w:t>
            </w:r>
          </w:p>
        </w:tc>
        <w:tc>
          <w:tcPr>
            <w:tcW w:w="226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Balance Sheet</w:t>
            </w:r>
          </w:p>
        </w:tc>
        <w:tc>
          <w:tcPr>
            <w:tcW w:w="12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Balance Sheet</w:t>
            </w:r>
          </w:p>
        </w:tc>
        <w:tc>
          <w:tcPr>
            <w:tcW w:w="10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9"/>
        </w:trPr>
        <w:tc>
          <w:tcPr>
            <w:tcW w:w="3380" w:type="dxa"/>
            <w:vAlign w:val="bottom"/>
            <w:vMerge w:val="continue"/>
          </w:tcPr>
          <w:p>
            <w:pPr>
              <w:spacing w:after="0"/>
              <w:rPr>
                <w:sz w:val="15"/>
                <w:szCs w:val="15"/>
                <w:color w:val="auto"/>
              </w:rPr>
            </w:pPr>
          </w:p>
        </w:tc>
        <w:tc>
          <w:tcPr>
            <w:tcW w:w="226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0"/>
              </w:rPr>
              <w:t>Location</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20" w:type="dxa"/>
            <w:vAlign w:val="bottom"/>
            <w:gridSpan w:val="2"/>
            <w:vMerge w:val="restart"/>
          </w:tcPr>
          <w:p>
            <w:pPr>
              <w:ind w:left="80"/>
              <w:spacing w:after="0"/>
              <w:rPr>
                <w:sz w:val="20"/>
                <w:szCs w:val="20"/>
                <w:color w:val="auto"/>
              </w:rPr>
            </w:pPr>
            <w:r>
              <w:rPr>
                <w:rFonts w:ascii="Arial" w:cs="Arial" w:eastAsia="Arial" w:hAnsi="Arial"/>
                <w:sz w:val="18"/>
                <w:szCs w:val="18"/>
                <w:b w:val="1"/>
                <w:bCs w:val="1"/>
                <w:color w:val="auto"/>
              </w:rPr>
              <w:t>Fair Value</w:t>
            </w:r>
          </w:p>
        </w:tc>
        <w:tc>
          <w:tcPr>
            <w:tcW w:w="224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0"/>
              </w:rPr>
              <w:t>Location</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gridSpan w:val="2"/>
            <w:vMerge w:val="restart"/>
          </w:tcPr>
          <w:p>
            <w:pPr>
              <w:ind w:left="100"/>
              <w:spacing w:after="0"/>
              <w:rPr>
                <w:sz w:val="20"/>
                <w:szCs w:val="20"/>
                <w:color w:val="auto"/>
              </w:rPr>
            </w:pPr>
            <w:r>
              <w:rPr>
                <w:rFonts w:ascii="Arial" w:cs="Arial" w:eastAsia="Arial" w:hAnsi="Arial"/>
                <w:sz w:val="18"/>
                <w:szCs w:val="18"/>
                <w:b w:val="1"/>
                <w:bCs w:val="1"/>
                <w:color w:val="auto"/>
              </w:rPr>
              <w:t>Fair Value</w:t>
            </w:r>
          </w:p>
        </w:tc>
        <w:tc>
          <w:tcPr>
            <w:tcW w:w="0" w:type="dxa"/>
            <w:vAlign w:val="bottom"/>
          </w:tcPr>
          <w:p>
            <w:pPr>
              <w:spacing w:after="0"/>
              <w:rPr>
                <w:sz w:val="1"/>
                <w:szCs w:val="1"/>
                <w:color w:val="auto"/>
              </w:rPr>
            </w:pPr>
          </w:p>
        </w:tc>
      </w:tr>
      <w:tr>
        <w:trPr>
          <w:trHeight w:val="221"/>
        </w:trPr>
        <w:tc>
          <w:tcPr>
            <w:tcW w:w="3380" w:type="dxa"/>
            <w:vAlign w:val="bottom"/>
          </w:tcPr>
          <w:p>
            <w:pPr>
              <w:spacing w:after="0"/>
              <w:rPr>
                <w:sz w:val="20"/>
                <w:szCs w:val="20"/>
                <w:color w:val="auto"/>
              </w:rPr>
            </w:pPr>
            <w:r>
              <w:rPr>
                <w:rFonts w:ascii="Arial" w:cs="Arial" w:eastAsia="Arial" w:hAnsi="Arial"/>
                <w:sz w:val="18"/>
                <w:szCs w:val="18"/>
                <w:b w:val="1"/>
                <w:bCs w:val="1"/>
                <w:color w:val="auto"/>
              </w:rPr>
              <w:t>instruments:</w:t>
            </w:r>
          </w:p>
        </w:tc>
        <w:tc>
          <w:tcPr>
            <w:tcW w:w="22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gridSpan w:val="2"/>
            <w:vMerge w:val="continue"/>
          </w:tcPr>
          <w:p>
            <w:pPr>
              <w:spacing w:after="0"/>
              <w:rPr>
                <w:sz w:val="19"/>
                <w:szCs w:val="19"/>
                <w:color w:val="auto"/>
              </w:rPr>
            </w:pPr>
          </w:p>
        </w:tc>
        <w:tc>
          <w:tcPr>
            <w:tcW w:w="22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3380" w:type="dxa"/>
            <w:vAlign w:val="bottom"/>
            <w:shd w:val="clear" w:color="auto" w:fill="CCEEFF"/>
          </w:tcPr>
          <w:p>
            <w:pPr>
              <w:spacing w:after="0"/>
              <w:rPr>
                <w:sz w:val="16"/>
                <w:szCs w:val="16"/>
                <w:color w:val="auto"/>
              </w:rPr>
            </w:pPr>
          </w:p>
        </w:tc>
        <w:tc>
          <w:tcPr>
            <w:tcW w:w="226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92"/>
              </w:rPr>
              <w:t>Current portion of derivative</w:t>
            </w:r>
          </w:p>
        </w:tc>
        <w:tc>
          <w:tcPr>
            <w:tcW w:w="120" w:type="dxa"/>
            <w:vAlign w:val="bottom"/>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122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4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93"/>
              </w:rPr>
              <w:t>Current portion of derivative</w:t>
            </w:r>
          </w:p>
        </w:tc>
        <w:tc>
          <w:tcPr>
            <w:tcW w:w="100" w:type="dxa"/>
            <w:vAlign w:val="bottom"/>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124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Hot-rolled coil steel contracts</w:t>
            </w:r>
          </w:p>
        </w:tc>
        <w:tc>
          <w:tcPr>
            <w:tcW w:w="2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0"/>
              </w:rPr>
              <w:t>assets</w:t>
            </w: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536</w:t>
            </w:r>
          </w:p>
        </w:tc>
        <w:tc>
          <w:tcPr>
            <w:tcW w:w="22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liability</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2,212</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All derivatives are presented on a gross basis on the Consolidated Balance Sheets.</w:t>
      </w:r>
    </w:p>
    <w:p>
      <w:pPr>
        <w:spacing w:after="0" w:line="225" w:lineRule="exact"/>
        <w:rPr>
          <w:sz w:val="20"/>
          <w:szCs w:val="20"/>
          <w:color w:val="auto"/>
        </w:rPr>
      </w:pPr>
    </w:p>
    <w:p>
      <w:pPr>
        <w:jc w:val="both"/>
        <w:ind w:right="20" w:firstLine="486"/>
        <w:spacing w:after="0" w:line="277" w:lineRule="auto"/>
        <w:rPr>
          <w:sz w:val="20"/>
          <w:szCs w:val="20"/>
          <w:color w:val="auto"/>
        </w:rPr>
      </w:pPr>
      <w:r>
        <w:rPr>
          <w:rFonts w:ascii="Arial" w:cs="Arial" w:eastAsia="Arial" w:hAnsi="Arial"/>
          <w:sz w:val="18"/>
          <w:szCs w:val="18"/>
          <w:color w:val="auto"/>
        </w:rPr>
        <w:t>At September 30, 2023 and March 31, 2023, the Company reported approximately $3.0 million and $1.6 million, respectively, in "Other current assets" on its Consolidated Balance Sheet related to futures contracts which were closed but were pending cash settlement.</w:t>
      </w:r>
    </w:p>
    <w:p>
      <w:pPr>
        <w:spacing w:after="0" w:line="170" w:lineRule="exact"/>
        <w:rPr>
          <w:sz w:val="20"/>
          <w:szCs w:val="20"/>
          <w:color w:val="auto"/>
        </w:rPr>
      </w:pPr>
    </w:p>
    <w:p>
      <w:pPr>
        <w:jc w:val="both"/>
        <w:ind w:firstLine="441"/>
        <w:spacing w:after="0" w:line="308" w:lineRule="auto"/>
        <w:rPr>
          <w:sz w:val="20"/>
          <w:szCs w:val="20"/>
          <w:color w:val="auto"/>
        </w:rPr>
      </w:pPr>
      <w:r>
        <w:rPr>
          <w:rFonts w:ascii="Arial" w:cs="Arial" w:eastAsia="Arial" w:hAnsi="Arial"/>
          <w:sz w:val="17"/>
          <w:szCs w:val="17"/>
          <w:color w:val="auto"/>
        </w:rPr>
        <w:t>The following table summarizes the pre-tax gain recognized in other comprehensive income and the loss reclassified from accumulated other comprehensive loss into earnings for derivative financial instruments designated as cash flow hedges for the periods presented (in thousands):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Pre- Tax</w:t>
            </w:r>
          </w:p>
        </w:tc>
      </w:tr>
      <w:tr>
        <w:trPr>
          <w:trHeight w:val="216"/>
        </w:trPr>
        <w:tc>
          <w:tcPr>
            <w:tcW w:w="4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7"/>
              </w:rPr>
              <w:t>Loss Reclassified from</w:t>
            </w:r>
          </w:p>
        </w:tc>
      </w:tr>
      <w:tr>
        <w:trPr>
          <w:trHeight w:val="216"/>
        </w:trPr>
        <w:tc>
          <w:tcPr>
            <w:tcW w:w="4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Pre-Tax Gain</w:t>
            </w:r>
          </w:p>
        </w:tc>
        <w:tc>
          <w:tcPr>
            <w:tcW w:w="2580" w:type="dxa"/>
            <w:vAlign w:val="bottom"/>
          </w:tcPr>
          <w:p>
            <w:pPr>
              <w:jc w:val="center"/>
              <w:spacing w:after="0"/>
              <w:rPr>
                <w:sz w:val="20"/>
                <w:szCs w:val="20"/>
                <w:color w:val="auto"/>
              </w:rPr>
            </w:pPr>
            <w:r>
              <w:rPr>
                <w:rFonts w:ascii="Arial" w:cs="Arial" w:eastAsia="Arial" w:hAnsi="Arial"/>
                <w:sz w:val="18"/>
                <w:szCs w:val="18"/>
                <w:b w:val="1"/>
                <w:bCs w:val="1"/>
                <w:color w:val="auto"/>
                <w:w w:val="87"/>
              </w:rPr>
              <w:t>Location of Loss Reclassified</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5"/>
              </w:rPr>
              <w:t>AOCI into Net</w:t>
            </w:r>
          </w:p>
        </w:tc>
      </w:tr>
      <w:tr>
        <w:trPr>
          <w:trHeight w:val="234"/>
        </w:trPr>
        <w:tc>
          <w:tcPr>
            <w:tcW w:w="4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Recognized in OCI</w:t>
            </w:r>
          </w:p>
        </w:tc>
        <w:tc>
          <w:tcPr>
            <w:tcW w:w="2580" w:type="dxa"/>
            <w:vAlign w:val="bottom"/>
          </w:tcPr>
          <w:p>
            <w:pPr>
              <w:jc w:val="center"/>
              <w:spacing w:after="0"/>
              <w:rPr>
                <w:sz w:val="20"/>
                <w:szCs w:val="20"/>
                <w:color w:val="auto"/>
              </w:rPr>
            </w:pPr>
            <w:r>
              <w:rPr>
                <w:rFonts w:ascii="Arial" w:cs="Arial" w:eastAsia="Arial" w:hAnsi="Arial"/>
                <w:sz w:val="18"/>
                <w:szCs w:val="18"/>
                <w:b w:val="1"/>
                <w:bCs w:val="1"/>
                <w:color w:val="auto"/>
                <w:w w:val="94"/>
              </w:rPr>
              <w:t>from AOCI into Net Earnings</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Earnings</w:t>
            </w:r>
          </w:p>
        </w:tc>
      </w:tr>
      <w:tr>
        <w:trPr>
          <w:trHeight w:val="210"/>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For the three months ended September 30, 2023:</w:t>
            </w:r>
          </w:p>
        </w:tc>
        <w:tc>
          <w:tcPr>
            <w:tcW w:w="6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5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140" w:type="dxa"/>
            <w:vAlign w:val="bottom"/>
          </w:tcPr>
          <w:p>
            <w:pPr>
              <w:ind w:left="180"/>
              <w:spacing w:after="0"/>
              <w:rPr>
                <w:sz w:val="20"/>
                <w:szCs w:val="20"/>
                <w:color w:val="auto"/>
              </w:rPr>
            </w:pPr>
            <w:r>
              <w:rPr>
                <w:rFonts w:ascii="Arial" w:cs="Arial" w:eastAsia="Arial" w:hAnsi="Arial"/>
                <w:sz w:val="18"/>
                <w:szCs w:val="18"/>
                <w:color w:val="auto"/>
              </w:rPr>
              <w:t>Hot-rolled coil steel contracts</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7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580" w:type="dxa"/>
            <w:vAlign w:val="bottom"/>
          </w:tcPr>
          <w:p>
            <w:pPr>
              <w:jc w:val="center"/>
              <w:spacing w:after="0"/>
              <w:rPr>
                <w:sz w:val="20"/>
                <w:szCs w:val="20"/>
                <w:color w:val="auto"/>
              </w:rPr>
            </w:pPr>
            <w:r>
              <w:rPr>
                <w:rFonts w:ascii="Arial" w:cs="Arial" w:eastAsia="Arial" w:hAnsi="Arial"/>
                <w:sz w:val="18"/>
                <w:szCs w:val="18"/>
                <w:b w:val="1"/>
                <w:bCs w:val="1"/>
                <w:color w:val="auto"/>
                <w:w w:val="80"/>
              </w:rPr>
              <w:t>Sales</w:t>
            </w:r>
          </w:p>
        </w:tc>
        <w:tc>
          <w:tcPr>
            <w:tcW w:w="32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50"/>
        </w:trPr>
        <w:tc>
          <w:tcPr>
            <w:tcW w:w="414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6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58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r>
      <w:tr>
        <w:trPr>
          <w:trHeight w:val="196"/>
        </w:trPr>
        <w:tc>
          <w:tcPr>
            <w:tcW w:w="4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For the three months ended September 30, 2022:</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9"/>
        </w:trPr>
        <w:tc>
          <w:tcPr>
            <w:tcW w:w="4140" w:type="dxa"/>
            <w:vAlign w:val="bottom"/>
          </w:tcPr>
          <w:p>
            <w:pPr>
              <w:ind w:left="180"/>
              <w:spacing w:after="0"/>
              <w:rPr>
                <w:sz w:val="20"/>
                <w:szCs w:val="20"/>
                <w:color w:val="auto"/>
              </w:rPr>
            </w:pPr>
            <w:r>
              <w:rPr>
                <w:rFonts w:ascii="Arial" w:cs="Arial" w:eastAsia="Arial" w:hAnsi="Arial"/>
                <w:sz w:val="18"/>
                <w:szCs w:val="18"/>
                <w:color w:val="auto"/>
              </w:rPr>
              <w:t>Hot-rolled coil steel contracts</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780" w:type="dxa"/>
            <w:vAlign w:val="bottom"/>
            <w:gridSpan w:val="2"/>
          </w:tcPr>
          <w:p>
            <w:pPr>
              <w:jc w:val="right"/>
              <w:ind w:right="100"/>
              <w:spacing w:after="0"/>
              <w:rPr>
                <w:sz w:val="20"/>
                <w:szCs w:val="20"/>
                <w:color w:val="auto"/>
              </w:rPr>
            </w:pPr>
            <w:r>
              <w:rPr>
                <w:rFonts w:ascii="Arial" w:cs="Arial" w:eastAsia="Arial" w:hAnsi="Arial"/>
                <w:sz w:val="18"/>
                <w:szCs w:val="18"/>
                <w:color w:val="auto"/>
              </w:rPr>
              <w:t>590</w:t>
            </w:r>
          </w:p>
        </w:tc>
        <w:tc>
          <w:tcPr>
            <w:tcW w:w="2580" w:type="dxa"/>
            <w:vAlign w:val="bottom"/>
          </w:tcPr>
          <w:p>
            <w:pPr>
              <w:jc w:val="center"/>
              <w:spacing w:after="0"/>
              <w:rPr>
                <w:sz w:val="20"/>
                <w:szCs w:val="20"/>
                <w:color w:val="auto"/>
              </w:rPr>
            </w:pPr>
            <w:r>
              <w:rPr>
                <w:rFonts w:ascii="Arial" w:cs="Arial" w:eastAsia="Arial" w:hAnsi="Arial"/>
                <w:sz w:val="18"/>
                <w:szCs w:val="18"/>
                <w:b w:val="1"/>
                <w:bCs w:val="1"/>
                <w:color w:val="auto"/>
                <w:w w:val="80"/>
              </w:rPr>
              <w:t>Sales</w:t>
            </w:r>
          </w:p>
        </w:tc>
        <w:tc>
          <w:tcPr>
            <w:tcW w:w="32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40"/>
              <w:spacing w:after="0"/>
              <w:rPr>
                <w:sz w:val="20"/>
                <w:szCs w:val="20"/>
                <w:color w:val="auto"/>
              </w:rPr>
            </w:pPr>
            <w:r>
              <w:rPr>
                <w:rFonts w:ascii="Arial" w:cs="Arial" w:eastAsia="Arial" w:hAnsi="Arial"/>
                <w:sz w:val="18"/>
                <w:szCs w:val="18"/>
                <w:color w:val="auto"/>
              </w:rPr>
              <w:t>(1,490)</w:t>
            </w:r>
          </w:p>
        </w:tc>
      </w:tr>
      <w:tr>
        <w:trPr>
          <w:trHeight w:val="250"/>
        </w:trPr>
        <w:tc>
          <w:tcPr>
            <w:tcW w:w="414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6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58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r>
      <w:tr>
        <w:trPr>
          <w:trHeight w:val="197"/>
        </w:trPr>
        <w:tc>
          <w:tcPr>
            <w:tcW w:w="4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For the six months ended September 30, 2023:</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140" w:type="dxa"/>
            <w:vAlign w:val="bottom"/>
          </w:tcPr>
          <w:p>
            <w:pPr>
              <w:ind w:left="180"/>
              <w:spacing w:after="0"/>
              <w:rPr>
                <w:sz w:val="20"/>
                <w:szCs w:val="20"/>
                <w:color w:val="auto"/>
              </w:rPr>
            </w:pPr>
            <w:r>
              <w:rPr>
                <w:rFonts w:ascii="Arial" w:cs="Arial" w:eastAsia="Arial" w:hAnsi="Arial"/>
                <w:sz w:val="18"/>
                <w:szCs w:val="18"/>
                <w:color w:val="auto"/>
              </w:rPr>
              <w:t>Hot-rolled coil steel contracts</w:t>
            </w:r>
          </w:p>
        </w:tc>
        <w:tc>
          <w:tcPr>
            <w:tcW w:w="6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580" w:type="dxa"/>
            <w:vAlign w:val="bottom"/>
          </w:tcPr>
          <w:p>
            <w:pPr>
              <w:jc w:val="center"/>
              <w:spacing w:after="0"/>
              <w:rPr>
                <w:sz w:val="20"/>
                <w:szCs w:val="20"/>
                <w:color w:val="auto"/>
              </w:rPr>
            </w:pPr>
            <w:r>
              <w:rPr>
                <w:rFonts w:ascii="Arial" w:cs="Arial" w:eastAsia="Arial" w:hAnsi="Arial"/>
                <w:sz w:val="18"/>
                <w:szCs w:val="18"/>
                <w:b w:val="1"/>
                <w:bCs w:val="1"/>
                <w:color w:val="auto"/>
                <w:w w:val="80"/>
              </w:rPr>
              <w:t>Sales</w:t>
            </w:r>
          </w:p>
        </w:tc>
        <w:tc>
          <w:tcPr>
            <w:tcW w:w="10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680" w:type="dxa"/>
            <w:vAlign w:val="bottom"/>
            <w:gridSpan w:val="2"/>
          </w:tcPr>
          <w:p>
            <w:pPr>
              <w:jc w:val="right"/>
              <w:ind w:right="40"/>
              <w:spacing w:after="0"/>
              <w:rPr>
                <w:sz w:val="20"/>
                <w:szCs w:val="20"/>
                <w:color w:val="auto"/>
              </w:rPr>
            </w:pPr>
            <w:r>
              <w:rPr>
                <w:rFonts w:ascii="Arial" w:cs="Arial" w:eastAsia="Arial" w:hAnsi="Arial"/>
                <w:sz w:val="18"/>
                <w:szCs w:val="18"/>
                <w:color w:val="auto"/>
              </w:rPr>
              <w:t>(418)</w:t>
            </w:r>
          </w:p>
        </w:tc>
      </w:tr>
      <w:tr>
        <w:trPr>
          <w:trHeight w:val="20"/>
        </w:trPr>
        <w:tc>
          <w:tcPr>
            <w:tcW w:w="4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9"/>
        </w:trPr>
        <w:tc>
          <w:tcPr>
            <w:tcW w:w="41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6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25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(418)</w:t>
            </w:r>
          </w:p>
        </w:tc>
      </w:tr>
      <w:tr>
        <w:trPr>
          <w:trHeight w:val="196"/>
        </w:trPr>
        <w:tc>
          <w:tcPr>
            <w:tcW w:w="4140" w:type="dxa"/>
            <w:vAlign w:val="bottom"/>
            <w:tcBorders>
              <w:top w:val="single" w:sz="8" w:color="CCEEFF"/>
            </w:tcBorders>
          </w:tcPr>
          <w:p>
            <w:pPr>
              <w:spacing w:after="0"/>
              <w:rPr>
                <w:sz w:val="17"/>
                <w:szCs w:val="17"/>
                <w:color w:val="auto"/>
              </w:rPr>
            </w:pPr>
          </w:p>
        </w:tc>
        <w:tc>
          <w:tcPr>
            <w:tcW w:w="60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6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58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5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6"/>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For the six months ended September 30, 2022:</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140" w:type="dxa"/>
            <w:vAlign w:val="bottom"/>
          </w:tcPr>
          <w:p>
            <w:pPr>
              <w:ind w:left="180"/>
              <w:spacing w:after="0"/>
              <w:rPr>
                <w:sz w:val="20"/>
                <w:szCs w:val="20"/>
                <w:color w:val="auto"/>
              </w:rPr>
            </w:pPr>
            <w:r>
              <w:rPr>
                <w:rFonts w:ascii="Arial" w:cs="Arial" w:eastAsia="Arial" w:hAnsi="Arial"/>
                <w:sz w:val="18"/>
                <w:szCs w:val="18"/>
                <w:color w:val="auto"/>
              </w:rPr>
              <w:t>Hot-rolled coil steel contracts</w:t>
            </w:r>
          </w:p>
        </w:tc>
        <w:tc>
          <w:tcPr>
            <w:tcW w:w="6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9,424</w:t>
            </w:r>
          </w:p>
        </w:tc>
        <w:tc>
          <w:tcPr>
            <w:tcW w:w="100" w:type="dxa"/>
            <w:vAlign w:val="bottom"/>
          </w:tcPr>
          <w:p>
            <w:pPr>
              <w:spacing w:after="0"/>
              <w:rPr>
                <w:sz w:val="18"/>
                <w:szCs w:val="18"/>
                <w:color w:val="auto"/>
              </w:rPr>
            </w:pPr>
          </w:p>
        </w:tc>
        <w:tc>
          <w:tcPr>
            <w:tcW w:w="2580" w:type="dxa"/>
            <w:vAlign w:val="bottom"/>
          </w:tcPr>
          <w:p>
            <w:pPr>
              <w:jc w:val="center"/>
              <w:spacing w:after="0"/>
              <w:rPr>
                <w:sz w:val="20"/>
                <w:szCs w:val="20"/>
                <w:color w:val="auto"/>
              </w:rPr>
            </w:pPr>
            <w:r>
              <w:rPr>
                <w:rFonts w:ascii="Arial" w:cs="Arial" w:eastAsia="Arial" w:hAnsi="Arial"/>
                <w:sz w:val="18"/>
                <w:szCs w:val="18"/>
                <w:b w:val="1"/>
                <w:bCs w:val="1"/>
                <w:color w:val="auto"/>
                <w:w w:val="80"/>
              </w:rPr>
              <w:t>Sales</w:t>
            </w:r>
          </w:p>
        </w:tc>
        <w:tc>
          <w:tcPr>
            <w:tcW w:w="10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680" w:type="dxa"/>
            <w:vAlign w:val="bottom"/>
            <w:gridSpan w:val="2"/>
          </w:tcPr>
          <w:p>
            <w:pPr>
              <w:jc w:val="right"/>
              <w:ind w:right="40"/>
              <w:spacing w:after="0"/>
              <w:rPr>
                <w:sz w:val="20"/>
                <w:szCs w:val="20"/>
                <w:color w:val="auto"/>
              </w:rPr>
            </w:pPr>
            <w:r>
              <w:rPr>
                <w:rFonts w:ascii="Arial" w:cs="Arial" w:eastAsia="Arial" w:hAnsi="Arial"/>
                <w:sz w:val="18"/>
                <w:szCs w:val="18"/>
                <w:color w:val="auto"/>
              </w:rPr>
              <w:t>(2,117)</w:t>
            </w:r>
          </w:p>
        </w:tc>
      </w:tr>
      <w:tr>
        <w:trPr>
          <w:trHeight w:val="20"/>
        </w:trPr>
        <w:tc>
          <w:tcPr>
            <w:tcW w:w="4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41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6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9,424</w:t>
            </w:r>
          </w:p>
        </w:tc>
        <w:tc>
          <w:tcPr>
            <w:tcW w:w="100" w:type="dxa"/>
            <w:vAlign w:val="bottom"/>
            <w:shd w:val="clear" w:color="auto" w:fill="CCEEFF"/>
          </w:tcPr>
          <w:p>
            <w:pPr>
              <w:spacing w:after="0"/>
              <w:rPr>
                <w:sz w:val="19"/>
                <w:szCs w:val="19"/>
                <w:color w:val="auto"/>
              </w:rPr>
            </w:pPr>
          </w:p>
        </w:tc>
        <w:tc>
          <w:tcPr>
            <w:tcW w:w="2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(2,117)</w:t>
            </w:r>
          </w:p>
        </w:tc>
      </w:tr>
      <w:tr>
        <w:trPr>
          <w:trHeight w:val="20"/>
        </w:trPr>
        <w:tc>
          <w:tcPr>
            <w:tcW w:w="41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6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5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5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1" w:name="page12"/>
    <w:bookmarkEnd w:id="11"/>
    <w:p>
      <w:pPr>
        <w:spacing w:after="0"/>
        <w:rPr>
          <w:sz w:val="20"/>
          <w:szCs w:val="20"/>
          <w:color w:val="auto"/>
        </w:rPr>
      </w:pPr>
      <w:r>
        <w:rPr>
          <w:rFonts w:ascii="Arial" w:cs="Arial" w:eastAsia="Arial" w:hAnsi="Arial"/>
          <w:sz w:val="18"/>
          <w:szCs w:val="18"/>
          <w:u w:val="single" w:color="auto"/>
          <w:color w:val="0000EE"/>
        </w:rPr>
        <w:t>Table of Contents</w:t>
      </w:r>
    </w:p>
    <w:p>
      <w:pPr>
        <w:spacing w:after="0" w:line="252" w:lineRule="exact"/>
        <w:rPr>
          <w:sz w:val="20"/>
          <w:szCs w:val="20"/>
          <w:color w:val="auto"/>
        </w:rPr>
      </w:pPr>
    </w:p>
    <w:p>
      <w:pPr>
        <w:ind w:firstLine="441"/>
        <w:spacing w:after="0" w:line="277" w:lineRule="auto"/>
        <w:rPr>
          <w:sz w:val="20"/>
          <w:szCs w:val="20"/>
          <w:color w:val="auto"/>
        </w:rPr>
      </w:pPr>
      <w:r>
        <w:rPr>
          <w:rFonts w:ascii="Arial" w:cs="Arial" w:eastAsia="Arial" w:hAnsi="Arial"/>
          <w:sz w:val="18"/>
          <w:szCs w:val="18"/>
          <w:color w:val="auto"/>
        </w:rPr>
        <w:t>The following table summarizes the gains recognized in earnings for derivative instruments not designated as hedging instruments during the three and six months ended September 30, 2023 (in thousands):</w:t>
      </w:r>
    </w:p>
    <w:p>
      <w:pPr>
        <w:spacing w:after="0" w:line="166" w:lineRule="exact"/>
        <w:rPr>
          <w:sz w:val="20"/>
          <w:szCs w:val="20"/>
          <w:color w:val="auto"/>
        </w:rPr>
      </w:pPr>
    </w:p>
    <w:tbl>
      <w:tblPr>
        <w:tblLayout w:type="fixed"/>
        <w:tblInd w:w="1300" w:type="dxa"/>
        <w:tblCellMar>
          <w:top w:w="0" w:type="dxa"/>
          <w:left w:w="0" w:type="dxa"/>
          <w:bottom w:w="0" w:type="dxa"/>
          <w:right w:w="0" w:type="dxa"/>
        </w:tblCellMar>
      </w:tblPr>
      <w:tr>
        <w:trPr>
          <w:trHeight w:val="216"/>
        </w:trPr>
        <w:tc>
          <w:tcPr>
            <w:tcW w:w="47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8"/>
              </w:rPr>
              <w:t>Gain Recognized in</w:t>
            </w:r>
          </w:p>
        </w:tc>
      </w:tr>
      <w:tr>
        <w:trPr>
          <w:trHeight w:val="216"/>
        </w:trPr>
        <w:tc>
          <w:tcPr>
            <w:tcW w:w="47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2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0"/>
              </w:rPr>
              <w:t>Earnings</w:t>
            </w:r>
          </w:p>
        </w:tc>
      </w:tr>
      <w:tr>
        <w:trPr>
          <w:trHeight w:val="216"/>
        </w:trPr>
        <w:tc>
          <w:tcPr>
            <w:tcW w:w="476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Arial" w:cs="Arial" w:eastAsia="Arial" w:hAnsi="Arial"/>
                <w:sz w:val="18"/>
                <w:szCs w:val="18"/>
                <w:b w:val="1"/>
                <w:bCs w:val="1"/>
                <w:color w:val="auto"/>
                <w:w w:val="91"/>
              </w:rPr>
              <w:t>Location of Gain</w:t>
            </w:r>
          </w:p>
        </w:tc>
        <w:tc>
          <w:tcPr>
            <w:tcW w:w="80" w:type="dxa"/>
            <w:vAlign w:val="bottom"/>
          </w:tcPr>
          <w:p>
            <w:pPr>
              <w:spacing w:after="0"/>
              <w:rPr>
                <w:sz w:val="18"/>
                <w:szCs w:val="18"/>
                <w:color w:val="auto"/>
              </w:rPr>
            </w:pPr>
          </w:p>
        </w:tc>
        <w:tc>
          <w:tcPr>
            <w:tcW w:w="232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92"/>
              </w:rPr>
              <w:t>for the Three Months Ended</w:t>
            </w:r>
          </w:p>
        </w:tc>
      </w:tr>
      <w:tr>
        <w:trPr>
          <w:trHeight w:val="216"/>
        </w:trPr>
        <w:tc>
          <w:tcPr>
            <w:tcW w:w="476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Arial" w:cs="Arial" w:eastAsia="Arial" w:hAnsi="Arial"/>
                <w:sz w:val="18"/>
                <w:szCs w:val="18"/>
                <w:b w:val="1"/>
                <w:bCs w:val="1"/>
                <w:color w:val="auto"/>
                <w:w w:val="88"/>
              </w:rPr>
              <w:t>Recognized in</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4"/>
        </w:trPr>
        <w:tc>
          <w:tcPr>
            <w:tcW w:w="4760" w:type="dxa"/>
            <w:vAlign w:val="bottom"/>
          </w:tcPr>
          <w:p>
            <w:pPr>
              <w:spacing w:after="0"/>
              <w:rPr>
                <w:sz w:val="20"/>
                <w:szCs w:val="20"/>
                <w:color w:val="auto"/>
              </w:rPr>
            </w:pPr>
          </w:p>
        </w:tc>
        <w:tc>
          <w:tcPr>
            <w:tcW w:w="1820" w:type="dxa"/>
            <w:vAlign w:val="bottom"/>
          </w:tcPr>
          <w:p>
            <w:pPr>
              <w:jc w:val="center"/>
              <w:spacing w:after="0"/>
              <w:rPr>
                <w:sz w:val="20"/>
                <w:szCs w:val="20"/>
                <w:color w:val="auto"/>
              </w:rPr>
            </w:pPr>
            <w:r>
              <w:rPr>
                <w:rFonts w:ascii="Arial" w:cs="Arial" w:eastAsia="Arial" w:hAnsi="Arial"/>
                <w:sz w:val="18"/>
                <w:szCs w:val="18"/>
                <w:b w:val="1"/>
                <w:bCs w:val="1"/>
                <w:color w:val="auto"/>
                <w:w w:val="90"/>
              </w:rPr>
              <w:t>Earnings</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0"/>
              </w:rPr>
              <w:t>September 30, 2023</w:t>
            </w:r>
          </w:p>
        </w:tc>
      </w:tr>
      <w:tr>
        <w:trPr>
          <w:trHeight w:val="195"/>
        </w:trPr>
        <w:tc>
          <w:tcPr>
            <w:tcW w:w="4760" w:type="dxa"/>
            <w:vAlign w:val="bottom"/>
            <w:shd w:val="clear" w:color="auto" w:fill="CCEEFF"/>
          </w:tcPr>
          <w:p>
            <w:pPr>
              <w:spacing w:after="0"/>
              <w:rPr>
                <w:sz w:val="16"/>
                <w:szCs w:val="16"/>
                <w:color w:val="auto"/>
              </w:rPr>
            </w:pPr>
          </w:p>
        </w:tc>
        <w:tc>
          <w:tcPr>
            <w:tcW w:w="182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90"/>
              </w:rPr>
              <w:t>Gain on economic</w:t>
            </w:r>
          </w:p>
        </w:tc>
        <w:tc>
          <w:tcPr>
            <w:tcW w:w="8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2140" w:type="dxa"/>
            <w:vAlign w:val="bottom"/>
            <w:tcBorders>
              <w:top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r>
      <w:tr>
        <w:trPr>
          <w:trHeight w:val="230"/>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Hot-rolled coil steel contracts</w:t>
            </w:r>
          </w:p>
        </w:tc>
        <w:tc>
          <w:tcPr>
            <w:tcW w:w="1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hedges of risk</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4,402</w:t>
            </w:r>
          </w:p>
        </w:tc>
      </w:tr>
      <w:tr>
        <w:trPr>
          <w:trHeight w:val="414"/>
        </w:trPr>
        <w:tc>
          <w:tcPr>
            <w:tcW w:w="47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8"/>
              </w:rPr>
              <w:t>Gain Recognized in</w:t>
            </w:r>
          </w:p>
        </w:tc>
      </w:tr>
      <w:tr>
        <w:trPr>
          <w:trHeight w:val="216"/>
        </w:trPr>
        <w:tc>
          <w:tcPr>
            <w:tcW w:w="47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2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0"/>
              </w:rPr>
              <w:t>Earnings</w:t>
            </w:r>
          </w:p>
        </w:tc>
      </w:tr>
      <w:tr>
        <w:trPr>
          <w:trHeight w:val="216"/>
        </w:trPr>
        <w:tc>
          <w:tcPr>
            <w:tcW w:w="476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Arial" w:cs="Arial" w:eastAsia="Arial" w:hAnsi="Arial"/>
                <w:sz w:val="18"/>
                <w:szCs w:val="18"/>
                <w:b w:val="1"/>
                <w:bCs w:val="1"/>
                <w:color w:val="auto"/>
                <w:w w:val="91"/>
              </w:rPr>
              <w:t>Location of Gain</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0"/>
              </w:rPr>
              <w:t>for the Six Months Ended</w:t>
            </w:r>
          </w:p>
        </w:tc>
      </w:tr>
      <w:tr>
        <w:trPr>
          <w:trHeight w:val="216"/>
        </w:trPr>
        <w:tc>
          <w:tcPr>
            <w:tcW w:w="476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Arial" w:cs="Arial" w:eastAsia="Arial" w:hAnsi="Arial"/>
                <w:sz w:val="18"/>
                <w:szCs w:val="18"/>
                <w:b w:val="1"/>
                <w:bCs w:val="1"/>
                <w:color w:val="auto"/>
                <w:w w:val="88"/>
              </w:rPr>
              <w:t>Recognized in</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4"/>
        </w:trPr>
        <w:tc>
          <w:tcPr>
            <w:tcW w:w="4760" w:type="dxa"/>
            <w:vAlign w:val="bottom"/>
          </w:tcPr>
          <w:p>
            <w:pPr>
              <w:spacing w:after="0"/>
              <w:rPr>
                <w:sz w:val="20"/>
                <w:szCs w:val="20"/>
                <w:color w:val="auto"/>
              </w:rPr>
            </w:pPr>
          </w:p>
        </w:tc>
        <w:tc>
          <w:tcPr>
            <w:tcW w:w="1820" w:type="dxa"/>
            <w:vAlign w:val="bottom"/>
          </w:tcPr>
          <w:p>
            <w:pPr>
              <w:jc w:val="center"/>
              <w:spacing w:after="0"/>
              <w:rPr>
                <w:sz w:val="20"/>
                <w:szCs w:val="20"/>
                <w:color w:val="auto"/>
              </w:rPr>
            </w:pPr>
            <w:r>
              <w:rPr>
                <w:rFonts w:ascii="Arial" w:cs="Arial" w:eastAsia="Arial" w:hAnsi="Arial"/>
                <w:sz w:val="18"/>
                <w:szCs w:val="18"/>
                <w:b w:val="1"/>
                <w:bCs w:val="1"/>
                <w:color w:val="auto"/>
                <w:w w:val="90"/>
              </w:rPr>
              <w:t>Earnings</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0"/>
              </w:rPr>
              <w:t>September 30, 2023</w:t>
            </w:r>
          </w:p>
        </w:tc>
      </w:tr>
      <w:tr>
        <w:trPr>
          <w:trHeight w:val="195"/>
        </w:trPr>
        <w:tc>
          <w:tcPr>
            <w:tcW w:w="4760" w:type="dxa"/>
            <w:vAlign w:val="bottom"/>
            <w:shd w:val="clear" w:color="auto" w:fill="CCEEFF"/>
          </w:tcPr>
          <w:p>
            <w:pPr>
              <w:spacing w:after="0"/>
              <w:rPr>
                <w:sz w:val="16"/>
                <w:szCs w:val="16"/>
                <w:color w:val="auto"/>
              </w:rPr>
            </w:pPr>
          </w:p>
        </w:tc>
        <w:tc>
          <w:tcPr>
            <w:tcW w:w="182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90"/>
              </w:rPr>
              <w:t>Gain on economic</w:t>
            </w:r>
          </w:p>
        </w:tc>
        <w:tc>
          <w:tcPr>
            <w:tcW w:w="8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2140" w:type="dxa"/>
            <w:vAlign w:val="bottom"/>
            <w:tcBorders>
              <w:top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r>
      <w:tr>
        <w:trPr>
          <w:trHeight w:val="230"/>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Hot-rolled coil steel contracts</w:t>
            </w:r>
          </w:p>
        </w:tc>
        <w:tc>
          <w:tcPr>
            <w:tcW w:w="1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hedges of risk</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4,832</w:t>
            </w:r>
          </w:p>
        </w:tc>
      </w:tr>
    </w:tbl>
    <w:p>
      <w:pPr>
        <w:spacing w:after="0" w:line="202"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The following table summarizes the gains recognized in earnings for derivative instruments not designated as hedging instruments during the three and six months ended September 30, 2022 (in thousands):</w:t>
      </w:r>
    </w:p>
    <w:p>
      <w:pPr>
        <w:spacing w:after="0" w:line="166" w:lineRule="exact"/>
        <w:rPr>
          <w:sz w:val="20"/>
          <w:szCs w:val="20"/>
          <w:color w:val="auto"/>
        </w:rPr>
      </w:pPr>
    </w:p>
    <w:tbl>
      <w:tblPr>
        <w:tblLayout w:type="fixed"/>
        <w:tblInd w:w="1300" w:type="dxa"/>
        <w:tblCellMar>
          <w:top w:w="0" w:type="dxa"/>
          <w:left w:w="0" w:type="dxa"/>
          <w:bottom w:w="0" w:type="dxa"/>
          <w:right w:w="0" w:type="dxa"/>
        </w:tblCellMar>
      </w:tblPr>
      <w:tr>
        <w:trPr>
          <w:trHeight w:val="216"/>
        </w:trPr>
        <w:tc>
          <w:tcPr>
            <w:tcW w:w="47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8"/>
              </w:rPr>
              <w:t>Gain Recognized in</w:t>
            </w:r>
          </w:p>
        </w:tc>
      </w:tr>
      <w:tr>
        <w:trPr>
          <w:trHeight w:val="216"/>
        </w:trPr>
        <w:tc>
          <w:tcPr>
            <w:tcW w:w="47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2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0"/>
              </w:rPr>
              <w:t>Earnings</w:t>
            </w:r>
          </w:p>
        </w:tc>
      </w:tr>
      <w:tr>
        <w:trPr>
          <w:trHeight w:val="216"/>
        </w:trPr>
        <w:tc>
          <w:tcPr>
            <w:tcW w:w="476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Arial" w:cs="Arial" w:eastAsia="Arial" w:hAnsi="Arial"/>
                <w:sz w:val="18"/>
                <w:szCs w:val="18"/>
                <w:b w:val="1"/>
                <w:bCs w:val="1"/>
                <w:color w:val="auto"/>
                <w:w w:val="91"/>
              </w:rPr>
              <w:t>Location of Gain</w:t>
            </w:r>
          </w:p>
        </w:tc>
        <w:tc>
          <w:tcPr>
            <w:tcW w:w="80" w:type="dxa"/>
            <w:vAlign w:val="bottom"/>
          </w:tcPr>
          <w:p>
            <w:pPr>
              <w:spacing w:after="0"/>
              <w:rPr>
                <w:sz w:val="18"/>
                <w:szCs w:val="18"/>
                <w:color w:val="auto"/>
              </w:rPr>
            </w:pPr>
          </w:p>
        </w:tc>
        <w:tc>
          <w:tcPr>
            <w:tcW w:w="232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92"/>
              </w:rPr>
              <w:t>for the Three Months Ended</w:t>
            </w:r>
          </w:p>
        </w:tc>
      </w:tr>
      <w:tr>
        <w:trPr>
          <w:trHeight w:val="216"/>
        </w:trPr>
        <w:tc>
          <w:tcPr>
            <w:tcW w:w="476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Arial" w:cs="Arial" w:eastAsia="Arial" w:hAnsi="Arial"/>
                <w:sz w:val="18"/>
                <w:szCs w:val="18"/>
                <w:b w:val="1"/>
                <w:bCs w:val="1"/>
                <w:color w:val="auto"/>
                <w:w w:val="88"/>
              </w:rPr>
              <w:t>Recognized in</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4"/>
        </w:trPr>
        <w:tc>
          <w:tcPr>
            <w:tcW w:w="4760" w:type="dxa"/>
            <w:vAlign w:val="bottom"/>
          </w:tcPr>
          <w:p>
            <w:pPr>
              <w:spacing w:after="0"/>
              <w:rPr>
                <w:sz w:val="20"/>
                <w:szCs w:val="20"/>
                <w:color w:val="auto"/>
              </w:rPr>
            </w:pPr>
          </w:p>
        </w:tc>
        <w:tc>
          <w:tcPr>
            <w:tcW w:w="1820" w:type="dxa"/>
            <w:vAlign w:val="bottom"/>
          </w:tcPr>
          <w:p>
            <w:pPr>
              <w:jc w:val="center"/>
              <w:spacing w:after="0"/>
              <w:rPr>
                <w:sz w:val="20"/>
                <w:szCs w:val="20"/>
                <w:color w:val="auto"/>
              </w:rPr>
            </w:pPr>
            <w:r>
              <w:rPr>
                <w:rFonts w:ascii="Arial" w:cs="Arial" w:eastAsia="Arial" w:hAnsi="Arial"/>
                <w:sz w:val="18"/>
                <w:szCs w:val="18"/>
                <w:b w:val="1"/>
                <w:bCs w:val="1"/>
                <w:color w:val="auto"/>
                <w:w w:val="90"/>
              </w:rPr>
              <w:t>Earnings</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0"/>
              </w:rPr>
              <w:t>September 30, 2022</w:t>
            </w:r>
          </w:p>
        </w:tc>
      </w:tr>
      <w:tr>
        <w:trPr>
          <w:trHeight w:val="195"/>
        </w:trPr>
        <w:tc>
          <w:tcPr>
            <w:tcW w:w="4760" w:type="dxa"/>
            <w:vAlign w:val="bottom"/>
            <w:shd w:val="clear" w:color="auto" w:fill="CCEEFF"/>
          </w:tcPr>
          <w:p>
            <w:pPr>
              <w:spacing w:after="0"/>
              <w:rPr>
                <w:sz w:val="16"/>
                <w:szCs w:val="16"/>
                <w:color w:val="auto"/>
              </w:rPr>
            </w:pPr>
          </w:p>
        </w:tc>
        <w:tc>
          <w:tcPr>
            <w:tcW w:w="182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90"/>
              </w:rPr>
              <w:t>Gain on economic</w:t>
            </w:r>
          </w:p>
        </w:tc>
        <w:tc>
          <w:tcPr>
            <w:tcW w:w="8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2140" w:type="dxa"/>
            <w:vAlign w:val="bottom"/>
            <w:tcBorders>
              <w:top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r>
      <w:tr>
        <w:trPr>
          <w:trHeight w:val="230"/>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Hot-rolled coil steel contracts</w:t>
            </w:r>
          </w:p>
        </w:tc>
        <w:tc>
          <w:tcPr>
            <w:tcW w:w="1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hedges of risk</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3,749</w:t>
            </w:r>
          </w:p>
        </w:tc>
      </w:tr>
      <w:tr>
        <w:trPr>
          <w:trHeight w:val="414"/>
        </w:trPr>
        <w:tc>
          <w:tcPr>
            <w:tcW w:w="47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8"/>
              </w:rPr>
              <w:t>Gain Recognized in</w:t>
            </w:r>
          </w:p>
        </w:tc>
      </w:tr>
      <w:tr>
        <w:trPr>
          <w:trHeight w:val="216"/>
        </w:trPr>
        <w:tc>
          <w:tcPr>
            <w:tcW w:w="47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2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0"/>
              </w:rPr>
              <w:t>Earnings</w:t>
            </w:r>
          </w:p>
        </w:tc>
      </w:tr>
      <w:tr>
        <w:trPr>
          <w:trHeight w:val="216"/>
        </w:trPr>
        <w:tc>
          <w:tcPr>
            <w:tcW w:w="476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Arial" w:cs="Arial" w:eastAsia="Arial" w:hAnsi="Arial"/>
                <w:sz w:val="18"/>
                <w:szCs w:val="18"/>
                <w:b w:val="1"/>
                <w:bCs w:val="1"/>
                <w:color w:val="auto"/>
                <w:w w:val="91"/>
              </w:rPr>
              <w:t>Location of Gain</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0"/>
              </w:rPr>
              <w:t>for the Six Months Ended</w:t>
            </w:r>
          </w:p>
        </w:tc>
      </w:tr>
      <w:tr>
        <w:trPr>
          <w:trHeight w:val="216"/>
        </w:trPr>
        <w:tc>
          <w:tcPr>
            <w:tcW w:w="476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Arial" w:cs="Arial" w:eastAsia="Arial" w:hAnsi="Arial"/>
                <w:sz w:val="18"/>
                <w:szCs w:val="18"/>
                <w:b w:val="1"/>
                <w:bCs w:val="1"/>
                <w:color w:val="auto"/>
                <w:w w:val="88"/>
              </w:rPr>
              <w:t>Recognized in</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4"/>
        </w:trPr>
        <w:tc>
          <w:tcPr>
            <w:tcW w:w="4760" w:type="dxa"/>
            <w:vAlign w:val="bottom"/>
          </w:tcPr>
          <w:p>
            <w:pPr>
              <w:spacing w:after="0"/>
              <w:rPr>
                <w:sz w:val="20"/>
                <w:szCs w:val="20"/>
                <w:color w:val="auto"/>
              </w:rPr>
            </w:pPr>
          </w:p>
        </w:tc>
        <w:tc>
          <w:tcPr>
            <w:tcW w:w="1820" w:type="dxa"/>
            <w:vAlign w:val="bottom"/>
          </w:tcPr>
          <w:p>
            <w:pPr>
              <w:jc w:val="center"/>
              <w:spacing w:after="0"/>
              <w:rPr>
                <w:sz w:val="20"/>
                <w:szCs w:val="20"/>
                <w:color w:val="auto"/>
              </w:rPr>
            </w:pPr>
            <w:r>
              <w:rPr>
                <w:rFonts w:ascii="Arial" w:cs="Arial" w:eastAsia="Arial" w:hAnsi="Arial"/>
                <w:sz w:val="18"/>
                <w:szCs w:val="18"/>
                <w:b w:val="1"/>
                <w:bCs w:val="1"/>
                <w:color w:val="auto"/>
                <w:w w:val="90"/>
              </w:rPr>
              <w:t>Earnings</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0"/>
              </w:rPr>
              <w:t>September 30, 2022</w:t>
            </w:r>
          </w:p>
        </w:tc>
      </w:tr>
      <w:tr>
        <w:trPr>
          <w:trHeight w:val="195"/>
        </w:trPr>
        <w:tc>
          <w:tcPr>
            <w:tcW w:w="4760" w:type="dxa"/>
            <w:vAlign w:val="bottom"/>
            <w:shd w:val="clear" w:color="auto" w:fill="CCEEFF"/>
          </w:tcPr>
          <w:p>
            <w:pPr>
              <w:spacing w:after="0"/>
              <w:rPr>
                <w:sz w:val="16"/>
                <w:szCs w:val="16"/>
                <w:color w:val="auto"/>
              </w:rPr>
            </w:pPr>
          </w:p>
        </w:tc>
        <w:tc>
          <w:tcPr>
            <w:tcW w:w="182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90"/>
              </w:rPr>
              <w:t>Gain on economic</w:t>
            </w:r>
          </w:p>
        </w:tc>
        <w:tc>
          <w:tcPr>
            <w:tcW w:w="8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2140" w:type="dxa"/>
            <w:vAlign w:val="bottom"/>
            <w:tcBorders>
              <w:top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r>
      <w:tr>
        <w:trPr>
          <w:trHeight w:val="230"/>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Hot-rolled coil steel contracts</w:t>
            </w:r>
          </w:p>
        </w:tc>
        <w:tc>
          <w:tcPr>
            <w:tcW w:w="1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hedges of risk</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6,504</w:t>
            </w:r>
          </w:p>
        </w:tc>
      </w:tr>
    </w:tbl>
    <w:p>
      <w:pPr>
        <w:spacing w:after="0" w:line="202"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The notional amount (quantity) of our derivative instruments not designated as hedging instruments at September 30, 2023 consisted of 22,100 tons of short positions with maturity dates ranging from October 2023 to June 2024.</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The following tables reflect the change in accumulated other comprehensive income (loss), net of tax, for the periods presented (in thousands):</w:t>
      </w:r>
    </w:p>
    <w:p>
      <w:pPr>
        <w:spacing w:after="0" w:line="233" w:lineRule="exact"/>
        <w:rPr>
          <w:sz w:val="20"/>
          <w:szCs w:val="20"/>
          <w:color w:val="auto"/>
        </w:rPr>
      </w:pPr>
    </w:p>
    <w:tbl>
      <w:tblPr>
        <w:tblLayout w:type="fixed"/>
        <w:tblInd w:w="1300" w:type="dxa"/>
        <w:tblCellMar>
          <w:top w:w="0" w:type="dxa"/>
          <w:left w:w="0" w:type="dxa"/>
          <w:bottom w:w="0" w:type="dxa"/>
          <w:right w:w="0" w:type="dxa"/>
        </w:tblCellMar>
      </w:tblPr>
      <w:tr>
        <w:trPr>
          <w:trHeight w:val="216"/>
        </w:trPr>
        <w:tc>
          <w:tcPr>
            <w:tcW w:w="7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Gain (Loss) on</w:t>
            </w:r>
          </w:p>
        </w:tc>
      </w:tr>
      <w:tr>
        <w:trPr>
          <w:trHeight w:val="234"/>
        </w:trPr>
        <w:tc>
          <w:tcPr>
            <w:tcW w:w="73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1"/>
              </w:rPr>
              <w:t>Derivatives</w:t>
            </w:r>
          </w:p>
        </w:tc>
        <w:tc>
          <w:tcPr>
            <w:tcW w:w="80" w:type="dxa"/>
            <w:vAlign w:val="bottom"/>
          </w:tcPr>
          <w:p>
            <w:pPr>
              <w:spacing w:after="0"/>
              <w:rPr>
                <w:sz w:val="20"/>
                <w:szCs w:val="20"/>
                <w:color w:val="auto"/>
              </w:rPr>
            </w:pPr>
          </w:p>
        </w:tc>
      </w:tr>
      <w:tr>
        <w:trPr>
          <w:trHeight w:val="210"/>
        </w:trPr>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Balance at March 31, 2023</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(317)</w:t>
            </w:r>
          </w:p>
        </w:tc>
      </w:tr>
      <w:tr>
        <w:trPr>
          <w:trHeight w:val="216"/>
        </w:trPr>
        <w:tc>
          <w:tcPr>
            <w:tcW w:w="7380" w:type="dxa"/>
            <w:vAlign w:val="bottom"/>
          </w:tcPr>
          <w:p>
            <w:pPr>
              <w:ind w:left="160"/>
              <w:spacing w:after="0"/>
              <w:rPr>
                <w:sz w:val="20"/>
                <w:szCs w:val="20"/>
                <w:color w:val="auto"/>
              </w:rPr>
            </w:pPr>
            <w:r>
              <w:rPr>
                <w:rFonts w:ascii="Arial" w:cs="Arial" w:eastAsia="Arial" w:hAnsi="Arial"/>
                <w:sz w:val="18"/>
                <w:szCs w:val="18"/>
                <w:color w:val="auto"/>
              </w:rPr>
              <w:t>Other comprehensive income, net of loss, before reclassification</w:t>
            </w:r>
          </w:p>
        </w:tc>
        <w:tc>
          <w:tcPr>
            <w:tcW w:w="140" w:type="dxa"/>
            <w:vAlign w:val="bottom"/>
          </w:tcPr>
          <w:p>
            <w:pPr>
              <w:spacing w:after="0"/>
              <w:rPr>
                <w:sz w:val="18"/>
                <w:szCs w:val="18"/>
                <w:color w:val="auto"/>
              </w:rPr>
            </w:pPr>
          </w:p>
        </w:tc>
        <w:tc>
          <w:tcPr>
            <w:tcW w:w="14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16"/>
        </w:trPr>
        <w:tc>
          <w:tcPr>
            <w:tcW w:w="7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loss reclassified from AOCI (1)</w:t>
            </w: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317</w:t>
            </w:r>
          </w:p>
        </w:tc>
      </w:tr>
      <w:tr>
        <w:trPr>
          <w:trHeight w:val="20"/>
        </w:trPr>
        <w:tc>
          <w:tcPr>
            <w:tcW w:w="73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209"/>
        </w:trPr>
        <w:tc>
          <w:tcPr>
            <w:tcW w:w="7380" w:type="dxa"/>
            <w:vAlign w:val="bottom"/>
          </w:tcPr>
          <w:p>
            <w:pPr>
              <w:spacing w:after="0"/>
              <w:rPr>
                <w:sz w:val="20"/>
                <w:szCs w:val="20"/>
                <w:color w:val="auto"/>
              </w:rPr>
            </w:pPr>
            <w:r>
              <w:rPr>
                <w:rFonts w:ascii="Arial" w:cs="Arial" w:eastAsia="Arial" w:hAnsi="Arial"/>
                <w:sz w:val="18"/>
                <w:szCs w:val="18"/>
                <w:color w:val="auto"/>
              </w:rPr>
              <w:t>Net current period other comprehensive income</w:t>
            </w:r>
          </w:p>
        </w:tc>
        <w:tc>
          <w:tcPr>
            <w:tcW w:w="140" w:type="dxa"/>
            <w:vAlign w:val="bottom"/>
          </w:tcPr>
          <w:p>
            <w:pPr>
              <w:spacing w:after="0"/>
              <w:rPr>
                <w:sz w:val="18"/>
                <w:szCs w:val="18"/>
                <w:color w:val="auto"/>
              </w:rPr>
            </w:pPr>
          </w:p>
        </w:tc>
        <w:tc>
          <w:tcPr>
            <w:tcW w:w="1460" w:type="dxa"/>
            <w:vAlign w:val="bottom"/>
            <w:gridSpan w:val="2"/>
          </w:tcPr>
          <w:p>
            <w:pPr>
              <w:jc w:val="right"/>
              <w:ind w:right="80"/>
              <w:spacing w:after="0"/>
              <w:rPr>
                <w:sz w:val="20"/>
                <w:szCs w:val="20"/>
                <w:color w:val="auto"/>
              </w:rPr>
            </w:pPr>
            <w:r>
              <w:rPr>
                <w:rFonts w:ascii="Arial" w:cs="Arial" w:eastAsia="Arial" w:hAnsi="Arial"/>
                <w:sz w:val="18"/>
                <w:szCs w:val="18"/>
                <w:color w:val="auto"/>
              </w:rPr>
              <w:t>317</w:t>
            </w:r>
          </w:p>
        </w:tc>
      </w:tr>
      <w:tr>
        <w:trPr>
          <w:trHeight w:val="20"/>
        </w:trPr>
        <w:tc>
          <w:tcPr>
            <w:tcW w:w="73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0"/>
        </w:trPr>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Balance at September 30, 2023</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r>
      <w:tr>
        <w:trPr>
          <w:trHeight w:val="20"/>
        </w:trPr>
        <w:tc>
          <w:tcPr>
            <w:tcW w:w="73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3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ind w:right="20" w:firstLine="656"/>
        <w:spacing w:after="0" w:line="277" w:lineRule="auto"/>
        <w:tabs>
          <w:tab w:leader="none" w:pos="906"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loss reclassified from AOCI is presented net of tax benefits of approximately $0.1 million which are included in the provision for (benefit from) income taxes on the Company's Consolidated Statement of Operations for the six months ended September 30, 2023.</w:t>
      </w:r>
    </w:p>
    <w:p>
      <w:pPr>
        <w:spacing w:after="0" w:line="166" w:lineRule="exact"/>
        <w:rPr>
          <w:sz w:val="20"/>
          <w:szCs w:val="20"/>
          <w:color w:val="auto"/>
        </w:rPr>
      </w:pPr>
    </w:p>
    <w:tbl>
      <w:tblPr>
        <w:tblLayout w:type="fixed"/>
        <w:tblInd w:w="1300" w:type="dxa"/>
        <w:tblCellMar>
          <w:top w:w="0" w:type="dxa"/>
          <w:left w:w="0" w:type="dxa"/>
          <w:bottom w:w="0" w:type="dxa"/>
          <w:right w:w="0" w:type="dxa"/>
        </w:tblCellMar>
      </w:tblPr>
      <w:tr>
        <w:trPr>
          <w:trHeight w:val="216"/>
        </w:trPr>
        <w:tc>
          <w:tcPr>
            <w:tcW w:w="7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Gain (Loss) on</w:t>
            </w:r>
          </w:p>
        </w:tc>
      </w:tr>
      <w:tr>
        <w:trPr>
          <w:trHeight w:val="234"/>
        </w:trPr>
        <w:tc>
          <w:tcPr>
            <w:tcW w:w="73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1"/>
              </w:rPr>
              <w:t>Derivatives</w:t>
            </w:r>
          </w:p>
        </w:tc>
        <w:tc>
          <w:tcPr>
            <w:tcW w:w="80" w:type="dxa"/>
            <w:vAlign w:val="bottom"/>
          </w:tcPr>
          <w:p>
            <w:pPr>
              <w:spacing w:after="0"/>
              <w:rPr>
                <w:sz w:val="20"/>
                <w:szCs w:val="20"/>
                <w:color w:val="auto"/>
              </w:rPr>
            </w:pPr>
          </w:p>
        </w:tc>
      </w:tr>
      <w:tr>
        <w:trPr>
          <w:trHeight w:val="209"/>
        </w:trPr>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Balance at March 31, 2022</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(10,269)</w:t>
            </w:r>
          </w:p>
        </w:tc>
      </w:tr>
      <w:tr>
        <w:trPr>
          <w:trHeight w:val="216"/>
        </w:trPr>
        <w:tc>
          <w:tcPr>
            <w:tcW w:w="7380" w:type="dxa"/>
            <w:vAlign w:val="bottom"/>
          </w:tcPr>
          <w:p>
            <w:pPr>
              <w:ind w:left="160"/>
              <w:spacing w:after="0"/>
              <w:rPr>
                <w:sz w:val="20"/>
                <w:szCs w:val="20"/>
                <w:color w:val="auto"/>
              </w:rPr>
            </w:pPr>
            <w:r>
              <w:rPr>
                <w:rFonts w:ascii="Arial" w:cs="Arial" w:eastAsia="Arial" w:hAnsi="Arial"/>
                <w:sz w:val="18"/>
                <w:szCs w:val="18"/>
                <w:color w:val="auto"/>
              </w:rPr>
              <w:t>Other comprehensive income, net of loss, before reclassification</w:t>
            </w:r>
          </w:p>
        </w:tc>
        <w:tc>
          <w:tcPr>
            <w:tcW w:w="140" w:type="dxa"/>
            <w:vAlign w:val="bottom"/>
          </w:tcPr>
          <w:p>
            <w:pPr>
              <w:spacing w:after="0"/>
              <w:rPr>
                <w:sz w:val="18"/>
                <w:szCs w:val="18"/>
                <w:color w:val="auto"/>
              </w:rPr>
            </w:pPr>
          </w:p>
        </w:tc>
        <w:tc>
          <w:tcPr>
            <w:tcW w:w="1460" w:type="dxa"/>
            <w:vAlign w:val="bottom"/>
            <w:gridSpan w:val="2"/>
          </w:tcPr>
          <w:p>
            <w:pPr>
              <w:jc w:val="right"/>
              <w:ind w:right="80"/>
              <w:spacing w:after="0"/>
              <w:rPr>
                <w:sz w:val="20"/>
                <w:szCs w:val="20"/>
                <w:color w:val="auto"/>
              </w:rPr>
            </w:pPr>
            <w:r>
              <w:rPr>
                <w:rFonts w:ascii="Arial" w:cs="Arial" w:eastAsia="Arial" w:hAnsi="Arial"/>
                <w:sz w:val="18"/>
                <w:szCs w:val="18"/>
                <w:color w:val="auto"/>
              </w:rPr>
              <w:t>7,147</w:t>
            </w:r>
          </w:p>
        </w:tc>
      </w:tr>
      <w:tr>
        <w:trPr>
          <w:trHeight w:val="216"/>
        </w:trPr>
        <w:tc>
          <w:tcPr>
            <w:tcW w:w="7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loss reclassified from AOCI (1)</w:t>
            </w: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1,606</w:t>
            </w:r>
          </w:p>
        </w:tc>
      </w:tr>
      <w:tr>
        <w:trPr>
          <w:trHeight w:val="20"/>
        </w:trPr>
        <w:tc>
          <w:tcPr>
            <w:tcW w:w="73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209"/>
        </w:trPr>
        <w:tc>
          <w:tcPr>
            <w:tcW w:w="7380" w:type="dxa"/>
            <w:vAlign w:val="bottom"/>
          </w:tcPr>
          <w:p>
            <w:pPr>
              <w:spacing w:after="0"/>
              <w:rPr>
                <w:sz w:val="20"/>
                <w:szCs w:val="20"/>
                <w:color w:val="auto"/>
              </w:rPr>
            </w:pPr>
            <w:r>
              <w:rPr>
                <w:rFonts w:ascii="Arial" w:cs="Arial" w:eastAsia="Arial" w:hAnsi="Arial"/>
                <w:sz w:val="18"/>
                <w:szCs w:val="18"/>
                <w:color w:val="auto"/>
              </w:rPr>
              <w:t>Net current period other comprehensive income</w:t>
            </w:r>
          </w:p>
        </w:tc>
        <w:tc>
          <w:tcPr>
            <w:tcW w:w="140" w:type="dxa"/>
            <w:vAlign w:val="bottom"/>
          </w:tcPr>
          <w:p>
            <w:pPr>
              <w:spacing w:after="0"/>
              <w:rPr>
                <w:sz w:val="18"/>
                <w:szCs w:val="18"/>
                <w:color w:val="auto"/>
              </w:rPr>
            </w:pPr>
          </w:p>
        </w:tc>
        <w:tc>
          <w:tcPr>
            <w:tcW w:w="1460" w:type="dxa"/>
            <w:vAlign w:val="bottom"/>
            <w:gridSpan w:val="2"/>
          </w:tcPr>
          <w:p>
            <w:pPr>
              <w:jc w:val="right"/>
              <w:ind w:right="80"/>
              <w:spacing w:after="0"/>
              <w:rPr>
                <w:sz w:val="20"/>
                <w:szCs w:val="20"/>
                <w:color w:val="auto"/>
              </w:rPr>
            </w:pPr>
            <w:r>
              <w:rPr>
                <w:rFonts w:ascii="Arial" w:cs="Arial" w:eastAsia="Arial" w:hAnsi="Arial"/>
                <w:sz w:val="18"/>
                <w:szCs w:val="18"/>
                <w:color w:val="auto"/>
              </w:rPr>
              <w:t>8,753</w:t>
            </w:r>
          </w:p>
        </w:tc>
      </w:tr>
      <w:tr>
        <w:trPr>
          <w:trHeight w:val="20"/>
        </w:trPr>
        <w:tc>
          <w:tcPr>
            <w:tcW w:w="73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0"/>
        </w:trPr>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Balance at September 30, 2022</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(1,516)</w:t>
            </w:r>
          </w:p>
        </w:tc>
      </w:tr>
      <w:tr>
        <w:trPr>
          <w:trHeight w:val="20"/>
        </w:trPr>
        <w:tc>
          <w:tcPr>
            <w:tcW w:w="73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3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ind w:firstLine="656"/>
        <w:spacing w:after="0" w:line="277" w:lineRule="auto"/>
        <w:tabs>
          <w:tab w:leader="none" w:pos="906"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loss reclassified from AOCI is presented net of tax benefits of approximately $0.5 million which are included in the provision for (benefit from) income taxes on the Company's Consolidated Statement of Operations for the six months ended September 30, 2022.</w:t>
      </w:r>
    </w:p>
    <w:p>
      <w:pPr>
        <w:spacing w:after="0" w:line="170" w:lineRule="exact"/>
        <w:rPr>
          <w:sz w:val="20"/>
          <w:szCs w:val="20"/>
          <w:color w:val="auto"/>
        </w:rPr>
      </w:pPr>
    </w:p>
    <w:p>
      <w:pPr>
        <w:ind w:left="500"/>
        <w:spacing w:after="0"/>
        <w:tabs>
          <w:tab w:leader="none" w:pos="860" w:val="left"/>
        </w:tabs>
        <w:rPr>
          <w:sz w:val="20"/>
          <w:szCs w:val="20"/>
          <w:color w:val="auto"/>
        </w:rPr>
      </w:pPr>
      <w:r>
        <w:rPr>
          <w:rFonts w:ascii="Arial" w:cs="Arial" w:eastAsia="Arial" w:hAnsi="Arial"/>
          <w:sz w:val="18"/>
          <w:szCs w:val="18"/>
          <w:color w:val="auto"/>
        </w:rPr>
        <w:t>At</w:t>
        <w:tab/>
        <w:t>March 31, 2023, cash of approximately $2.4 million was held by our clearing agent to collateralize our open derivative positions.</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The cash requirement is included in "Other current assets" on the Company's Consolidated Balance Sheet at March 31, 2023. The Company did not have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any restricted cash as of September 30, 2023.</w:t>
      </w:r>
    </w:p>
    <w:p>
      <w:pPr>
        <w:sectPr>
          <w:pgSz w:w="11900" w:h="16838" w:orient="portrait"/>
          <w:cols w:equalWidth="0" w:num="1">
            <w:col w:w="11240"/>
          </w:cols>
          <w:pgMar w:left="320" w:top="125" w:right="339" w:bottom="385" w:gutter="0" w:footer="0" w:header="0"/>
        </w:sect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385" w:gutter="0" w:footer="0" w:header="0"/>
          <w:type w:val="continuous"/>
        </w:sectPr>
      </w:pPr>
    </w:p>
    <w:bookmarkStart w:id="12" w:name="page13"/>
    <w:bookmarkEnd w:id="12"/>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NOTE I — FAIR VALUE MEASUREMENTS</w:t>
      </w:r>
    </w:p>
    <w:p>
      <w:pPr>
        <w:spacing w:after="0" w:line="225" w:lineRule="exact"/>
        <w:rPr>
          <w:sz w:val="20"/>
          <w:szCs w:val="20"/>
          <w:color w:val="auto"/>
        </w:rPr>
      </w:pPr>
    </w:p>
    <w:p>
      <w:pPr>
        <w:jc w:val="both"/>
        <w:ind w:firstLine="441"/>
        <w:spacing w:after="0" w:line="263" w:lineRule="auto"/>
        <w:rPr>
          <w:sz w:val="20"/>
          <w:szCs w:val="20"/>
          <w:color w:val="auto"/>
        </w:rPr>
      </w:pPr>
      <w:r>
        <w:rPr>
          <w:rFonts w:ascii="Arial" w:cs="Arial" w:eastAsia="Arial" w:hAnsi="Arial"/>
          <w:sz w:val="18"/>
          <w:szCs w:val="18"/>
          <w:color w:val="auto"/>
        </w:rPr>
        <w:t>Accounting standards provide a comprehensive framework for measuring fair value and sets forth a definition of fair value and establishes a hierarchy prioritizing the inputs to valuation techniques, giving the highest priority to quoted prices in active markets for identical assets and liabilities and the lowest priority to unobservable value inputs. Levels within the hierarchy are defined as follows:</w:t>
      </w:r>
    </w:p>
    <w:p>
      <w:pPr>
        <w:spacing w:after="0" w:line="184" w:lineRule="exact"/>
        <w:rPr>
          <w:sz w:val="20"/>
          <w:szCs w:val="20"/>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Level 1 – Quoted prices for identical assets and liabilities in active markets.</w:t>
      </w:r>
    </w:p>
    <w:p>
      <w:pPr>
        <w:spacing w:after="0" w:line="23"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6"/>
          <w:szCs w:val="16"/>
          <w:color w:val="auto"/>
        </w:rPr>
      </w:pPr>
      <w:r>
        <w:rPr>
          <w:rFonts w:ascii="Arial" w:cs="Arial" w:eastAsia="Arial" w:hAnsi="Arial"/>
          <w:sz w:val="16"/>
          <w:szCs w:val="16"/>
          <w:color w:val="auto"/>
        </w:rPr>
        <w:t>Level 2 – Inputs other than quoted prices included within Level 1 that are observable for the assets and liabilities, either directly or indirectly.</w:t>
      </w:r>
    </w:p>
    <w:p>
      <w:pPr>
        <w:spacing w:after="0" w:line="32" w:lineRule="exact"/>
        <w:rPr>
          <w:rFonts w:ascii="Arial" w:cs="Arial" w:eastAsia="Arial" w:hAnsi="Arial"/>
          <w:sz w:val="16"/>
          <w:szCs w:val="16"/>
          <w:color w:val="auto"/>
        </w:rPr>
      </w:pPr>
    </w:p>
    <w:p>
      <w:pPr>
        <w:ind w:left="980" w:right="20" w:hanging="324"/>
        <w:spacing w:after="0" w:line="260"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Level 3 – Unobservable inputs that are supported by little or no market activity and that are significant to the fair value of the assets and liabilities.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Recurring Fair Value Measurements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At September 30, 2023, our financial assets, net, measured at fair value on a recurring basis were as follows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138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88"/>
              </w:rPr>
              <w:t>Quoted Prices</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0"/>
              </w:rPr>
              <w:t>in Active</w:t>
            </w:r>
          </w:p>
        </w:tc>
        <w:tc>
          <w:tcPr>
            <w:tcW w:w="10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Significant</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4"/>
              </w:rPr>
              <w:t>Markets for</w:t>
            </w:r>
          </w:p>
        </w:tc>
        <w:tc>
          <w:tcPr>
            <w:tcW w:w="100" w:type="dxa"/>
            <w:vAlign w:val="bottom"/>
          </w:tcPr>
          <w:p>
            <w:pPr>
              <w:spacing w:after="0"/>
              <w:rPr>
                <w:sz w:val="18"/>
                <w:szCs w:val="18"/>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5"/>
              </w:rPr>
              <w:t>Other</w:t>
            </w:r>
          </w:p>
        </w:tc>
        <w:tc>
          <w:tcPr>
            <w:tcW w:w="12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Significant</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3"/>
              </w:rPr>
              <w:t>Identical</w:t>
            </w:r>
          </w:p>
        </w:tc>
        <w:tc>
          <w:tcPr>
            <w:tcW w:w="10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Observable</w:t>
            </w:r>
          </w:p>
        </w:tc>
        <w:tc>
          <w:tcPr>
            <w:tcW w:w="132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9"/>
              </w:rPr>
              <w:t>Unobservable</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1"/>
              </w:rPr>
              <w:t>Assets</w:t>
            </w:r>
          </w:p>
        </w:tc>
        <w:tc>
          <w:tcPr>
            <w:tcW w:w="100" w:type="dxa"/>
            <w:vAlign w:val="bottom"/>
          </w:tcPr>
          <w:p>
            <w:pPr>
              <w:spacing w:after="0"/>
              <w:rPr>
                <w:sz w:val="18"/>
                <w:szCs w:val="18"/>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2"/>
              </w:rPr>
              <w:t>Inputs</w:t>
            </w:r>
          </w:p>
        </w:tc>
        <w:tc>
          <w:tcPr>
            <w:tcW w:w="12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2"/>
              </w:rPr>
              <w:t>Inputs</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59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3"/>
              </w:rPr>
              <w:t>(Level 1)</w:t>
            </w:r>
          </w:p>
        </w:tc>
        <w:tc>
          <w:tcPr>
            <w:tcW w:w="2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3"/>
              </w:rPr>
              <w:t>(Level 2)</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3"/>
              </w:rPr>
              <w:t>(Level 3)</w:t>
            </w: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20"/>
                <w:szCs w:val="20"/>
                <w:color w:val="auto"/>
              </w:rPr>
            </w:pPr>
          </w:p>
        </w:tc>
      </w:tr>
      <w:tr>
        <w:trPr>
          <w:trHeight w:val="209"/>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Commodity futures – financial assets, net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292</w:t>
            </w:r>
          </w:p>
        </w:tc>
      </w:tr>
      <w:tr>
        <w:trPr>
          <w:trHeight w:val="20"/>
        </w:trPr>
        <w:tc>
          <w:tcPr>
            <w:tcW w:w="59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5980" w:type="dxa"/>
            <w:vAlign w:val="bottom"/>
          </w:tcPr>
          <w:p>
            <w:pPr>
              <w:spacing w:after="0"/>
              <w:rPr>
                <w:sz w:val="20"/>
                <w:szCs w:val="20"/>
                <w:color w:val="auto"/>
              </w:rPr>
            </w:pPr>
            <w:r>
              <w:rPr>
                <w:rFonts w:ascii="Arial" w:cs="Arial" w:eastAsia="Arial" w:hAnsi="Arial"/>
                <w:sz w:val="18"/>
                <w:szCs w:val="18"/>
                <w:color w:val="auto"/>
              </w:rPr>
              <w:t>Total</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292</w:t>
            </w:r>
          </w:p>
        </w:tc>
        <w:tc>
          <w:tcPr>
            <w:tcW w:w="2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292</w:t>
            </w:r>
          </w:p>
        </w:tc>
      </w:tr>
      <w:tr>
        <w:trPr>
          <w:trHeight w:val="20"/>
        </w:trPr>
        <w:tc>
          <w:tcPr>
            <w:tcW w:w="59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At March 31, 2023, our financial liabilities, net, measured at fair value on a recurring basis were as follows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138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88"/>
              </w:rPr>
              <w:t>Quoted Prices</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0"/>
              </w:rPr>
              <w:t>in Active</w:t>
            </w:r>
          </w:p>
        </w:tc>
        <w:tc>
          <w:tcPr>
            <w:tcW w:w="10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Significant</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4"/>
              </w:rPr>
              <w:t>Markets for</w:t>
            </w:r>
          </w:p>
        </w:tc>
        <w:tc>
          <w:tcPr>
            <w:tcW w:w="100" w:type="dxa"/>
            <w:vAlign w:val="bottom"/>
          </w:tcPr>
          <w:p>
            <w:pPr>
              <w:spacing w:after="0"/>
              <w:rPr>
                <w:sz w:val="18"/>
                <w:szCs w:val="18"/>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5"/>
              </w:rPr>
              <w:t>Other</w:t>
            </w:r>
          </w:p>
        </w:tc>
        <w:tc>
          <w:tcPr>
            <w:tcW w:w="12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Significant</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3"/>
              </w:rPr>
              <w:t>Identical</w:t>
            </w:r>
          </w:p>
        </w:tc>
        <w:tc>
          <w:tcPr>
            <w:tcW w:w="10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Observable</w:t>
            </w:r>
          </w:p>
        </w:tc>
        <w:tc>
          <w:tcPr>
            <w:tcW w:w="132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9"/>
              </w:rPr>
              <w:t>Unobservable</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1"/>
              </w:rPr>
              <w:t>Assets</w:t>
            </w:r>
          </w:p>
        </w:tc>
        <w:tc>
          <w:tcPr>
            <w:tcW w:w="100" w:type="dxa"/>
            <w:vAlign w:val="bottom"/>
          </w:tcPr>
          <w:p>
            <w:pPr>
              <w:spacing w:after="0"/>
              <w:rPr>
                <w:sz w:val="18"/>
                <w:szCs w:val="18"/>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2"/>
              </w:rPr>
              <w:t>Inputs</w:t>
            </w:r>
          </w:p>
        </w:tc>
        <w:tc>
          <w:tcPr>
            <w:tcW w:w="12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2"/>
              </w:rPr>
              <w:t>Inputs</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59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3"/>
              </w:rPr>
              <w:t>(Level 1)</w:t>
            </w:r>
          </w:p>
        </w:tc>
        <w:tc>
          <w:tcPr>
            <w:tcW w:w="2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3"/>
              </w:rPr>
              <w:t>(Level 2)</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3"/>
              </w:rPr>
              <w:t>(Level 3)</w:t>
            </w: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20"/>
                <w:szCs w:val="20"/>
                <w:color w:val="auto"/>
              </w:rPr>
            </w:pPr>
          </w:p>
        </w:tc>
      </w:tr>
      <w:tr>
        <w:trPr>
          <w:trHeight w:val="210"/>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Commodity futures – financial liabilities, net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(1,676)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(1,676)</w:t>
            </w:r>
          </w:p>
        </w:tc>
      </w:tr>
      <w:tr>
        <w:trPr>
          <w:trHeight w:val="20"/>
        </w:trPr>
        <w:tc>
          <w:tcPr>
            <w:tcW w:w="59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5980" w:type="dxa"/>
            <w:vAlign w:val="bottom"/>
          </w:tcPr>
          <w:p>
            <w:pPr>
              <w:spacing w:after="0"/>
              <w:rPr>
                <w:sz w:val="20"/>
                <w:szCs w:val="20"/>
                <w:color w:val="auto"/>
              </w:rPr>
            </w:pPr>
            <w:r>
              <w:rPr>
                <w:rFonts w:ascii="Arial" w:cs="Arial" w:eastAsia="Arial" w:hAnsi="Arial"/>
                <w:sz w:val="18"/>
                <w:szCs w:val="18"/>
                <w:color w:val="auto"/>
              </w:rPr>
              <w:t>Total</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(1,676)</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(1,676)</w:t>
            </w:r>
          </w:p>
        </w:tc>
      </w:tr>
      <w:tr>
        <w:trPr>
          <w:trHeight w:val="20"/>
        </w:trPr>
        <w:tc>
          <w:tcPr>
            <w:tcW w:w="59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5540" w:right="1560" w:hanging="5039"/>
        <w:spacing w:after="0" w:line="527" w:lineRule="auto"/>
        <w:rPr>
          <w:sz w:val="20"/>
          <w:szCs w:val="20"/>
          <w:color w:val="auto"/>
        </w:rPr>
      </w:pPr>
      <w:r>
        <w:rPr>
          <w:rFonts w:ascii="Arial" w:cs="Arial" w:eastAsia="Arial" w:hAnsi="Arial"/>
          <w:sz w:val="18"/>
          <w:szCs w:val="18"/>
          <w:color w:val="auto"/>
        </w:rPr>
        <w:t>At September 30, 2023 and March 31, 2023, the Company did not have any fair value measurements on a non-recurring basis.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-87630</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NOTE J — SEGMENT INFORMATION (in thousands)</w:t>
      </w:r>
    </w:p>
    <w:p>
      <w:pPr>
        <w:spacing w:after="0" w:line="225" w:lineRule="exact"/>
        <w:rPr>
          <w:sz w:val="20"/>
          <w:szCs w:val="20"/>
          <w:color w:val="auto"/>
        </w:rPr>
      </w:pPr>
    </w:p>
    <w:p>
      <w:pPr>
        <w:ind w:right="280" w:firstLine="486"/>
        <w:spacing w:after="0" w:line="277" w:lineRule="auto"/>
        <w:rPr>
          <w:sz w:val="20"/>
          <w:szCs w:val="20"/>
          <w:color w:val="auto"/>
        </w:rPr>
      </w:pPr>
      <w:r>
        <w:rPr>
          <w:rFonts w:ascii="Arial" w:cs="Arial" w:eastAsia="Arial" w:hAnsi="Arial"/>
          <w:sz w:val="18"/>
          <w:szCs w:val="18"/>
          <w:color w:val="auto"/>
        </w:rPr>
        <w:t>The Flat-roll segment was previously referred to as the Coil segment. The Company is now using Flat-roll to describe the segment due to it being a more common term used in the Company's industry.</w:t>
      </w:r>
    </w:p>
    <w:p>
      <w:pPr>
        <w:spacing w:after="0" w:line="166" w:lineRule="exact"/>
        <w:rPr>
          <w:sz w:val="20"/>
          <w:szCs w:val="20"/>
          <w:color w:val="auto"/>
        </w:rPr>
      </w:pPr>
    </w:p>
    <w:tbl>
      <w:tblPr>
        <w:tblLayout w:type="fixed"/>
        <w:tblInd w:w="840" w:type="dxa"/>
        <w:tblCellMar>
          <w:top w:w="0" w:type="dxa"/>
          <w:left w:w="0" w:type="dxa"/>
          <w:bottom w:w="0" w:type="dxa"/>
          <w:right w:w="0" w:type="dxa"/>
        </w:tblCellMar>
      </w:tblPr>
      <w:tr>
        <w:trPr>
          <w:trHeight w:val="216"/>
        </w:trPr>
        <w:tc>
          <w:tcPr>
            <w:tcW w:w="3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0" w:type="dxa"/>
            <w:vAlign w:val="bottom"/>
            <w:gridSpan w:val="6"/>
          </w:tcPr>
          <w:p>
            <w:pPr>
              <w:jc w:val="right"/>
              <w:ind w:right="700"/>
              <w:spacing w:after="0"/>
              <w:rPr>
                <w:sz w:val="20"/>
                <w:szCs w:val="20"/>
                <w:color w:val="auto"/>
              </w:rPr>
            </w:pPr>
            <w:r>
              <w:rPr>
                <w:rFonts w:ascii="Arial" w:cs="Arial" w:eastAsia="Arial" w:hAnsi="Arial"/>
                <w:sz w:val="18"/>
                <w:szCs w:val="18"/>
                <w:b w:val="1"/>
                <w:bCs w:val="1"/>
                <w:color w:val="auto"/>
              </w:rPr>
              <w:t>Three Months Ended</w:t>
            </w:r>
          </w:p>
        </w:tc>
        <w:tc>
          <w:tcPr>
            <w:tcW w:w="240" w:type="dxa"/>
            <w:vAlign w:val="bottom"/>
          </w:tcPr>
          <w:p>
            <w:pPr>
              <w:spacing w:after="0"/>
              <w:rPr>
                <w:sz w:val="18"/>
                <w:szCs w:val="18"/>
                <w:color w:val="auto"/>
              </w:rPr>
            </w:pPr>
          </w:p>
        </w:tc>
        <w:tc>
          <w:tcPr>
            <w:tcW w:w="1820" w:type="dxa"/>
            <w:vAlign w:val="bottom"/>
            <w:gridSpan w:val="5"/>
          </w:tcPr>
          <w:p>
            <w:pPr>
              <w:jc w:val="right"/>
              <w:ind w:right="20"/>
              <w:spacing w:after="0"/>
              <w:rPr>
                <w:sz w:val="20"/>
                <w:szCs w:val="20"/>
                <w:color w:val="auto"/>
              </w:rPr>
            </w:pPr>
            <w:r>
              <w:rPr>
                <w:rFonts w:ascii="Arial" w:cs="Arial" w:eastAsia="Arial" w:hAnsi="Arial"/>
                <w:sz w:val="18"/>
                <w:szCs w:val="18"/>
                <w:b w:val="1"/>
                <w:bCs w:val="1"/>
                <w:color w:val="auto"/>
              </w:rPr>
              <w:t>Six Months Ended</w:t>
            </w: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4"/>
        </w:trPr>
        <w:tc>
          <w:tcPr>
            <w:tcW w:w="39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38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gridSpan w:val="5"/>
          </w:tcPr>
          <w:p>
            <w:pPr>
              <w:jc w:val="right"/>
              <w:ind w:right="180"/>
              <w:spacing w:after="0"/>
              <w:rPr>
                <w:sz w:val="20"/>
                <w:szCs w:val="20"/>
                <w:color w:val="auto"/>
              </w:rPr>
            </w:pPr>
            <w:r>
              <w:rPr>
                <w:rFonts w:ascii="Arial" w:cs="Arial" w:eastAsia="Arial" w:hAnsi="Arial"/>
                <w:sz w:val="18"/>
                <w:szCs w:val="18"/>
                <w:b w:val="1"/>
                <w:bCs w:val="1"/>
                <w:color w:val="auto"/>
              </w:rPr>
              <w:t>September 30,</w:t>
            </w:r>
          </w:p>
        </w:tc>
        <w:tc>
          <w:tcPr>
            <w:tcW w:w="6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09"/>
        </w:trPr>
        <w:tc>
          <w:tcPr>
            <w:tcW w:w="3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2023</w:t>
            </w: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b w:val="1"/>
                <w:bCs w:val="1"/>
                <w:color w:val="auto"/>
                <w:w w:val="84"/>
              </w:rPr>
              <w:t>2022</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jc w:val="right"/>
              <w:ind w:right="110"/>
              <w:spacing w:after="0"/>
              <w:rPr>
                <w:sz w:val="20"/>
                <w:szCs w:val="20"/>
                <w:color w:val="auto"/>
              </w:rPr>
            </w:pPr>
            <w:r>
              <w:rPr>
                <w:rFonts w:ascii="Arial" w:cs="Arial" w:eastAsia="Arial" w:hAnsi="Arial"/>
                <w:sz w:val="18"/>
                <w:szCs w:val="18"/>
                <w:b w:val="1"/>
                <w:bCs w:val="1"/>
                <w:color w:val="auto"/>
              </w:rPr>
              <w:t>2023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3"/>
          </w:tcPr>
          <w:p>
            <w:pPr>
              <w:jc w:val="right"/>
              <w:ind w:right="350"/>
              <w:spacing w:after="0"/>
              <w:rPr>
                <w:sz w:val="20"/>
                <w:szCs w:val="20"/>
                <w:color w:val="auto"/>
              </w:rPr>
            </w:pPr>
            <w:r>
              <w:rPr>
                <w:rFonts w:ascii="Arial" w:cs="Arial" w:eastAsia="Arial" w:hAnsi="Arial"/>
                <w:sz w:val="18"/>
                <w:szCs w:val="18"/>
                <w:b w:val="1"/>
                <w:bCs w:val="1"/>
                <w:color w:val="auto"/>
              </w:rPr>
              <w:t>2022</w:t>
            </w:r>
          </w:p>
        </w:tc>
        <w:tc>
          <w:tcPr>
            <w:tcW w:w="80" w:type="dxa"/>
            <w:vAlign w:val="bottom"/>
          </w:tcPr>
          <w:p>
            <w:pPr>
              <w:spacing w:after="0"/>
              <w:rPr>
                <w:sz w:val="18"/>
                <w:szCs w:val="18"/>
                <w:color w:val="auto"/>
              </w:rPr>
            </w:pPr>
          </w:p>
        </w:tc>
      </w:tr>
      <w:tr>
        <w:trPr>
          <w:trHeight w:val="209"/>
        </w:trPr>
        <w:tc>
          <w:tcPr>
            <w:tcW w:w="3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2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right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80" w:type="dxa"/>
            <w:vAlign w:val="bottom"/>
            <w:tcBorders>
              <w:left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3940" w:type="dxa"/>
            <w:vAlign w:val="bottom"/>
          </w:tcPr>
          <w:p>
            <w:pPr>
              <w:ind w:left="340"/>
              <w:spacing w:after="0"/>
              <w:rPr>
                <w:sz w:val="20"/>
                <w:szCs w:val="20"/>
                <w:color w:val="auto"/>
              </w:rPr>
            </w:pPr>
            <w:r>
              <w:rPr>
                <w:rFonts w:ascii="Arial" w:cs="Arial" w:eastAsia="Arial" w:hAnsi="Arial"/>
                <w:sz w:val="18"/>
                <w:szCs w:val="18"/>
                <w:color w:val="auto"/>
              </w:rPr>
              <w:t>Flat-roll</w:t>
            </w: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120,527</w:t>
            </w:r>
          </w:p>
        </w:tc>
        <w:tc>
          <w:tcPr>
            <w:tcW w:w="440" w:type="dxa"/>
            <w:vAlign w:val="bottom"/>
          </w:tcPr>
          <w:p>
            <w:pPr>
              <w:jc w:val="right"/>
              <w:ind w:right="287"/>
              <w:spacing w:after="0"/>
              <w:rPr>
                <w:sz w:val="20"/>
                <w:szCs w:val="20"/>
                <w:color w:val="auto"/>
              </w:rPr>
            </w:pPr>
            <w:r>
              <w:rPr>
                <w:rFonts w:ascii="Arial" w:cs="Arial" w:eastAsia="Arial" w:hAnsi="Arial"/>
                <w:sz w:val="15"/>
                <w:szCs w:val="15"/>
                <w:color w:val="auto"/>
                <w:w w:val="71"/>
              </w:rPr>
              <w:t>$</w:t>
            </w:r>
          </w:p>
        </w:tc>
        <w:tc>
          <w:tcPr>
            <w:tcW w:w="960" w:type="dxa"/>
            <w:vAlign w:val="bottom"/>
            <w:gridSpan w:val="3"/>
          </w:tcPr>
          <w:p>
            <w:pPr>
              <w:jc w:val="right"/>
              <w:ind w:right="180"/>
              <w:spacing w:after="0"/>
              <w:rPr>
                <w:sz w:val="20"/>
                <w:szCs w:val="20"/>
                <w:color w:val="auto"/>
              </w:rPr>
            </w:pPr>
            <w:r>
              <w:rPr>
                <w:rFonts w:ascii="Arial" w:cs="Arial" w:eastAsia="Arial" w:hAnsi="Arial"/>
                <w:sz w:val="18"/>
                <w:szCs w:val="18"/>
                <w:color w:val="auto"/>
              </w:rPr>
              <w:t>129,722</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245,724</w:t>
            </w:r>
          </w:p>
        </w:tc>
        <w:tc>
          <w:tcPr>
            <w:tcW w:w="82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w w:val="89"/>
              </w:rPr>
              <w:t>272,599</w:t>
            </w:r>
          </w:p>
        </w:tc>
      </w:tr>
      <w:tr>
        <w:trPr>
          <w:trHeight w:val="216"/>
        </w:trPr>
        <w:tc>
          <w:tcPr>
            <w:tcW w:w="3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Tubular</w:t>
            </w: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10,221</w:t>
            </w:r>
          </w:p>
        </w:tc>
        <w:tc>
          <w:tcPr>
            <w:tcW w:w="44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19,970</w:t>
            </w:r>
          </w:p>
        </w:tc>
        <w:tc>
          <w:tcPr>
            <w:tcW w:w="24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22,322</w:t>
            </w:r>
          </w:p>
        </w:tc>
        <w:tc>
          <w:tcPr>
            <w:tcW w:w="180" w:type="dxa"/>
            <w:vAlign w:val="bottom"/>
            <w:tcBorders>
              <w:left w:val="single" w:sz="8" w:color="CCEEFF"/>
            </w:tcBorders>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38,896</w:t>
            </w:r>
          </w:p>
        </w:tc>
      </w:tr>
      <w:tr>
        <w:trPr>
          <w:trHeight w:val="20"/>
        </w:trPr>
        <w:tc>
          <w:tcPr>
            <w:tcW w:w="394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6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209"/>
        </w:trPr>
        <w:tc>
          <w:tcPr>
            <w:tcW w:w="3940" w:type="dxa"/>
            <w:vAlign w:val="bottom"/>
          </w:tcPr>
          <w:p>
            <w:pPr>
              <w:ind w:left="660"/>
              <w:spacing w:after="0"/>
              <w:rPr>
                <w:sz w:val="20"/>
                <w:szCs w:val="20"/>
                <w:color w:val="auto"/>
              </w:rPr>
            </w:pPr>
            <w:r>
              <w:rPr>
                <w:rFonts w:ascii="Arial" w:cs="Arial" w:eastAsia="Arial" w:hAnsi="Arial"/>
                <w:sz w:val="18"/>
                <w:szCs w:val="18"/>
                <w:color w:val="auto"/>
              </w:rPr>
              <w:t>Total net sales</w:t>
            </w: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130,748</w:t>
            </w:r>
          </w:p>
        </w:tc>
        <w:tc>
          <w:tcPr>
            <w:tcW w:w="440" w:type="dxa"/>
            <w:vAlign w:val="bottom"/>
          </w:tcPr>
          <w:p>
            <w:pPr>
              <w:jc w:val="right"/>
              <w:ind w:right="287"/>
              <w:spacing w:after="0"/>
              <w:rPr>
                <w:sz w:val="20"/>
                <w:szCs w:val="20"/>
                <w:color w:val="auto"/>
              </w:rPr>
            </w:pPr>
            <w:r>
              <w:rPr>
                <w:rFonts w:ascii="Arial" w:cs="Arial" w:eastAsia="Arial" w:hAnsi="Arial"/>
                <w:sz w:val="15"/>
                <w:szCs w:val="15"/>
                <w:color w:val="auto"/>
                <w:w w:val="71"/>
              </w:rPr>
              <w:t>$</w:t>
            </w:r>
          </w:p>
        </w:tc>
        <w:tc>
          <w:tcPr>
            <w:tcW w:w="960" w:type="dxa"/>
            <w:vAlign w:val="bottom"/>
            <w:gridSpan w:val="3"/>
          </w:tcPr>
          <w:p>
            <w:pPr>
              <w:jc w:val="right"/>
              <w:ind w:right="180"/>
              <w:spacing w:after="0"/>
              <w:rPr>
                <w:sz w:val="20"/>
                <w:szCs w:val="20"/>
                <w:color w:val="auto"/>
              </w:rPr>
            </w:pPr>
            <w:r>
              <w:rPr>
                <w:rFonts w:ascii="Arial" w:cs="Arial" w:eastAsia="Arial" w:hAnsi="Arial"/>
                <w:sz w:val="18"/>
                <w:szCs w:val="18"/>
                <w:color w:val="auto"/>
              </w:rPr>
              <w:t>149,692</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268,046</w:t>
            </w:r>
          </w:p>
        </w:tc>
        <w:tc>
          <w:tcPr>
            <w:tcW w:w="82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w w:val="89"/>
              </w:rPr>
              <w:t>311,495</w:t>
            </w:r>
          </w:p>
        </w:tc>
      </w:tr>
      <w:tr>
        <w:trPr>
          <w:trHeight w:val="20"/>
        </w:trPr>
        <w:tc>
          <w:tcPr>
            <w:tcW w:w="39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7"/>
        </w:trPr>
        <w:tc>
          <w:tcPr>
            <w:tcW w:w="39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tcBorders>
              <w:left w:val="single" w:sz="8" w:color="CCEEFF"/>
            </w:tcBorders>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3940" w:type="dxa"/>
            <w:vAlign w:val="bottom"/>
          </w:tcPr>
          <w:p>
            <w:pPr>
              <w:ind w:left="20"/>
              <w:spacing w:after="0"/>
              <w:rPr>
                <w:sz w:val="20"/>
                <w:szCs w:val="20"/>
                <w:color w:val="auto"/>
              </w:rPr>
            </w:pPr>
            <w:r>
              <w:rPr>
                <w:rFonts w:ascii="Arial" w:cs="Arial" w:eastAsia="Arial" w:hAnsi="Arial"/>
                <w:sz w:val="18"/>
                <w:szCs w:val="18"/>
                <w:color w:val="auto"/>
              </w:rPr>
              <w:t>Operating profit (loss)</w:t>
            </w: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Flat-roll</w:t>
            </w: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3,142</w:t>
            </w:r>
          </w:p>
        </w:tc>
        <w:tc>
          <w:tcPr>
            <w:tcW w:w="440" w:type="dxa"/>
            <w:vAlign w:val="bottom"/>
            <w:shd w:val="clear" w:color="auto" w:fill="CCEEFF"/>
          </w:tcPr>
          <w:p>
            <w:pPr>
              <w:jc w:val="right"/>
              <w:ind w:right="287"/>
              <w:spacing w:after="0"/>
              <w:rPr>
                <w:sz w:val="20"/>
                <w:szCs w:val="20"/>
                <w:color w:val="auto"/>
              </w:rPr>
            </w:pPr>
            <w:r>
              <w:rPr>
                <w:rFonts w:ascii="Arial" w:cs="Arial" w:eastAsia="Arial" w:hAnsi="Arial"/>
                <w:sz w:val="15"/>
                <w:szCs w:val="15"/>
                <w:color w:val="auto"/>
                <w:w w:val="71"/>
              </w:rPr>
              <w:t>$</w:t>
            </w:r>
          </w:p>
        </w:tc>
        <w:tc>
          <w:tcPr>
            <w:tcW w:w="9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(1,118)</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14,956</w:t>
            </w:r>
          </w:p>
        </w:tc>
        <w:tc>
          <w:tcPr>
            <w:tcW w:w="820" w:type="dxa"/>
            <w:vAlign w:val="bottom"/>
            <w:tcBorders>
              <w:left w:val="single" w:sz="8" w:color="CCEEFF"/>
            </w:tcBorders>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12,425</w:t>
            </w:r>
          </w:p>
        </w:tc>
      </w:tr>
      <w:tr>
        <w:trPr>
          <w:trHeight w:val="216"/>
        </w:trPr>
        <w:tc>
          <w:tcPr>
            <w:tcW w:w="3940" w:type="dxa"/>
            <w:vAlign w:val="bottom"/>
          </w:tcPr>
          <w:p>
            <w:pPr>
              <w:ind w:left="340"/>
              <w:spacing w:after="0"/>
              <w:rPr>
                <w:sz w:val="20"/>
                <w:szCs w:val="20"/>
                <w:color w:val="auto"/>
              </w:rPr>
            </w:pPr>
            <w:r>
              <w:rPr>
                <w:rFonts w:ascii="Arial" w:cs="Arial" w:eastAsia="Arial" w:hAnsi="Arial"/>
                <w:sz w:val="18"/>
                <w:szCs w:val="18"/>
                <w:color w:val="auto"/>
              </w:rPr>
              <w:t>Tubular</w:t>
            </w:r>
          </w:p>
        </w:tc>
        <w:tc>
          <w:tcPr>
            <w:tcW w:w="26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16</w:t>
            </w:r>
          </w:p>
        </w:tc>
        <w:tc>
          <w:tcPr>
            <w:tcW w:w="440" w:type="dxa"/>
            <w:vAlign w:val="bottom"/>
          </w:tcPr>
          <w:p>
            <w:pPr>
              <w:spacing w:after="0"/>
              <w:rPr>
                <w:sz w:val="18"/>
                <w:szCs w:val="18"/>
                <w:color w:val="auto"/>
              </w:rPr>
            </w:pPr>
          </w:p>
        </w:tc>
        <w:tc>
          <w:tcPr>
            <w:tcW w:w="960" w:type="dxa"/>
            <w:vAlign w:val="bottom"/>
            <w:gridSpan w:val="3"/>
          </w:tcPr>
          <w:p>
            <w:pPr>
              <w:jc w:val="right"/>
              <w:ind w:right="180"/>
              <w:spacing w:after="0"/>
              <w:rPr>
                <w:sz w:val="20"/>
                <w:szCs w:val="20"/>
                <w:color w:val="auto"/>
              </w:rPr>
            </w:pPr>
            <w:r>
              <w:rPr>
                <w:rFonts w:ascii="Arial" w:cs="Arial" w:eastAsia="Arial" w:hAnsi="Arial"/>
                <w:sz w:val="18"/>
                <w:szCs w:val="18"/>
                <w:color w:val="auto"/>
              </w:rPr>
              <w:t>3,341</w:t>
            </w:r>
          </w:p>
        </w:tc>
        <w:tc>
          <w:tcPr>
            <w:tcW w:w="240" w:type="dxa"/>
            <w:vAlign w:val="bottom"/>
          </w:tcPr>
          <w:p>
            <w:pPr>
              <w:spacing w:after="0"/>
              <w:rPr>
                <w:sz w:val="18"/>
                <w:szCs w:val="18"/>
                <w:color w:val="auto"/>
              </w:rPr>
            </w:pP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2,280</w:t>
            </w: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5,445</w:t>
            </w:r>
          </w:p>
        </w:tc>
      </w:tr>
      <w:tr>
        <w:trPr>
          <w:trHeight w:val="20"/>
        </w:trPr>
        <w:tc>
          <w:tcPr>
            <w:tcW w:w="39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6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3940" w:type="dxa"/>
            <w:vAlign w:val="bottom"/>
            <w:shd w:val="clear" w:color="auto" w:fill="CCEEFF"/>
          </w:tcPr>
          <w:p>
            <w:pPr>
              <w:ind w:left="660"/>
              <w:spacing w:after="0"/>
              <w:rPr>
                <w:sz w:val="20"/>
                <w:szCs w:val="20"/>
                <w:color w:val="auto"/>
              </w:rPr>
            </w:pPr>
            <w:r>
              <w:rPr>
                <w:rFonts w:ascii="Arial" w:cs="Arial" w:eastAsia="Arial" w:hAnsi="Arial"/>
                <w:sz w:val="18"/>
                <w:szCs w:val="18"/>
                <w:color w:val="auto"/>
              </w:rPr>
              <w:t>Total operating profit</w:t>
            </w: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3,158</w:t>
            </w:r>
          </w:p>
        </w:tc>
        <w:tc>
          <w:tcPr>
            <w:tcW w:w="44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2,223</w:t>
            </w:r>
          </w:p>
        </w:tc>
        <w:tc>
          <w:tcPr>
            <w:tcW w:w="24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17,236</w:t>
            </w:r>
          </w:p>
        </w:tc>
        <w:tc>
          <w:tcPr>
            <w:tcW w:w="180" w:type="dxa"/>
            <w:vAlign w:val="bottom"/>
            <w:tcBorders>
              <w:left w:val="single" w:sz="8" w:color="CCEEFF"/>
            </w:tcBorders>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17,870</w:t>
            </w:r>
          </w:p>
        </w:tc>
      </w:tr>
      <w:tr>
        <w:trPr>
          <w:trHeight w:val="216"/>
        </w:trPr>
        <w:tc>
          <w:tcPr>
            <w:tcW w:w="3940" w:type="dxa"/>
            <w:vAlign w:val="bottom"/>
          </w:tcPr>
          <w:p>
            <w:pPr>
              <w:ind w:left="340"/>
              <w:spacing w:after="0"/>
              <w:rPr>
                <w:sz w:val="20"/>
                <w:szCs w:val="20"/>
                <w:color w:val="auto"/>
              </w:rPr>
            </w:pPr>
            <w:r>
              <w:rPr>
                <w:rFonts w:ascii="Arial" w:cs="Arial" w:eastAsia="Arial" w:hAnsi="Arial"/>
                <w:sz w:val="18"/>
                <w:szCs w:val="18"/>
                <w:color w:val="auto"/>
              </w:rPr>
              <w:t>General corporate expenses</w:t>
            </w:r>
          </w:p>
        </w:tc>
        <w:tc>
          <w:tcPr>
            <w:tcW w:w="26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(2,103)</w:t>
            </w:r>
          </w:p>
        </w:tc>
        <w:tc>
          <w:tcPr>
            <w:tcW w:w="440" w:type="dxa"/>
            <w:vAlign w:val="bottom"/>
          </w:tcPr>
          <w:p>
            <w:pPr>
              <w:spacing w:after="0"/>
              <w:rPr>
                <w:sz w:val="18"/>
                <w:szCs w:val="18"/>
                <w:color w:val="auto"/>
              </w:rPr>
            </w:pPr>
          </w:p>
        </w:tc>
        <w:tc>
          <w:tcPr>
            <w:tcW w:w="960" w:type="dxa"/>
            <w:vAlign w:val="bottom"/>
            <w:gridSpan w:val="3"/>
          </w:tcPr>
          <w:p>
            <w:pPr>
              <w:jc w:val="right"/>
              <w:ind w:right="120"/>
              <w:spacing w:after="0"/>
              <w:rPr>
                <w:sz w:val="20"/>
                <w:szCs w:val="20"/>
                <w:color w:val="auto"/>
              </w:rPr>
            </w:pPr>
            <w:r>
              <w:rPr>
                <w:rFonts w:ascii="Arial" w:cs="Arial" w:eastAsia="Arial" w:hAnsi="Arial"/>
                <w:sz w:val="18"/>
                <w:szCs w:val="18"/>
                <w:color w:val="auto"/>
              </w:rPr>
              <w:t>(2,152)</w:t>
            </w:r>
          </w:p>
        </w:tc>
        <w:tc>
          <w:tcPr>
            <w:tcW w:w="240" w:type="dxa"/>
            <w:vAlign w:val="bottom"/>
          </w:tcPr>
          <w:p>
            <w:pPr>
              <w:spacing w:after="0"/>
              <w:rPr>
                <w:sz w:val="18"/>
                <w:szCs w:val="18"/>
                <w:color w:val="auto"/>
              </w:rPr>
            </w:pP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(5,824)</w:t>
            </w: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(5,480)</w:t>
            </w:r>
          </w:p>
        </w:tc>
      </w:tr>
      <w:tr>
        <w:trPr>
          <w:trHeight w:val="216"/>
        </w:trPr>
        <w:tc>
          <w:tcPr>
            <w:tcW w:w="3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Gain on economic hedges of risk</w:t>
            </w: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4,402</w:t>
            </w:r>
          </w:p>
        </w:tc>
        <w:tc>
          <w:tcPr>
            <w:tcW w:w="44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3,749</w:t>
            </w:r>
          </w:p>
        </w:tc>
        <w:tc>
          <w:tcPr>
            <w:tcW w:w="24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4,832</w:t>
            </w:r>
          </w:p>
        </w:tc>
        <w:tc>
          <w:tcPr>
            <w:tcW w:w="180" w:type="dxa"/>
            <w:vAlign w:val="bottom"/>
            <w:tcBorders>
              <w:left w:val="single" w:sz="8" w:color="CCEEFF"/>
            </w:tcBorders>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6,504</w:t>
            </w:r>
          </w:p>
        </w:tc>
      </w:tr>
      <w:tr>
        <w:trPr>
          <w:trHeight w:val="216"/>
        </w:trPr>
        <w:tc>
          <w:tcPr>
            <w:tcW w:w="3940" w:type="dxa"/>
            <w:vAlign w:val="bottom"/>
          </w:tcPr>
          <w:p>
            <w:pPr>
              <w:ind w:left="340"/>
              <w:spacing w:after="0"/>
              <w:rPr>
                <w:sz w:val="20"/>
                <w:szCs w:val="20"/>
                <w:color w:val="auto"/>
              </w:rPr>
            </w:pPr>
            <w:r>
              <w:rPr>
                <w:rFonts w:ascii="Arial" w:cs="Arial" w:eastAsia="Arial" w:hAnsi="Arial"/>
                <w:sz w:val="18"/>
                <w:szCs w:val="18"/>
                <w:color w:val="auto"/>
              </w:rPr>
              <w:t>Interest expense</w:t>
            </w:r>
          </w:p>
        </w:tc>
        <w:tc>
          <w:tcPr>
            <w:tcW w:w="26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(805)</w:t>
            </w:r>
          </w:p>
        </w:tc>
        <w:tc>
          <w:tcPr>
            <w:tcW w:w="440" w:type="dxa"/>
            <w:vAlign w:val="bottom"/>
          </w:tcPr>
          <w:p>
            <w:pPr>
              <w:spacing w:after="0"/>
              <w:rPr>
                <w:sz w:val="18"/>
                <w:szCs w:val="18"/>
                <w:color w:val="auto"/>
              </w:rPr>
            </w:pPr>
          </w:p>
        </w:tc>
        <w:tc>
          <w:tcPr>
            <w:tcW w:w="960" w:type="dxa"/>
            <w:vAlign w:val="bottom"/>
            <w:gridSpan w:val="3"/>
          </w:tcPr>
          <w:p>
            <w:pPr>
              <w:jc w:val="right"/>
              <w:ind w:right="120"/>
              <w:spacing w:after="0"/>
              <w:rPr>
                <w:sz w:val="20"/>
                <w:szCs w:val="20"/>
                <w:color w:val="auto"/>
              </w:rPr>
            </w:pPr>
            <w:r>
              <w:rPr>
                <w:rFonts w:ascii="Arial" w:cs="Arial" w:eastAsia="Arial" w:hAnsi="Arial"/>
                <w:sz w:val="18"/>
                <w:szCs w:val="18"/>
                <w:color w:val="auto"/>
              </w:rPr>
              <w:t>(621)</w:t>
            </w:r>
          </w:p>
        </w:tc>
        <w:tc>
          <w:tcPr>
            <w:tcW w:w="240" w:type="dxa"/>
            <w:vAlign w:val="bottom"/>
          </w:tcPr>
          <w:p>
            <w:pPr>
              <w:spacing w:after="0"/>
              <w:rPr>
                <w:sz w:val="18"/>
                <w:szCs w:val="18"/>
                <w:color w:val="auto"/>
              </w:rPr>
            </w:pP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(1,345)</w:t>
            </w: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(1,051)</w:t>
            </w:r>
          </w:p>
        </w:tc>
      </w:tr>
      <w:tr>
        <w:trPr>
          <w:trHeight w:val="216"/>
        </w:trPr>
        <w:tc>
          <w:tcPr>
            <w:tcW w:w="3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income</w:t>
            </w: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w:t>
            </w:r>
          </w:p>
        </w:tc>
        <w:tc>
          <w:tcPr>
            <w:tcW w:w="44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7</w:t>
            </w:r>
          </w:p>
        </w:tc>
        <w:tc>
          <w:tcPr>
            <w:tcW w:w="240" w:type="dxa"/>
            <w:vAlign w:val="bottom"/>
            <w:shd w:val="clear" w:color="auto" w:fill="CCEEFF"/>
          </w:tcPr>
          <w:p>
            <w:pPr>
              <w:spacing w:after="0"/>
              <w:rPr>
                <w:sz w:val="18"/>
                <w:szCs w:val="18"/>
                <w:color w:val="auto"/>
              </w:rPr>
            </w:pPr>
          </w:p>
        </w:tc>
        <w:tc>
          <w:tcPr>
            <w:tcW w:w="760" w:type="dxa"/>
            <w:vAlign w:val="bottom"/>
            <w:tcBorders>
              <w:right w:val="single" w:sz="8" w:color="CCEEFF"/>
            </w:tcBorders>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80" w:type="dxa"/>
            <w:vAlign w:val="bottom"/>
            <w:tcBorders>
              <w:left w:val="single" w:sz="8" w:color="CCEEFF"/>
            </w:tcBorders>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w:t>
            </w:r>
          </w:p>
        </w:tc>
      </w:tr>
      <w:tr>
        <w:trPr>
          <w:trHeight w:val="20"/>
        </w:trPr>
        <w:tc>
          <w:tcPr>
            <w:tcW w:w="394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6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209"/>
        </w:trPr>
        <w:tc>
          <w:tcPr>
            <w:tcW w:w="3940" w:type="dxa"/>
            <w:vAlign w:val="bottom"/>
          </w:tcPr>
          <w:p>
            <w:pPr>
              <w:ind w:left="660"/>
              <w:spacing w:after="0"/>
              <w:rPr>
                <w:sz w:val="20"/>
                <w:szCs w:val="20"/>
                <w:color w:val="auto"/>
              </w:rPr>
            </w:pPr>
            <w:r>
              <w:rPr>
                <w:rFonts w:ascii="Arial" w:cs="Arial" w:eastAsia="Arial" w:hAnsi="Arial"/>
                <w:sz w:val="18"/>
                <w:szCs w:val="18"/>
                <w:color w:val="auto"/>
              </w:rPr>
              <w:t>Total earnings before income taxes</w:t>
            </w: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4,662</w:t>
            </w:r>
          </w:p>
        </w:tc>
        <w:tc>
          <w:tcPr>
            <w:tcW w:w="440" w:type="dxa"/>
            <w:vAlign w:val="bottom"/>
          </w:tcPr>
          <w:p>
            <w:pPr>
              <w:jc w:val="right"/>
              <w:ind w:right="287"/>
              <w:spacing w:after="0"/>
              <w:rPr>
                <w:sz w:val="20"/>
                <w:szCs w:val="20"/>
                <w:color w:val="auto"/>
              </w:rPr>
            </w:pPr>
            <w:r>
              <w:rPr>
                <w:rFonts w:ascii="Arial" w:cs="Arial" w:eastAsia="Arial" w:hAnsi="Arial"/>
                <w:sz w:val="15"/>
                <w:szCs w:val="15"/>
                <w:color w:val="auto"/>
                <w:w w:val="71"/>
              </w:rPr>
              <w:t>$</w:t>
            </w:r>
          </w:p>
        </w:tc>
        <w:tc>
          <w:tcPr>
            <w:tcW w:w="960" w:type="dxa"/>
            <w:vAlign w:val="bottom"/>
            <w:gridSpan w:val="3"/>
          </w:tcPr>
          <w:p>
            <w:pPr>
              <w:jc w:val="right"/>
              <w:ind w:right="180"/>
              <w:spacing w:after="0"/>
              <w:rPr>
                <w:sz w:val="20"/>
                <w:szCs w:val="20"/>
                <w:color w:val="auto"/>
              </w:rPr>
            </w:pPr>
            <w:r>
              <w:rPr>
                <w:rFonts w:ascii="Arial" w:cs="Arial" w:eastAsia="Arial" w:hAnsi="Arial"/>
                <w:sz w:val="18"/>
                <w:szCs w:val="18"/>
                <w:color w:val="auto"/>
              </w:rPr>
              <w:t>3,206</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14,915</w:t>
            </w:r>
          </w:p>
        </w:tc>
        <w:tc>
          <w:tcPr>
            <w:tcW w:w="82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17,863</w:t>
            </w:r>
          </w:p>
        </w:tc>
      </w:tr>
      <w:tr>
        <w:trPr>
          <w:trHeight w:val="20"/>
        </w:trPr>
        <w:tc>
          <w:tcPr>
            <w:tcW w:w="39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13"/>
        </w:trPr>
        <w:tc>
          <w:tcPr>
            <w:tcW w:w="3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580" w:type="dxa"/>
            <w:vAlign w:val="bottom"/>
            <w:gridSpan w:val="4"/>
          </w:tcPr>
          <w:p>
            <w:pPr>
              <w:ind w:left="20"/>
              <w:spacing w:after="0"/>
              <w:rPr>
                <w:sz w:val="20"/>
                <w:szCs w:val="20"/>
                <w:color w:val="auto"/>
              </w:rPr>
            </w:pPr>
            <w:r>
              <w:rPr>
                <w:rFonts w:ascii="Arial" w:cs="Arial" w:eastAsia="Arial" w:hAnsi="Arial"/>
                <w:sz w:val="18"/>
                <w:szCs w:val="18"/>
                <w:b w:val="1"/>
                <w:bCs w:val="1"/>
                <w:color w:val="auto"/>
                <w:w w:val="90"/>
              </w:rPr>
              <w:t>September 30, 2023</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gridSpan w:val="4"/>
          </w:tcPr>
          <w:p>
            <w:pPr>
              <w:jc w:val="right"/>
              <w:ind w:right="240"/>
              <w:spacing w:after="0"/>
              <w:rPr>
                <w:sz w:val="20"/>
                <w:szCs w:val="20"/>
                <w:color w:val="auto"/>
              </w:rPr>
            </w:pPr>
            <w:r>
              <w:rPr>
                <w:rFonts w:ascii="Arial" w:cs="Arial" w:eastAsia="Arial" w:hAnsi="Arial"/>
                <w:sz w:val="18"/>
                <w:szCs w:val="18"/>
                <w:b w:val="1"/>
                <w:bCs w:val="1"/>
                <w:color w:val="auto"/>
                <w:w w:val="96"/>
              </w:rPr>
              <w:t>March 31, 2023</w:t>
            </w:r>
          </w:p>
        </w:tc>
      </w:tr>
      <w:tr>
        <w:trPr>
          <w:trHeight w:val="209"/>
        </w:trPr>
        <w:tc>
          <w:tcPr>
            <w:tcW w:w="3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Segment assets</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left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3940" w:type="dxa"/>
            <w:vAlign w:val="bottom"/>
          </w:tcPr>
          <w:p>
            <w:pPr>
              <w:ind w:left="340"/>
              <w:spacing w:after="0"/>
              <w:rPr>
                <w:sz w:val="20"/>
                <w:szCs w:val="20"/>
                <w:color w:val="auto"/>
              </w:rPr>
            </w:pPr>
            <w:r>
              <w:rPr>
                <w:rFonts w:ascii="Arial" w:cs="Arial" w:eastAsia="Arial" w:hAnsi="Arial"/>
                <w:sz w:val="18"/>
                <w:szCs w:val="18"/>
                <w:color w:val="auto"/>
              </w:rPr>
              <w:t>Flat-roll</w:t>
            </w: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197,279</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w w:val="89"/>
              </w:rPr>
              <w:t>179,780</w:t>
            </w:r>
          </w:p>
        </w:tc>
      </w:tr>
      <w:tr>
        <w:trPr>
          <w:trHeight w:val="216"/>
        </w:trPr>
        <w:tc>
          <w:tcPr>
            <w:tcW w:w="3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Tubular</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19,700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tcBorders>
              <w:left w:val="single" w:sz="8" w:color="CCEEFF"/>
            </w:tcBorders>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15,858</w:t>
            </w:r>
          </w:p>
        </w:tc>
      </w:tr>
      <w:tr>
        <w:trPr>
          <w:trHeight w:val="20"/>
        </w:trPr>
        <w:tc>
          <w:tcPr>
            <w:tcW w:w="394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9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6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 w:type="dxa"/>
            <w:vAlign w:val="bottom"/>
            <w:tcBorders>
              <w:left w:val="single" w:sz="8" w:color="auto"/>
            </w:tcBorders>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250"/>
        </w:trPr>
        <w:tc>
          <w:tcPr>
            <w:tcW w:w="39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216,979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w w:val="89"/>
              </w:rPr>
              <w:t>195,638</w:t>
            </w:r>
          </w:p>
        </w:tc>
      </w:tr>
      <w:tr>
        <w:trPr>
          <w:trHeight w:val="216"/>
        </w:trPr>
        <w:tc>
          <w:tcPr>
            <w:tcW w:w="3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Corporate assets</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5,148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tcBorders>
              <w:left w:val="single" w:sz="8" w:color="CCEEFF"/>
            </w:tcBorders>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3,674</w:t>
            </w:r>
          </w:p>
        </w:tc>
      </w:tr>
      <w:tr>
        <w:trPr>
          <w:trHeight w:val="20"/>
        </w:trPr>
        <w:tc>
          <w:tcPr>
            <w:tcW w:w="394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9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6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 w:type="dxa"/>
            <w:vAlign w:val="bottom"/>
            <w:tcBorders>
              <w:left w:val="single" w:sz="8" w:color="auto"/>
            </w:tcBorders>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209"/>
        </w:trPr>
        <w:tc>
          <w:tcPr>
            <w:tcW w:w="3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0" w:type="dxa"/>
            <w:vAlign w:val="bottom"/>
          </w:tcPr>
          <w:p>
            <w:pPr>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222,127</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w w:val="89"/>
              </w:rPr>
              <w:t>199,312</w:t>
            </w:r>
          </w:p>
        </w:tc>
      </w:tr>
      <w:tr>
        <w:trPr>
          <w:trHeight w:val="20"/>
        </w:trPr>
        <w:tc>
          <w:tcPr>
            <w:tcW w:w="39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441"/>
        <w:spacing w:after="0" w:line="255" w:lineRule="auto"/>
        <w:rPr>
          <w:sz w:val="20"/>
          <w:szCs w:val="20"/>
          <w:color w:val="auto"/>
        </w:rPr>
      </w:pPr>
      <w:r>
        <w:rPr>
          <w:rFonts w:ascii="Arial" w:cs="Arial" w:eastAsia="Arial" w:hAnsi="Arial"/>
          <w:sz w:val="18"/>
          <w:szCs w:val="18"/>
          <w:color w:val="auto"/>
        </w:rPr>
        <w:t>Operating profit is total net sales less operating expenses, excluding general corporate expenses, gain on economic hedges of risk, interest expense and other income. General corporate expenses reflect general and administrative expenses not directly associated with segment operations and consist primarily of corporate and accounting salaries, professional fees and services, bad debts, retirement plan contribution expense, corporate insurance expenses, restricted stock plan compensation expense and office supplies. At September 30, and March 31, 2023, Corporate assets consist primarily of cash, restricted cash, unamortized debt issuance costs and the cash value of officers’ life insurance. Although inventory is transferred at cost between product groups, there are no sales between product groups.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NOTE K — REVENUE</w:t>
      </w:r>
    </w:p>
    <w:p>
      <w:pPr>
        <w:spacing w:after="0" w:line="225" w:lineRule="exact"/>
        <w:rPr>
          <w:sz w:val="20"/>
          <w:szCs w:val="20"/>
          <w:color w:val="auto"/>
        </w:rPr>
      </w:pPr>
    </w:p>
    <w:p>
      <w:pPr>
        <w:jc w:val="both"/>
        <w:ind w:firstLine="441"/>
        <w:spacing w:after="0" w:line="270" w:lineRule="auto"/>
        <w:rPr>
          <w:sz w:val="20"/>
          <w:szCs w:val="20"/>
          <w:color w:val="auto"/>
        </w:rPr>
      </w:pPr>
      <w:r>
        <w:rPr>
          <w:rFonts w:ascii="Arial" w:cs="Arial" w:eastAsia="Arial" w:hAnsi="Arial"/>
          <w:sz w:val="17"/>
          <w:szCs w:val="17"/>
          <w:color w:val="auto"/>
        </w:rPr>
        <w:t>Revenue is generated primarily from contracts to manufacture or process steel products. Most of the Company’s revenue is generated by sales of material out of the Company’s inventory, but a portion of the Company’s revenue is derived from processing or storage of customer owned material. Generally, the Company’s performance obligations are satisfied, control of our products is transferred, and revenue is recognized at a single point in time, when title transfers to our customer for product shipped or when services are provided. Revenues are recorded net of any sales incentives. Shipping and other transportation costs charged to customers are treated as fulfillment activities and are recorded in both revenue and cost of sales at the time control is transferred to the customer. Costs related to obtaining sales contracts are incidental and expensed when incurred. Because customers are invoiced at the time title transfers and the Company’s rights to consideration are unconditional at that time, the Company does not maintain contract asset balances. Additionally, the Company does not maintain contract liability balances, as performance obligations are satisfied prior to customer payment for product. The Company offers industry standard payment terms.</w:t>
      </w:r>
    </w:p>
    <w:p>
      <w:pPr>
        <w:spacing w:after="0" w:line="181" w:lineRule="exact"/>
        <w:rPr>
          <w:sz w:val="20"/>
          <w:szCs w:val="20"/>
          <w:color w:val="auto"/>
        </w:rPr>
      </w:pPr>
    </w:p>
    <w:p>
      <w:pPr>
        <w:jc w:val="both"/>
        <w:ind w:firstLine="441"/>
        <w:spacing w:after="0" w:line="301" w:lineRule="auto"/>
        <w:rPr>
          <w:sz w:val="20"/>
          <w:szCs w:val="20"/>
          <w:color w:val="auto"/>
        </w:rPr>
      </w:pPr>
      <w:r>
        <w:rPr>
          <w:rFonts w:ascii="Arial" w:cs="Arial" w:eastAsia="Arial" w:hAnsi="Arial"/>
          <w:sz w:val="16"/>
          <w:szCs w:val="16"/>
          <w:color w:val="auto"/>
        </w:rPr>
        <w:t>The Company has two reportable segments: Flat-roll and Tubular. Flat-roll primarily generates revenue from cutting to length hot-rolled steel coils. Flat-roll segment revenue consists of three main product types: Prime Coil, Non-Standard Coil and Customer Owned Coil. Tubular primarily generates revenue from selling steel pipe it has manufactured resulting in a single product type: Manufactured Pipe. The following table disaggregates our revenue by product for each of our reportable business segments for the three and six months ended September 30, 2023 and 2022, respectively (in thousands):</w:t>
      </w:r>
    </w:p>
    <w:p>
      <w:pPr>
        <w:spacing w:after="0" w:line="153" w:lineRule="exact"/>
        <w:rPr>
          <w:sz w:val="20"/>
          <w:szCs w:val="20"/>
          <w:color w:val="auto"/>
        </w:rPr>
      </w:pPr>
    </w:p>
    <w:tbl>
      <w:tblPr>
        <w:tblLayout w:type="fixed"/>
        <w:tblInd w:w="840" w:type="dxa"/>
        <w:tblCellMar>
          <w:top w:w="0" w:type="dxa"/>
          <w:left w:w="0" w:type="dxa"/>
          <w:bottom w:w="0" w:type="dxa"/>
          <w:right w:w="0" w:type="dxa"/>
        </w:tblCellMar>
      </w:tblPr>
      <w:tr>
        <w:trPr>
          <w:trHeight w:val="216"/>
        </w:trPr>
        <w:tc>
          <w:tcPr>
            <w:tcW w:w="3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0" w:type="dxa"/>
            <w:vAlign w:val="bottom"/>
            <w:gridSpan w:val="5"/>
          </w:tcPr>
          <w:p>
            <w:pPr>
              <w:jc w:val="right"/>
              <w:ind w:right="700"/>
              <w:spacing w:after="0"/>
              <w:rPr>
                <w:sz w:val="20"/>
                <w:szCs w:val="20"/>
                <w:color w:val="auto"/>
              </w:rPr>
            </w:pPr>
            <w:r>
              <w:rPr>
                <w:rFonts w:ascii="Arial" w:cs="Arial" w:eastAsia="Arial" w:hAnsi="Arial"/>
                <w:sz w:val="18"/>
                <w:szCs w:val="18"/>
                <w:b w:val="1"/>
                <w:bCs w:val="1"/>
                <w:color w:val="auto"/>
              </w:rPr>
              <w:t>Three Months Ended</w:t>
            </w:r>
          </w:p>
        </w:tc>
        <w:tc>
          <w:tcPr>
            <w:tcW w:w="280" w:type="dxa"/>
            <w:vAlign w:val="bottom"/>
          </w:tcPr>
          <w:p>
            <w:pPr>
              <w:spacing w:after="0"/>
              <w:rPr>
                <w:sz w:val="18"/>
                <w:szCs w:val="18"/>
                <w:color w:val="auto"/>
              </w:rPr>
            </w:pPr>
          </w:p>
        </w:tc>
        <w:tc>
          <w:tcPr>
            <w:tcW w:w="2460" w:type="dxa"/>
            <w:vAlign w:val="bottom"/>
            <w:gridSpan w:val="5"/>
          </w:tcPr>
          <w:p>
            <w:pPr>
              <w:jc w:val="right"/>
              <w:ind w:right="700"/>
              <w:spacing w:after="0"/>
              <w:rPr>
                <w:sz w:val="20"/>
                <w:szCs w:val="20"/>
                <w:color w:val="auto"/>
              </w:rPr>
            </w:pPr>
            <w:r>
              <w:rPr>
                <w:rFonts w:ascii="Arial" w:cs="Arial" w:eastAsia="Arial" w:hAnsi="Arial"/>
                <w:sz w:val="18"/>
                <w:szCs w:val="18"/>
                <w:b w:val="1"/>
                <w:bCs w:val="1"/>
                <w:color w:val="auto"/>
              </w:rPr>
              <w:t>Six Months Ended</w:t>
            </w:r>
          </w:p>
        </w:tc>
      </w:tr>
      <w:tr>
        <w:trPr>
          <w:trHeight w:val="234"/>
        </w:trPr>
        <w:tc>
          <w:tcPr>
            <w:tcW w:w="39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40" w:type="dxa"/>
            <w:vAlign w:val="bottom"/>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7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60" w:type="dxa"/>
            <w:vAlign w:val="bottom"/>
            <w:gridSpan w:val="5"/>
          </w:tcPr>
          <w:p>
            <w:pPr>
              <w:jc w:val="right"/>
              <w:ind w:right="860"/>
              <w:spacing w:after="0"/>
              <w:rPr>
                <w:sz w:val="20"/>
                <w:szCs w:val="20"/>
                <w:color w:val="auto"/>
              </w:rPr>
            </w:pPr>
            <w:r>
              <w:rPr>
                <w:rFonts w:ascii="Arial" w:cs="Arial" w:eastAsia="Arial" w:hAnsi="Arial"/>
                <w:sz w:val="18"/>
                <w:szCs w:val="18"/>
                <w:b w:val="1"/>
                <w:bCs w:val="1"/>
                <w:color w:val="auto"/>
              </w:rPr>
              <w:t>September 30,</w:t>
            </w:r>
          </w:p>
        </w:tc>
      </w:tr>
      <w:tr>
        <w:trPr>
          <w:trHeight w:val="209"/>
        </w:trPr>
        <w:tc>
          <w:tcPr>
            <w:tcW w:w="394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2023</w:t>
            </w:r>
          </w:p>
        </w:tc>
        <w:tc>
          <w:tcPr>
            <w:tcW w:w="220" w:type="dxa"/>
            <w:vAlign w:val="bottom"/>
            <w:tcBorders>
              <w:top w:val="single" w:sz="8" w:color="auto"/>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w w:val="84"/>
              </w:rPr>
              <w:t>2022</w:t>
            </w:r>
          </w:p>
        </w:tc>
        <w:tc>
          <w:tcPr>
            <w:tcW w:w="180" w:type="dxa"/>
            <w:vAlign w:val="bottom"/>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2023</w:t>
            </w:r>
          </w:p>
        </w:tc>
        <w:tc>
          <w:tcPr>
            <w:tcW w:w="180" w:type="dxa"/>
            <w:vAlign w:val="bottom"/>
            <w:tcBorders>
              <w:top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2022</w:t>
            </w:r>
          </w:p>
        </w:tc>
        <w:tc>
          <w:tcPr>
            <w:tcW w:w="80" w:type="dxa"/>
            <w:vAlign w:val="bottom"/>
          </w:tcPr>
          <w:p>
            <w:pPr>
              <w:spacing w:after="0"/>
              <w:rPr>
                <w:sz w:val="18"/>
                <w:szCs w:val="18"/>
                <w:color w:val="auto"/>
              </w:rPr>
            </w:pPr>
          </w:p>
        </w:tc>
      </w:tr>
      <w:tr>
        <w:trPr>
          <w:trHeight w:val="210"/>
        </w:trPr>
        <w:tc>
          <w:tcPr>
            <w:tcW w:w="39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Flat-roll Segment:</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tcBorders>
              <w:left w:val="single" w:sz="8" w:color="CCEEFF"/>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3940" w:type="dxa"/>
            <w:vAlign w:val="bottom"/>
          </w:tcPr>
          <w:p>
            <w:pPr>
              <w:ind w:left="20"/>
              <w:spacing w:after="0"/>
              <w:rPr>
                <w:sz w:val="20"/>
                <w:szCs w:val="20"/>
                <w:color w:val="auto"/>
              </w:rPr>
            </w:pPr>
            <w:r>
              <w:rPr>
                <w:rFonts w:ascii="Arial" w:cs="Arial" w:eastAsia="Arial" w:hAnsi="Arial"/>
                <w:sz w:val="18"/>
                <w:szCs w:val="18"/>
                <w:color w:val="auto"/>
              </w:rPr>
              <w:t>Prime Coil</w:t>
            </w: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118,835</w:t>
            </w:r>
          </w:p>
        </w:tc>
        <w:tc>
          <w:tcPr>
            <w:tcW w:w="220" w:type="dxa"/>
            <w:vAlign w:val="bottom"/>
          </w:tcPr>
          <w:p>
            <w:pPr>
              <w:spacing w:after="0"/>
              <w:rPr>
                <w:sz w:val="18"/>
                <w:szCs w:val="18"/>
                <w:color w:val="auto"/>
              </w:rPr>
            </w:pPr>
          </w:p>
        </w:tc>
        <w:tc>
          <w:tcPr>
            <w:tcW w:w="440" w:type="dxa"/>
            <w:vAlign w:val="bottom"/>
          </w:tcPr>
          <w:p>
            <w:pPr>
              <w:jc w:val="right"/>
              <w:ind w:right="287"/>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128,503</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242,657</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269,483</w:t>
            </w:r>
          </w:p>
        </w:tc>
      </w:tr>
      <w:tr>
        <w:trPr>
          <w:trHeight w:val="216"/>
        </w:trPr>
        <w:tc>
          <w:tcPr>
            <w:tcW w:w="3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Non-standard Coil</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w:t>
            </w:r>
          </w:p>
        </w:tc>
        <w:tc>
          <w:tcPr>
            <w:tcW w:w="220" w:type="dxa"/>
            <w:vAlign w:val="bottom"/>
            <w:tcBorders>
              <w:left w:val="single" w:sz="8" w:color="CCEEFF"/>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891</w:t>
            </w: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511</w:t>
            </w: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2,423</w:t>
            </w:r>
          </w:p>
        </w:tc>
      </w:tr>
      <w:tr>
        <w:trPr>
          <w:trHeight w:val="216"/>
        </w:trPr>
        <w:tc>
          <w:tcPr>
            <w:tcW w:w="3940" w:type="dxa"/>
            <w:vAlign w:val="bottom"/>
          </w:tcPr>
          <w:p>
            <w:pPr>
              <w:ind w:left="20"/>
              <w:spacing w:after="0"/>
              <w:rPr>
                <w:sz w:val="20"/>
                <w:szCs w:val="20"/>
                <w:color w:val="auto"/>
              </w:rPr>
            </w:pPr>
            <w:r>
              <w:rPr>
                <w:rFonts w:ascii="Arial" w:cs="Arial" w:eastAsia="Arial" w:hAnsi="Arial"/>
                <w:sz w:val="18"/>
                <w:szCs w:val="18"/>
                <w:color w:val="auto"/>
              </w:rPr>
              <w:t>Processing or Storage of Customer Owned Coil</w:t>
            </w: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1,332</w:t>
            </w: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328</w:t>
            </w:r>
          </w:p>
        </w:tc>
        <w:tc>
          <w:tcPr>
            <w:tcW w:w="28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2,556</w:t>
            </w:r>
          </w:p>
        </w:tc>
        <w:tc>
          <w:tcPr>
            <w:tcW w:w="28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693</w:t>
            </w:r>
          </w:p>
        </w:tc>
      </w:tr>
      <w:tr>
        <w:trPr>
          <w:trHeight w:val="20"/>
        </w:trPr>
        <w:tc>
          <w:tcPr>
            <w:tcW w:w="39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50"/>
        </w:trPr>
        <w:tc>
          <w:tcPr>
            <w:tcW w:w="394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120,527</w:t>
            </w:r>
          </w:p>
        </w:tc>
        <w:tc>
          <w:tcPr>
            <w:tcW w:w="220" w:type="dxa"/>
            <w:vAlign w:val="bottom"/>
            <w:tcBorders>
              <w:left w:val="single" w:sz="8" w:color="CCEEFF"/>
            </w:tcBorders>
            <w:shd w:val="clear" w:color="auto" w:fill="CCEEFF"/>
          </w:tcPr>
          <w:p>
            <w:pPr>
              <w:spacing w:after="0"/>
              <w:rPr>
                <w:sz w:val="21"/>
                <w:szCs w:val="21"/>
                <w:color w:val="auto"/>
              </w:rPr>
            </w:pPr>
          </w:p>
        </w:tc>
        <w:tc>
          <w:tcPr>
            <w:tcW w:w="440" w:type="dxa"/>
            <w:vAlign w:val="bottom"/>
            <w:shd w:val="clear" w:color="auto" w:fill="CCEEFF"/>
          </w:tcPr>
          <w:p>
            <w:pPr>
              <w:jc w:val="right"/>
              <w:ind w:right="287"/>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129,722</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245,724</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272,599</w:t>
            </w:r>
          </w:p>
        </w:tc>
      </w:tr>
      <w:tr>
        <w:trPr>
          <w:trHeight w:val="196"/>
        </w:trPr>
        <w:tc>
          <w:tcPr>
            <w:tcW w:w="3940" w:type="dxa"/>
            <w:vAlign w:val="bottom"/>
            <w:tcBorders>
              <w:top w:val="single" w:sz="8" w:color="CCEEFF"/>
            </w:tcBorders>
          </w:tcPr>
          <w:p>
            <w:pPr>
              <w:ind w:left="20"/>
              <w:spacing w:after="0" w:line="196" w:lineRule="exact"/>
              <w:rPr>
                <w:sz w:val="20"/>
                <w:szCs w:val="20"/>
                <w:color w:val="auto"/>
              </w:rPr>
            </w:pPr>
            <w:r>
              <w:rPr>
                <w:rFonts w:ascii="Arial" w:cs="Arial" w:eastAsia="Arial" w:hAnsi="Arial"/>
                <w:sz w:val="18"/>
                <w:szCs w:val="18"/>
                <w:b w:val="1"/>
                <w:bCs w:val="1"/>
                <w:color w:val="auto"/>
              </w:rPr>
              <w:t>Tubular Segment:</w:t>
            </w:r>
          </w:p>
        </w:tc>
        <w:tc>
          <w:tcPr>
            <w:tcW w:w="2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r>
      <w:tr>
        <w:trPr>
          <w:trHeight w:val="216"/>
        </w:trPr>
        <w:tc>
          <w:tcPr>
            <w:tcW w:w="3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Manufactured Pipe</w:t>
            </w: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10,221</w:t>
            </w:r>
          </w:p>
        </w:tc>
        <w:tc>
          <w:tcPr>
            <w:tcW w:w="220" w:type="dxa"/>
            <w:vAlign w:val="bottom"/>
            <w:tcBorders>
              <w:left w:val="single" w:sz="8" w:color="CCEEFF"/>
            </w:tcBorders>
            <w:shd w:val="clear" w:color="auto" w:fill="CCEEFF"/>
          </w:tcPr>
          <w:p>
            <w:pPr>
              <w:spacing w:after="0"/>
              <w:rPr>
                <w:sz w:val="18"/>
                <w:szCs w:val="18"/>
                <w:color w:val="auto"/>
              </w:rPr>
            </w:pPr>
          </w:p>
        </w:tc>
        <w:tc>
          <w:tcPr>
            <w:tcW w:w="440" w:type="dxa"/>
            <w:vAlign w:val="bottom"/>
            <w:shd w:val="clear" w:color="auto" w:fill="CCEEFF"/>
          </w:tcPr>
          <w:p>
            <w:pPr>
              <w:jc w:val="right"/>
              <w:ind w:right="287"/>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19,970</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22,322</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38,896</w:t>
            </w:r>
          </w:p>
        </w:tc>
      </w:tr>
      <w:tr>
        <w:trPr>
          <w:trHeight w:val="20"/>
        </w:trPr>
        <w:tc>
          <w:tcPr>
            <w:tcW w:w="394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Borders>
              <w:left w:val="single" w:sz="8" w:color="CCEEFF"/>
            </w:tcBorders>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210"/>
        </w:trPr>
        <w:tc>
          <w:tcPr>
            <w:tcW w:w="3940" w:type="dxa"/>
            <w:vAlign w:val="bottom"/>
          </w:tcPr>
          <w:p>
            <w:pPr>
              <w:spacing w:after="0"/>
              <w:rPr>
                <w:sz w:val="18"/>
                <w:szCs w:val="18"/>
                <w:color w:val="auto"/>
              </w:rPr>
            </w:pP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10,221</w:t>
            </w:r>
          </w:p>
        </w:tc>
        <w:tc>
          <w:tcPr>
            <w:tcW w:w="220" w:type="dxa"/>
            <w:vAlign w:val="bottom"/>
          </w:tcPr>
          <w:p>
            <w:pPr>
              <w:spacing w:after="0"/>
              <w:rPr>
                <w:sz w:val="18"/>
                <w:szCs w:val="18"/>
                <w:color w:val="auto"/>
              </w:rPr>
            </w:pPr>
          </w:p>
        </w:tc>
        <w:tc>
          <w:tcPr>
            <w:tcW w:w="440" w:type="dxa"/>
            <w:vAlign w:val="bottom"/>
          </w:tcPr>
          <w:p>
            <w:pPr>
              <w:jc w:val="right"/>
              <w:ind w:right="287"/>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19,970</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22,322</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38,896</w:t>
            </w:r>
          </w:p>
        </w:tc>
      </w:tr>
      <w:tr>
        <w:trPr>
          <w:trHeight w:val="20"/>
        </w:trPr>
        <w:tc>
          <w:tcPr>
            <w:tcW w:w="39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color w:val="auto"/>
        </w:rPr>
        <w:t>NOTE L — STOCKHOLDERS’ EQUITY</w:t>
      </w:r>
    </w:p>
    <w:p>
      <w:pPr>
        <w:spacing w:after="0" w:line="225" w:lineRule="exact"/>
        <w:rPr>
          <w:sz w:val="20"/>
          <w:szCs w:val="20"/>
          <w:color w:val="auto"/>
        </w:rPr>
      </w:pPr>
    </w:p>
    <w:p>
      <w:pPr>
        <w:ind w:right="300" w:firstLine="441"/>
        <w:spacing w:after="0" w:line="277" w:lineRule="auto"/>
        <w:rPr>
          <w:sz w:val="20"/>
          <w:szCs w:val="20"/>
          <w:color w:val="auto"/>
        </w:rPr>
      </w:pPr>
      <w:r>
        <w:rPr>
          <w:rFonts w:ascii="Arial" w:cs="Arial" w:eastAsia="Arial" w:hAnsi="Arial"/>
          <w:sz w:val="18"/>
          <w:szCs w:val="18"/>
          <w:color w:val="auto"/>
        </w:rPr>
        <w:t>The following tables reflect the changes in stockholders’ equity for each of the six months ended September 30, 2023 and September 30, 2022 (in thousands):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0"/>
              </w:rPr>
              <w:t>Accumulated</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5"/>
              </w:rPr>
              <w:t>Other</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7"/>
              </w:rPr>
              <w:t>Comprehensive</w:t>
            </w:r>
          </w:p>
        </w:tc>
        <w:tc>
          <w:tcPr>
            <w:tcW w:w="120" w:type="dxa"/>
            <w:vAlign w:val="bottom"/>
          </w:tcPr>
          <w:p>
            <w:pPr>
              <w:spacing w:after="0"/>
              <w:rPr>
                <w:sz w:val="18"/>
                <w:szCs w:val="18"/>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3"/>
              </w:rPr>
              <w:t>Additional</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w w:val="97"/>
              </w:rPr>
              <w:t>Common</w:t>
            </w:r>
          </w:p>
        </w:tc>
        <w:tc>
          <w:tcPr>
            <w:tcW w:w="140" w:type="dxa"/>
            <w:vAlign w:val="bottom"/>
          </w:tcPr>
          <w:p>
            <w:pPr>
              <w:spacing w:after="0"/>
              <w:rPr>
                <w:sz w:val="18"/>
                <w:szCs w:val="18"/>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1"/>
              </w:rPr>
              <w:t>Income,</w:t>
            </w:r>
          </w:p>
        </w:tc>
        <w:tc>
          <w:tcPr>
            <w:tcW w:w="120" w:type="dxa"/>
            <w:vAlign w:val="bottom"/>
          </w:tcPr>
          <w:p>
            <w:pPr>
              <w:spacing w:after="0"/>
              <w:rPr>
                <w:sz w:val="18"/>
                <w:szCs w:val="18"/>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Paid-In</w:t>
            </w:r>
          </w:p>
        </w:tc>
        <w:tc>
          <w:tcPr>
            <w:tcW w:w="140" w:type="dxa"/>
            <w:vAlign w:val="bottom"/>
          </w:tcPr>
          <w:p>
            <w:pPr>
              <w:spacing w:after="0"/>
              <w:rPr>
                <w:sz w:val="18"/>
                <w:szCs w:val="18"/>
                <w:color w:val="auto"/>
              </w:rPr>
            </w:pPr>
          </w:p>
        </w:tc>
        <w:tc>
          <w:tcPr>
            <w:tcW w:w="1180" w:type="dxa"/>
            <w:vAlign w:val="bottom"/>
            <w:gridSpan w:val="2"/>
          </w:tcPr>
          <w:p>
            <w:pPr>
              <w:jc w:val="right"/>
              <w:ind w:right="341"/>
              <w:spacing w:after="0"/>
              <w:rPr>
                <w:sz w:val="20"/>
                <w:szCs w:val="20"/>
                <w:color w:val="auto"/>
              </w:rPr>
            </w:pPr>
            <w:r>
              <w:rPr>
                <w:rFonts w:ascii="Arial" w:cs="Arial" w:eastAsia="Arial" w:hAnsi="Arial"/>
                <w:sz w:val="18"/>
                <w:szCs w:val="18"/>
                <w:b w:val="1"/>
                <w:bCs w:val="1"/>
                <w:color w:val="auto"/>
                <w:w w:val="97"/>
              </w:rPr>
              <w:t>Treasury</w:t>
            </w:r>
          </w:p>
        </w:tc>
        <w:tc>
          <w:tcPr>
            <w:tcW w:w="140" w:type="dxa"/>
            <w:vAlign w:val="bottom"/>
          </w:tcPr>
          <w:p>
            <w:pPr>
              <w:spacing w:after="0"/>
              <w:rPr>
                <w:sz w:val="18"/>
                <w:szCs w:val="18"/>
                <w:color w:val="auto"/>
              </w:rPr>
            </w:pPr>
          </w:p>
        </w:tc>
        <w:tc>
          <w:tcPr>
            <w:tcW w:w="118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97"/>
              </w:rPr>
              <w:t>Retained</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Stock</w:t>
            </w:r>
          </w:p>
        </w:tc>
        <w:tc>
          <w:tcPr>
            <w:tcW w:w="140" w:type="dxa"/>
            <w:vAlign w:val="bottom"/>
          </w:tcPr>
          <w:p>
            <w:pPr>
              <w:spacing w:after="0"/>
              <w:rPr>
                <w:sz w:val="20"/>
                <w:szCs w:val="20"/>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1"/>
              </w:rPr>
              <w:t>Net of Tax</w:t>
            </w:r>
          </w:p>
        </w:tc>
        <w:tc>
          <w:tcPr>
            <w:tcW w:w="120" w:type="dxa"/>
            <w:vAlign w:val="bottom"/>
          </w:tcPr>
          <w:p>
            <w:pPr>
              <w:spacing w:after="0"/>
              <w:rPr>
                <w:sz w:val="20"/>
                <w:szCs w:val="20"/>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Capital</w:t>
            </w:r>
          </w:p>
        </w:tc>
        <w:tc>
          <w:tcPr>
            <w:tcW w:w="140" w:type="dxa"/>
            <w:vAlign w:val="bottom"/>
          </w:tcPr>
          <w:p>
            <w:pPr>
              <w:spacing w:after="0"/>
              <w:rPr>
                <w:sz w:val="20"/>
                <w:szCs w:val="20"/>
                <w:color w:val="auto"/>
              </w:rPr>
            </w:pPr>
          </w:p>
        </w:tc>
        <w:tc>
          <w:tcPr>
            <w:tcW w:w="1180" w:type="dxa"/>
            <w:vAlign w:val="bottom"/>
            <w:gridSpan w:val="2"/>
          </w:tcPr>
          <w:p>
            <w:pPr>
              <w:jc w:val="right"/>
              <w:ind w:right="481"/>
              <w:spacing w:after="0"/>
              <w:rPr>
                <w:sz w:val="20"/>
                <w:szCs w:val="20"/>
                <w:color w:val="auto"/>
              </w:rPr>
            </w:pPr>
            <w:r>
              <w:rPr>
                <w:rFonts w:ascii="Arial" w:cs="Arial" w:eastAsia="Arial" w:hAnsi="Arial"/>
                <w:sz w:val="18"/>
                <w:szCs w:val="18"/>
                <w:b w:val="1"/>
                <w:bCs w:val="1"/>
                <w:color w:val="auto"/>
              </w:rPr>
              <w:t>Stock</w:t>
            </w:r>
          </w:p>
        </w:tc>
        <w:tc>
          <w:tcPr>
            <w:tcW w:w="140" w:type="dxa"/>
            <w:vAlign w:val="bottom"/>
          </w:tcPr>
          <w:p>
            <w:pPr>
              <w:spacing w:after="0"/>
              <w:rPr>
                <w:sz w:val="20"/>
                <w:szCs w:val="20"/>
                <w:color w:val="auto"/>
              </w:rPr>
            </w:pPr>
          </w:p>
        </w:tc>
        <w:tc>
          <w:tcPr>
            <w:tcW w:w="118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96"/>
              </w:rPr>
              <w:t>Earnings</w:t>
            </w:r>
          </w:p>
        </w:tc>
        <w:tc>
          <w:tcPr>
            <w:tcW w:w="220" w:type="dxa"/>
            <w:vAlign w:val="bottom"/>
          </w:tcPr>
          <w:p>
            <w:pPr>
              <w:spacing w:after="0"/>
              <w:rPr>
                <w:sz w:val="20"/>
                <w:szCs w:val="20"/>
                <w:color w:val="auto"/>
              </w:rPr>
            </w:pPr>
          </w:p>
        </w:tc>
        <w:tc>
          <w:tcPr>
            <w:tcW w:w="100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195"/>
        </w:trPr>
        <w:tc>
          <w:tcPr>
            <w:tcW w:w="3280" w:type="dxa"/>
            <w:vAlign w:val="bottom"/>
            <w:shd w:val="clear" w:color="auto" w:fill="CCEEFF"/>
          </w:tcPr>
          <w:p>
            <w:pPr>
              <w:ind w:left="820"/>
              <w:spacing w:after="0" w:line="195" w:lineRule="exact"/>
              <w:rPr>
                <w:sz w:val="20"/>
                <w:szCs w:val="20"/>
                <w:color w:val="auto"/>
              </w:rPr>
            </w:pPr>
            <w:r>
              <w:rPr>
                <w:rFonts w:ascii="Arial" w:cs="Arial" w:eastAsia="Arial" w:hAnsi="Arial"/>
                <w:sz w:val="18"/>
                <w:szCs w:val="18"/>
                <w:color w:val="auto"/>
              </w:rPr>
              <w:t>BALANCE AT MARCH 31,</w:t>
            </w:r>
          </w:p>
        </w:tc>
        <w:tc>
          <w:tcPr>
            <w:tcW w:w="140" w:type="dxa"/>
            <w:vAlign w:val="bottom"/>
            <w:tcBorders>
              <w:top w:val="single" w:sz="8" w:color="auto"/>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280" w:type="dxa"/>
            <w:vAlign w:val="bottom"/>
            <w:shd w:val="clear" w:color="auto" w:fill="CCEEFF"/>
          </w:tcPr>
          <w:p>
            <w:pPr>
              <w:ind w:left="820"/>
              <w:spacing w:after="0"/>
              <w:rPr>
                <w:sz w:val="20"/>
                <w:szCs w:val="20"/>
                <w:color w:val="auto"/>
              </w:rPr>
            </w:pPr>
            <w:r>
              <w:rPr>
                <w:rFonts w:ascii="Arial" w:cs="Arial" w:eastAsia="Arial" w:hAnsi="Arial"/>
                <w:sz w:val="18"/>
                <w:szCs w:val="18"/>
                <w:color w:val="auto"/>
              </w:rPr>
              <w:t>2023</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8,869</w:t>
            </w:r>
          </w:p>
        </w:tc>
        <w:tc>
          <w:tcPr>
            <w:tcW w:w="14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(317)</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35,005</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(7,778)</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79,653</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115,432</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Net earnings</w:t>
            </w:r>
          </w:p>
        </w:tc>
        <w:tc>
          <w:tcPr>
            <w:tcW w:w="14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8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7,690</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7,690</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317</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317</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Paid in capital – restricted stock units</w:t>
            </w:r>
          </w:p>
        </w:tc>
        <w:tc>
          <w:tcPr>
            <w:tcW w:w="14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78</w:t>
            </w:r>
          </w:p>
        </w:tc>
        <w:tc>
          <w:tcPr>
            <w:tcW w:w="140" w:type="dxa"/>
            <w:vAlign w:val="bottom"/>
          </w:tcPr>
          <w:p>
            <w:pPr>
              <w:spacing w:after="0"/>
              <w:rPr>
                <w:sz w:val="18"/>
                <w:szCs w:val="18"/>
                <w:color w:val="auto"/>
              </w:rPr>
            </w:pPr>
          </w:p>
        </w:tc>
        <w:tc>
          <w:tcPr>
            <w:tcW w:w="118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Cash dividends ($0.02 per share)</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(148)</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0"/>
        </w:trPr>
        <w:tc>
          <w:tcPr>
            <w:tcW w:w="32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tcBorders>
              <w:bottom w:val="single" w:sz="8" w:color="auto"/>
            </w:tcBorders>
            <w:shd w:val="clear" w:color="auto" w:fill="CCEEFF"/>
          </w:tcPr>
          <w:p>
            <w:pPr>
              <w:spacing w:after="0" w:line="20" w:lineRule="exact"/>
              <w:rPr>
                <w:sz w:val="1"/>
                <w:szCs w:val="1"/>
                <w:color w:val="auto"/>
              </w:rPr>
            </w:pPr>
          </w:p>
        </w:tc>
        <w:tc>
          <w:tcPr>
            <w:tcW w:w="980" w:type="dxa"/>
            <w:vAlign w:val="bottom"/>
            <w:tcBorders>
              <w:bottom w:val="single" w:sz="8" w:color="auto"/>
            </w:tcBorders>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tcBorders>
              <w:bottom w:val="single" w:sz="8" w:color="auto"/>
            </w:tcBorders>
            <w:shd w:val="clear" w:color="auto" w:fill="CCEEFF"/>
          </w:tcPr>
          <w:p>
            <w:pPr>
              <w:spacing w:after="0" w:line="20" w:lineRule="exact"/>
              <w:rPr>
                <w:sz w:val="1"/>
                <w:szCs w:val="1"/>
                <w:color w:val="auto"/>
              </w:rPr>
            </w:pPr>
          </w:p>
        </w:tc>
        <w:tc>
          <w:tcPr>
            <w:tcW w:w="960" w:type="dxa"/>
            <w:vAlign w:val="bottom"/>
            <w:tcBorders>
              <w:bottom w:val="single" w:sz="8" w:color="auto"/>
            </w:tcBorders>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tcBorders>
              <w:bottom w:val="single" w:sz="8" w:color="auto"/>
            </w:tcBorders>
            <w:shd w:val="clear" w:color="auto" w:fill="CCEEFF"/>
          </w:tcPr>
          <w:p>
            <w:pPr>
              <w:spacing w:after="0" w:line="20" w:lineRule="exact"/>
              <w:rPr>
                <w:sz w:val="1"/>
                <w:szCs w:val="1"/>
                <w:color w:val="auto"/>
              </w:rPr>
            </w:pPr>
          </w:p>
        </w:tc>
        <w:tc>
          <w:tcPr>
            <w:tcW w:w="960" w:type="dxa"/>
            <w:vAlign w:val="bottom"/>
            <w:tcBorders>
              <w:bottom w:val="single" w:sz="8" w:color="auto"/>
            </w:tcBorders>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tcBorders>
              <w:bottom w:val="single" w:sz="8" w:color="auto"/>
            </w:tcBorders>
            <w:shd w:val="clear" w:color="auto" w:fill="CCEEFF"/>
          </w:tcPr>
          <w:p>
            <w:pPr>
              <w:spacing w:after="0" w:line="20" w:lineRule="exact"/>
              <w:rPr>
                <w:sz w:val="1"/>
                <w:szCs w:val="1"/>
                <w:color w:val="auto"/>
              </w:rPr>
            </w:pPr>
          </w:p>
        </w:tc>
        <w:tc>
          <w:tcPr>
            <w:tcW w:w="900" w:type="dxa"/>
            <w:vAlign w:val="bottom"/>
            <w:tcBorders>
              <w:bottom w:val="single" w:sz="8" w:color="auto"/>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280" w:type="dxa"/>
            <w:vAlign w:val="bottom"/>
          </w:tcPr>
          <w:p>
            <w:pPr>
              <w:ind w:left="820"/>
              <w:spacing w:after="0" w:line="203" w:lineRule="exact"/>
              <w:rPr>
                <w:sz w:val="20"/>
                <w:szCs w:val="20"/>
                <w:color w:val="auto"/>
              </w:rPr>
            </w:pPr>
            <w:r>
              <w:rPr>
                <w:rFonts w:ascii="Arial" w:cs="Arial" w:eastAsia="Arial" w:hAnsi="Arial"/>
                <w:sz w:val="18"/>
                <w:szCs w:val="18"/>
                <w:color w:val="auto"/>
              </w:rPr>
              <w:t>BALANCE AT JUNE 30, 2023</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260"/>
              <w:spacing w:after="0" w:line="203" w:lineRule="exact"/>
              <w:rPr>
                <w:sz w:val="20"/>
                <w:szCs w:val="20"/>
                <w:color w:val="auto"/>
              </w:rPr>
            </w:pPr>
            <w:r>
              <w:rPr>
                <w:rFonts w:ascii="Arial" w:cs="Arial" w:eastAsia="Arial" w:hAnsi="Arial"/>
                <w:sz w:val="18"/>
                <w:szCs w:val="18"/>
                <w:color w:val="auto"/>
              </w:rPr>
              <w:t>8,869</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220"/>
              <w:spacing w:after="0" w:line="203" w:lineRule="exact"/>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line="203" w:lineRule="exact"/>
              <w:rPr>
                <w:sz w:val="20"/>
                <w:szCs w:val="20"/>
                <w:color w:val="auto"/>
              </w:rPr>
            </w:pPr>
            <w:r>
              <w:rPr>
                <w:rFonts w:ascii="Arial" w:cs="Arial" w:eastAsia="Arial" w:hAnsi="Arial"/>
                <w:sz w:val="18"/>
                <w:szCs w:val="18"/>
                <w:color w:val="auto"/>
              </w:rPr>
              <w:t>35,083</w:t>
            </w:r>
          </w:p>
        </w:tc>
        <w:tc>
          <w:tcPr>
            <w:tcW w:w="2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line="203" w:lineRule="exact"/>
              <w:rPr>
                <w:sz w:val="20"/>
                <w:szCs w:val="20"/>
                <w:color w:val="auto"/>
              </w:rPr>
            </w:pPr>
            <w:r>
              <w:rPr>
                <w:rFonts w:ascii="Arial" w:cs="Arial" w:eastAsia="Arial" w:hAnsi="Arial"/>
                <w:sz w:val="18"/>
                <w:szCs w:val="18"/>
                <w:color w:val="auto"/>
              </w:rPr>
              <w:t>(7,778</w:t>
            </w:r>
          </w:p>
        </w:tc>
        <w:tc>
          <w:tcPr>
            <w:tcW w:w="220" w:type="dxa"/>
            <w:vAlign w:val="bottom"/>
          </w:tcPr>
          <w:p>
            <w:pPr>
              <w:jc w:val="right"/>
              <w:ind w:right="81"/>
              <w:spacing w:after="0"/>
              <w:rPr>
                <w:sz w:val="20"/>
                <w:szCs w:val="20"/>
                <w:color w:val="auto"/>
              </w:rPr>
            </w:pPr>
            <w:r>
              <w:rPr>
                <w:rFonts w:ascii="Arial" w:cs="Arial" w:eastAsia="Arial" w:hAnsi="Arial"/>
                <w:sz w:val="16"/>
                <w:szCs w:val="16"/>
                <w:color w:val="auto"/>
                <w:w w:val="74"/>
              </w:rPr>
              <w:t>)</w:t>
            </w:r>
          </w:p>
        </w:tc>
        <w:tc>
          <w:tcPr>
            <w:tcW w:w="140" w:type="dxa"/>
            <w:vAlign w:val="bottom"/>
          </w:tcPr>
          <w:p>
            <w:pPr>
              <w:jc w:val="right"/>
              <w:spacing w:after="0" w:line="203" w:lineRule="exact"/>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line="203" w:lineRule="exact"/>
              <w:rPr>
                <w:sz w:val="20"/>
                <w:szCs w:val="20"/>
                <w:color w:val="auto"/>
              </w:rPr>
            </w:pPr>
            <w:r>
              <w:rPr>
                <w:rFonts w:ascii="Arial" w:cs="Arial" w:eastAsia="Arial" w:hAnsi="Arial"/>
                <w:sz w:val="18"/>
                <w:szCs w:val="18"/>
                <w:color w:val="auto"/>
              </w:rPr>
              <w:t>87,195</w:t>
            </w:r>
          </w:p>
        </w:tc>
        <w:tc>
          <w:tcPr>
            <w:tcW w:w="220" w:type="dxa"/>
            <w:vAlign w:val="bottom"/>
          </w:tcPr>
          <w:p>
            <w:pPr>
              <w:spacing w:after="0"/>
              <w:rPr>
                <w:sz w:val="17"/>
                <w:szCs w:val="17"/>
                <w:color w:val="auto"/>
              </w:rPr>
            </w:pPr>
          </w:p>
        </w:tc>
        <w:tc>
          <w:tcPr>
            <w:tcW w:w="220" w:type="dxa"/>
            <w:vAlign w:val="bottom"/>
          </w:tcPr>
          <w:p>
            <w:pPr>
              <w:jc w:val="right"/>
              <w:ind w:right="30"/>
              <w:spacing w:after="0" w:line="203" w:lineRule="exact"/>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line="203" w:lineRule="exact"/>
              <w:rPr>
                <w:sz w:val="20"/>
                <w:szCs w:val="20"/>
                <w:color w:val="auto"/>
              </w:rPr>
            </w:pPr>
            <w:r>
              <w:rPr>
                <w:rFonts w:ascii="Arial" w:cs="Arial" w:eastAsia="Arial" w:hAnsi="Arial"/>
                <w:sz w:val="18"/>
                <w:szCs w:val="18"/>
                <w:color w:val="auto"/>
              </w:rPr>
              <w:t>123,369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2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earnings</w:t>
            </w:r>
          </w:p>
        </w:tc>
        <w:tc>
          <w:tcPr>
            <w:tcW w:w="14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60"/>
              <w:spacing w:after="0" w:line="196"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41"/>
              <w:spacing w:after="0" w:line="196"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3,513</w:t>
            </w:r>
          </w:p>
        </w:tc>
        <w:tc>
          <w:tcPr>
            <w:tcW w:w="2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3,513</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Paid in capital – restricted stock units</w:t>
            </w:r>
          </w:p>
        </w:tc>
        <w:tc>
          <w:tcPr>
            <w:tcW w:w="14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78</w:t>
            </w:r>
          </w:p>
        </w:tc>
        <w:tc>
          <w:tcPr>
            <w:tcW w:w="140" w:type="dxa"/>
            <w:vAlign w:val="bottom"/>
          </w:tcPr>
          <w:p>
            <w:pPr>
              <w:spacing w:after="0"/>
              <w:rPr>
                <w:sz w:val="18"/>
                <w:szCs w:val="18"/>
                <w:color w:val="auto"/>
              </w:rPr>
            </w:pPr>
          </w:p>
        </w:tc>
        <w:tc>
          <w:tcPr>
            <w:tcW w:w="118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30"/>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Repurchase of shares</w:t>
            </w: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(3)</w:t>
            </w:r>
          </w:p>
        </w:tc>
        <w:tc>
          <w:tcPr>
            <w:tcW w:w="1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Cash dividends ($0.02 per share)</w:t>
            </w:r>
          </w:p>
        </w:tc>
        <w:tc>
          <w:tcPr>
            <w:tcW w:w="14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8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(148)</w:t>
            </w:r>
          </w:p>
        </w:tc>
        <w:tc>
          <w:tcPr>
            <w:tcW w:w="2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3280" w:type="dxa"/>
            <w:vAlign w:val="bottom"/>
            <w:shd w:val="clear" w:color="auto" w:fill="CCEEFF"/>
          </w:tcPr>
          <w:p>
            <w:pPr>
              <w:ind w:left="820"/>
              <w:spacing w:after="0" w:line="195" w:lineRule="exact"/>
              <w:rPr>
                <w:sz w:val="20"/>
                <w:szCs w:val="20"/>
                <w:color w:val="auto"/>
              </w:rPr>
            </w:pPr>
            <w:r>
              <w:rPr>
                <w:rFonts w:ascii="Arial" w:cs="Arial" w:eastAsia="Arial" w:hAnsi="Arial"/>
                <w:sz w:val="18"/>
                <w:szCs w:val="18"/>
                <w:color w:val="auto"/>
              </w:rPr>
              <w:t>BALANCE AT SEPTEMBER</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8"/>
                <w:szCs w:val="18"/>
                <w:color w:val="auto"/>
              </w:rPr>
              <w:t>8,869</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35,161</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vMerge w:val="restart"/>
            <w:shd w:val="clear" w:color="auto" w:fill="CCEEFF"/>
          </w:tcPr>
          <w:p>
            <w:pPr>
              <w:jc w:val="right"/>
              <w:ind w:right="81"/>
              <w:spacing w:after="0"/>
              <w:rPr>
                <w:sz w:val="20"/>
                <w:szCs w:val="20"/>
                <w:color w:val="auto"/>
              </w:rPr>
            </w:pPr>
            <w:r>
              <w:rPr>
                <w:rFonts w:ascii="Arial" w:cs="Arial" w:eastAsia="Arial" w:hAnsi="Arial"/>
                <w:sz w:val="18"/>
                <w:szCs w:val="18"/>
                <w:color w:val="auto"/>
              </w:rPr>
              <w:t>(7,781)</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90,560</w:t>
            </w:r>
          </w:p>
        </w:tc>
        <w:tc>
          <w:tcPr>
            <w:tcW w:w="22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126,809</w:t>
            </w:r>
          </w:p>
        </w:tc>
        <w:tc>
          <w:tcPr>
            <w:tcW w:w="0" w:type="dxa"/>
            <w:vAlign w:val="bottom"/>
          </w:tcPr>
          <w:p>
            <w:pPr>
              <w:spacing w:after="0"/>
              <w:rPr>
                <w:sz w:val="1"/>
                <w:szCs w:val="1"/>
                <w:color w:val="auto"/>
              </w:rPr>
            </w:pPr>
          </w:p>
        </w:tc>
      </w:tr>
      <w:tr>
        <w:trPr>
          <w:trHeight w:val="230"/>
        </w:trPr>
        <w:tc>
          <w:tcPr>
            <w:tcW w:w="3280" w:type="dxa"/>
            <w:vAlign w:val="bottom"/>
            <w:shd w:val="clear" w:color="auto" w:fill="CCEEFF"/>
          </w:tcPr>
          <w:p>
            <w:pPr>
              <w:ind w:left="820"/>
              <w:spacing w:after="0" w:line="190" w:lineRule="exact"/>
              <w:rPr>
                <w:sz w:val="20"/>
                <w:szCs w:val="20"/>
                <w:color w:val="auto"/>
              </w:rPr>
            </w:pPr>
            <w:r>
              <w:rPr>
                <w:rFonts w:ascii="Arial" w:cs="Arial" w:eastAsia="Arial" w:hAnsi="Arial"/>
                <w:sz w:val="18"/>
                <w:szCs w:val="18"/>
                <w:color w:val="auto"/>
              </w:rPr>
              <w:t>30, 2023</w:t>
            </w:r>
          </w:p>
        </w:tc>
        <w:tc>
          <w:tcPr>
            <w:tcW w:w="140" w:type="dxa"/>
            <w:vAlign w:val="bottom"/>
            <w:vMerge w:val="continue"/>
            <w:shd w:val="clear" w:color="auto" w:fill="CCEEFF"/>
          </w:tcPr>
          <w:p>
            <w:pPr>
              <w:spacing w:after="0"/>
              <w:rPr>
                <w:sz w:val="19"/>
                <w:szCs w:val="19"/>
                <w:color w:val="auto"/>
              </w:rPr>
            </w:pPr>
          </w:p>
        </w:tc>
        <w:tc>
          <w:tcPr>
            <w:tcW w:w="1240" w:type="dxa"/>
            <w:vAlign w:val="bottom"/>
            <w:gridSpan w:val="2"/>
            <w:vMerge w:val="continue"/>
            <w:shd w:val="clear" w:color="auto" w:fill="CCEEFF"/>
          </w:tcPr>
          <w:p>
            <w:pPr>
              <w:spacing w:after="0"/>
              <w:rPr>
                <w:sz w:val="19"/>
                <w:szCs w:val="19"/>
                <w:color w:val="auto"/>
              </w:rPr>
            </w:pPr>
          </w:p>
        </w:tc>
        <w:tc>
          <w:tcPr>
            <w:tcW w:w="140" w:type="dxa"/>
            <w:vAlign w:val="bottom"/>
            <w:vMerge w:val="continue"/>
            <w:shd w:val="clear" w:color="auto" w:fill="CCEEFF"/>
          </w:tcPr>
          <w:p>
            <w:pPr>
              <w:spacing w:after="0"/>
              <w:rPr>
                <w:sz w:val="19"/>
                <w:szCs w:val="19"/>
                <w:color w:val="auto"/>
              </w:rPr>
            </w:pPr>
          </w:p>
        </w:tc>
        <w:tc>
          <w:tcPr>
            <w:tcW w:w="1260" w:type="dxa"/>
            <w:vAlign w:val="bottom"/>
            <w:gridSpan w:val="2"/>
            <w:vMerge w:val="continue"/>
            <w:shd w:val="clear" w:color="auto" w:fill="CCEEFF"/>
          </w:tcPr>
          <w:p>
            <w:pPr>
              <w:spacing w:after="0"/>
              <w:rPr>
                <w:sz w:val="19"/>
                <w:szCs w:val="19"/>
                <w:color w:val="auto"/>
              </w:rPr>
            </w:pPr>
          </w:p>
        </w:tc>
        <w:tc>
          <w:tcPr>
            <w:tcW w:w="120" w:type="dxa"/>
            <w:vAlign w:val="bottom"/>
            <w:vMerge w:val="continue"/>
            <w:shd w:val="clear" w:color="auto" w:fill="CCEEFF"/>
          </w:tcPr>
          <w:p>
            <w:pPr>
              <w:spacing w:after="0"/>
              <w:rPr>
                <w:sz w:val="19"/>
                <w:szCs w:val="19"/>
                <w:color w:val="auto"/>
              </w:rPr>
            </w:pPr>
          </w:p>
        </w:tc>
        <w:tc>
          <w:tcPr>
            <w:tcW w:w="1200" w:type="dxa"/>
            <w:vAlign w:val="bottom"/>
            <w:gridSpan w:val="2"/>
            <w:vMerge w:val="continue"/>
            <w:shd w:val="clear" w:color="auto" w:fill="CCEEFF"/>
          </w:tcPr>
          <w:p>
            <w:pPr>
              <w:spacing w:after="0"/>
              <w:rPr>
                <w:sz w:val="19"/>
                <w:szCs w:val="19"/>
                <w:color w:val="auto"/>
              </w:rPr>
            </w:pPr>
          </w:p>
        </w:tc>
        <w:tc>
          <w:tcPr>
            <w:tcW w:w="140" w:type="dxa"/>
            <w:vAlign w:val="bottom"/>
            <w:vMerge w:val="continue"/>
            <w:shd w:val="clear" w:color="auto" w:fill="CCEEFF"/>
          </w:tcPr>
          <w:p>
            <w:pPr>
              <w:spacing w:after="0"/>
              <w:rPr>
                <w:sz w:val="19"/>
                <w:szCs w:val="19"/>
                <w:color w:val="auto"/>
              </w:rPr>
            </w:pPr>
          </w:p>
        </w:tc>
        <w:tc>
          <w:tcPr>
            <w:tcW w:w="1180" w:type="dxa"/>
            <w:vAlign w:val="bottom"/>
            <w:gridSpan w:val="2"/>
            <w:vMerge w:val="continue"/>
            <w:shd w:val="clear" w:color="auto" w:fill="CCEEFF"/>
          </w:tcPr>
          <w:p>
            <w:pPr>
              <w:spacing w:after="0"/>
              <w:rPr>
                <w:sz w:val="19"/>
                <w:szCs w:val="19"/>
                <w:color w:val="auto"/>
              </w:rPr>
            </w:pPr>
          </w:p>
        </w:tc>
        <w:tc>
          <w:tcPr>
            <w:tcW w:w="140" w:type="dxa"/>
            <w:vAlign w:val="bottom"/>
            <w:vMerge w:val="continue"/>
            <w:shd w:val="clear" w:color="auto" w:fill="CCEEFF"/>
          </w:tcPr>
          <w:p>
            <w:pPr>
              <w:spacing w:after="0"/>
              <w:rPr>
                <w:sz w:val="19"/>
                <w:szCs w:val="19"/>
                <w:color w:val="auto"/>
              </w:rPr>
            </w:pPr>
          </w:p>
        </w:tc>
        <w:tc>
          <w:tcPr>
            <w:tcW w:w="1180" w:type="dxa"/>
            <w:vAlign w:val="bottom"/>
            <w:gridSpan w:val="2"/>
            <w:vMerge w:val="continue"/>
            <w:shd w:val="clear" w:color="auto" w:fill="CCEEFF"/>
          </w:tcPr>
          <w:p>
            <w:pPr>
              <w:spacing w:after="0"/>
              <w:rPr>
                <w:sz w:val="19"/>
                <w:szCs w:val="19"/>
                <w:color w:val="auto"/>
              </w:rPr>
            </w:pPr>
          </w:p>
        </w:tc>
        <w:tc>
          <w:tcPr>
            <w:tcW w:w="220" w:type="dxa"/>
            <w:vAlign w:val="bottom"/>
            <w:vMerge w:val="continue"/>
            <w:shd w:val="clear" w:color="auto" w:fill="CCEEFF"/>
          </w:tcPr>
          <w:p>
            <w:pPr>
              <w:spacing w:after="0"/>
              <w:rPr>
                <w:sz w:val="19"/>
                <w:szCs w:val="19"/>
                <w:color w:val="auto"/>
              </w:rPr>
            </w:pPr>
          </w:p>
        </w:tc>
        <w:tc>
          <w:tcPr>
            <w:tcW w:w="100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413"/>
        </w:trPr>
        <w:tc>
          <w:tcPr>
            <w:tcW w:w="3280" w:type="dxa"/>
            <w:vAlign w:val="bottom"/>
            <w:tcBorders>
              <w:top w:val="single" w:sz="8" w:color="CCEEFF"/>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260" w:type="dxa"/>
            <w:vAlign w:val="bottom"/>
            <w:tcBorders>
              <w:top w:val="single" w:sz="8" w:color="CCEEFF"/>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14</w:t>
            </w:r>
          </w:p>
        </w:tc>
        <w:tc>
          <w:tcPr>
            <w:tcW w:w="22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28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5" w:right="339" w:bottom="1440" w:gutter="0" w:footer="0" w:header="0"/>
        </w:sectPr>
      </w:pPr>
    </w:p>
    <w:bookmarkStart w:id="15" w:name="page16"/>
    <w:bookmarkEnd w:id="1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280" w:type="dxa"/>
            <w:vAlign w:val="bottom"/>
            <w:gridSpan w:val="2"/>
          </w:tcPr>
          <w:p>
            <w:pPr>
              <w:spacing w:after="0"/>
              <w:rPr>
                <w:sz w:val="20"/>
                <w:szCs w:val="20"/>
                <w:color w:val="auto"/>
              </w:rPr>
            </w:pPr>
            <w:r>
              <w:rPr>
                <w:rFonts w:ascii="Arial" w:cs="Arial" w:eastAsia="Arial" w:hAnsi="Arial"/>
                <w:sz w:val="18"/>
                <w:szCs w:val="18"/>
                <w:color w:val="0000EE"/>
              </w:rPr>
              <w:t>Table of Contents</w:t>
            </w: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61"/>
        </w:trPr>
        <w:tc>
          <w:tcPr>
            <w:tcW w:w="1280" w:type="dxa"/>
            <w:vAlign w:val="bottom"/>
            <w:tcBorders>
              <w:top w:val="single" w:sz="8" w:color="0000EE"/>
            </w:tcBorders>
          </w:tcPr>
          <w:p>
            <w:pPr>
              <w:spacing w:after="0"/>
              <w:rPr>
                <w:sz w:val="24"/>
                <w:szCs w:val="24"/>
                <w:color w:val="auto"/>
              </w:rPr>
            </w:pPr>
          </w:p>
        </w:tc>
        <w:tc>
          <w:tcPr>
            <w:tcW w:w="2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0"/>
              </w:rPr>
              <w:t>Accumulated</w:t>
            </w: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5"/>
              </w:rPr>
              <w:t>Other</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7"/>
              </w:rPr>
              <w:t>Comprehensive</w:t>
            </w:r>
          </w:p>
        </w:tc>
        <w:tc>
          <w:tcPr>
            <w:tcW w:w="120" w:type="dxa"/>
            <w:vAlign w:val="bottom"/>
          </w:tcPr>
          <w:p>
            <w:pPr>
              <w:spacing w:after="0"/>
              <w:rPr>
                <w:sz w:val="18"/>
                <w:szCs w:val="18"/>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3"/>
              </w:rPr>
              <w:t>Additional</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w w:val="97"/>
              </w:rPr>
              <w:t>Common</w:t>
            </w:r>
          </w:p>
        </w:tc>
        <w:tc>
          <w:tcPr>
            <w:tcW w:w="140" w:type="dxa"/>
            <w:vAlign w:val="bottom"/>
          </w:tcPr>
          <w:p>
            <w:pPr>
              <w:spacing w:after="0"/>
              <w:rPr>
                <w:sz w:val="18"/>
                <w:szCs w:val="18"/>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1"/>
              </w:rPr>
              <w:t>Income,</w:t>
            </w:r>
          </w:p>
        </w:tc>
        <w:tc>
          <w:tcPr>
            <w:tcW w:w="120" w:type="dxa"/>
            <w:vAlign w:val="bottom"/>
          </w:tcPr>
          <w:p>
            <w:pPr>
              <w:spacing w:after="0"/>
              <w:rPr>
                <w:sz w:val="18"/>
                <w:szCs w:val="18"/>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Paid-In</w:t>
            </w:r>
          </w:p>
        </w:tc>
        <w:tc>
          <w:tcPr>
            <w:tcW w:w="140" w:type="dxa"/>
            <w:vAlign w:val="bottom"/>
          </w:tcPr>
          <w:p>
            <w:pPr>
              <w:spacing w:after="0"/>
              <w:rPr>
                <w:sz w:val="18"/>
                <w:szCs w:val="18"/>
                <w:color w:val="auto"/>
              </w:rPr>
            </w:pPr>
          </w:p>
        </w:tc>
        <w:tc>
          <w:tcPr>
            <w:tcW w:w="118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97"/>
              </w:rPr>
              <w:t>Treasury</w:t>
            </w:r>
          </w:p>
        </w:tc>
        <w:tc>
          <w:tcPr>
            <w:tcW w:w="140" w:type="dxa"/>
            <w:vAlign w:val="bottom"/>
          </w:tcPr>
          <w:p>
            <w:pPr>
              <w:spacing w:after="0"/>
              <w:rPr>
                <w:sz w:val="18"/>
                <w:szCs w:val="18"/>
                <w:color w:val="auto"/>
              </w:rPr>
            </w:pPr>
          </w:p>
        </w:tc>
        <w:tc>
          <w:tcPr>
            <w:tcW w:w="118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97"/>
              </w:rPr>
              <w:t>Retained</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28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Stock</w:t>
            </w:r>
          </w:p>
        </w:tc>
        <w:tc>
          <w:tcPr>
            <w:tcW w:w="140" w:type="dxa"/>
            <w:vAlign w:val="bottom"/>
          </w:tcPr>
          <w:p>
            <w:pPr>
              <w:spacing w:after="0"/>
              <w:rPr>
                <w:sz w:val="20"/>
                <w:szCs w:val="20"/>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1"/>
              </w:rPr>
              <w:t>Net of Tax</w:t>
            </w:r>
          </w:p>
        </w:tc>
        <w:tc>
          <w:tcPr>
            <w:tcW w:w="120" w:type="dxa"/>
            <w:vAlign w:val="bottom"/>
          </w:tcPr>
          <w:p>
            <w:pPr>
              <w:spacing w:after="0"/>
              <w:rPr>
                <w:sz w:val="20"/>
                <w:szCs w:val="20"/>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Capital</w:t>
            </w:r>
          </w:p>
        </w:tc>
        <w:tc>
          <w:tcPr>
            <w:tcW w:w="140" w:type="dxa"/>
            <w:vAlign w:val="bottom"/>
          </w:tcPr>
          <w:p>
            <w:pPr>
              <w:spacing w:after="0"/>
              <w:rPr>
                <w:sz w:val="20"/>
                <w:szCs w:val="20"/>
                <w:color w:val="auto"/>
              </w:rPr>
            </w:pPr>
          </w:p>
        </w:tc>
        <w:tc>
          <w:tcPr>
            <w:tcW w:w="118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Stock</w:t>
            </w:r>
          </w:p>
        </w:tc>
        <w:tc>
          <w:tcPr>
            <w:tcW w:w="140" w:type="dxa"/>
            <w:vAlign w:val="bottom"/>
          </w:tcPr>
          <w:p>
            <w:pPr>
              <w:spacing w:after="0"/>
              <w:rPr>
                <w:sz w:val="20"/>
                <w:szCs w:val="20"/>
                <w:color w:val="auto"/>
              </w:rPr>
            </w:pPr>
          </w:p>
        </w:tc>
        <w:tc>
          <w:tcPr>
            <w:tcW w:w="118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96"/>
              </w:rPr>
              <w:t>Earnings</w:t>
            </w:r>
          </w:p>
        </w:tc>
        <w:tc>
          <w:tcPr>
            <w:tcW w:w="220" w:type="dxa"/>
            <w:vAlign w:val="bottom"/>
          </w:tcPr>
          <w:p>
            <w:pPr>
              <w:spacing w:after="0"/>
              <w:rPr>
                <w:sz w:val="20"/>
                <w:szCs w:val="20"/>
                <w:color w:val="auto"/>
              </w:rPr>
            </w:pPr>
          </w:p>
        </w:tc>
        <w:tc>
          <w:tcPr>
            <w:tcW w:w="100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195"/>
        </w:trPr>
        <w:tc>
          <w:tcPr>
            <w:tcW w:w="3280" w:type="dxa"/>
            <w:vAlign w:val="bottom"/>
            <w:gridSpan w:val="2"/>
            <w:shd w:val="clear" w:color="auto" w:fill="CCEEFF"/>
          </w:tcPr>
          <w:p>
            <w:pPr>
              <w:ind w:left="820"/>
              <w:spacing w:after="0" w:line="195" w:lineRule="exact"/>
              <w:rPr>
                <w:sz w:val="20"/>
                <w:szCs w:val="20"/>
                <w:color w:val="auto"/>
              </w:rPr>
            </w:pPr>
            <w:r>
              <w:rPr>
                <w:rFonts w:ascii="Arial" w:cs="Arial" w:eastAsia="Arial" w:hAnsi="Arial"/>
                <w:sz w:val="18"/>
                <w:szCs w:val="18"/>
                <w:color w:val="auto"/>
              </w:rPr>
              <w:t>BALANCE AT MARCH 31,</w:t>
            </w:r>
          </w:p>
        </w:tc>
        <w:tc>
          <w:tcPr>
            <w:tcW w:w="140" w:type="dxa"/>
            <w:vAlign w:val="bottom"/>
            <w:tcBorders>
              <w:top w:val="single" w:sz="8" w:color="auto"/>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1280" w:type="dxa"/>
            <w:vAlign w:val="bottom"/>
            <w:shd w:val="clear" w:color="auto" w:fill="CCEEFF"/>
          </w:tcPr>
          <w:p>
            <w:pPr>
              <w:ind w:left="820"/>
              <w:spacing w:after="0"/>
              <w:rPr>
                <w:sz w:val="20"/>
                <w:szCs w:val="20"/>
                <w:color w:val="auto"/>
              </w:rPr>
            </w:pPr>
            <w:r>
              <w:rPr>
                <w:rFonts w:ascii="Arial" w:cs="Arial" w:eastAsia="Arial" w:hAnsi="Arial"/>
                <w:sz w:val="18"/>
                <w:szCs w:val="18"/>
                <w:color w:val="auto"/>
              </w:rPr>
              <w:t>2022</w:t>
            </w:r>
          </w:p>
        </w:tc>
        <w:tc>
          <w:tcPr>
            <w:tcW w:w="20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8,345</w:t>
            </w:r>
          </w:p>
        </w:tc>
        <w:tc>
          <w:tcPr>
            <w:tcW w:w="14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(10,269)</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30,442</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(7,741)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58,909</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79,686</w:t>
            </w:r>
          </w:p>
        </w:tc>
        <w:tc>
          <w:tcPr>
            <w:tcW w:w="0" w:type="dxa"/>
            <w:vAlign w:val="bottom"/>
          </w:tcPr>
          <w:p>
            <w:pPr>
              <w:spacing w:after="0"/>
              <w:rPr>
                <w:sz w:val="1"/>
                <w:szCs w:val="1"/>
                <w:color w:val="auto"/>
              </w:rPr>
            </w:pPr>
          </w:p>
        </w:tc>
      </w:tr>
      <w:tr>
        <w:trPr>
          <w:trHeight w:val="216"/>
        </w:trPr>
        <w:tc>
          <w:tcPr>
            <w:tcW w:w="3280" w:type="dxa"/>
            <w:vAlign w:val="bottom"/>
            <w:gridSpan w:val="2"/>
          </w:tcPr>
          <w:p>
            <w:pPr>
              <w:spacing w:after="0"/>
              <w:rPr>
                <w:sz w:val="20"/>
                <w:szCs w:val="20"/>
                <w:color w:val="auto"/>
              </w:rPr>
            </w:pPr>
            <w:r>
              <w:rPr>
                <w:rFonts w:ascii="Arial" w:cs="Arial" w:eastAsia="Arial" w:hAnsi="Arial"/>
                <w:sz w:val="18"/>
                <w:szCs w:val="18"/>
                <w:color w:val="auto"/>
              </w:rPr>
              <w:t>Net earnings</w:t>
            </w:r>
          </w:p>
        </w:tc>
        <w:tc>
          <w:tcPr>
            <w:tcW w:w="14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11,184</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11,184</w:t>
            </w:r>
          </w:p>
        </w:tc>
        <w:tc>
          <w:tcPr>
            <w:tcW w:w="0" w:type="dxa"/>
            <w:vAlign w:val="bottom"/>
          </w:tcPr>
          <w:p>
            <w:pPr>
              <w:spacing w:after="0"/>
              <w:rPr>
                <w:sz w:val="1"/>
                <w:szCs w:val="1"/>
                <w:color w:val="auto"/>
              </w:rPr>
            </w:pPr>
          </w:p>
        </w:tc>
      </w:tr>
      <w:tr>
        <w:trPr>
          <w:trHeight w:val="216"/>
        </w:trPr>
        <w:tc>
          <w:tcPr>
            <w:tcW w:w="3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comprehensive income</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7,174</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7,174</w:t>
            </w:r>
          </w:p>
        </w:tc>
        <w:tc>
          <w:tcPr>
            <w:tcW w:w="0" w:type="dxa"/>
            <w:vAlign w:val="bottom"/>
          </w:tcPr>
          <w:p>
            <w:pPr>
              <w:spacing w:after="0"/>
              <w:rPr>
                <w:sz w:val="1"/>
                <w:szCs w:val="1"/>
                <w:color w:val="auto"/>
              </w:rPr>
            </w:pPr>
          </w:p>
        </w:tc>
      </w:tr>
      <w:tr>
        <w:trPr>
          <w:trHeight w:val="216"/>
        </w:trPr>
        <w:tc>
          <w:tcPr>
            <w:tcW w:w="3280" w:type="dxa"/>
            <w:vAlign w:val="bottom"/>
            <w:gridSpan w:val="2"/>
          </w:tcPr>
          <w:p>
            <w:pPr>
              <w:spacing w:after="0"/>
              <w:rPr>
                <w:sz w:val="20"/>
                <w:szCs w:val="20"/>
                <w:color w:val="auto"/>
              </w:rPr>
            </w:pPr>
            <w:r>
              <w:rPr>
                <w:rFonts w:ascii="Arial" w:cs="Arial" w:eastAsia="Arial" w:hAnsi="Arial"/>
                <w:sz w:val="18"/>
                <w:szCs w:val="18"/>
                <w:color w:val="auto"/>
              </w:rPr>
              <w:t>Paid in capital – restricted stock units</w:t>
            </w:r>
          </w:p>
        </w:tc>
        <w:tc>
          <w:tcPr>
            <w:tcW w:w="14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73</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02"/>
        </w:trPr>
        <w:tc>
          <w:tcPr>
            <w:tcW w:w="32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Shares issued - Plateplus business</w:t>
            </w: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combination</w:t>
            </w:r>
          </w:p>
        </w:tc>
        <w:tc>
          <w:tcPr>
            <w:tcW w:w="14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516</w:t>
            </w:r>
          </w:p>
        </w:tc>
        <w:tc>
          <w:tcPr>
            <w:tcW w:w="14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4,268</w:t>
            </w:r>
          </w:p>
        </w:tc>
        <w:tc>
          <w:tcPr>
            <w:tcW w:w="14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4,784</w:t>
            </w:r>
          </w:p>
        </w:tc>
        <w:tc>
          <w:tcPr>
            <w:tcW w:w="0" w:type="dxa"/>
            <w:vAlign w:val="bottom"/>
          </w:tcPr>
          <w:p>
            <w:pPr>
              <w:spacing w:after="0"/>
              <w:rPr>
                <w:sz w:val="1"/>
                <w:szCs w:val="1"/>
                <w:color w:val="auto"/>
              </w:rPr>
            </w:pPr>
          </w:p>
        </w:tc>
      </w:tr>
      <w:tr>
        <w:trPr>
          <w:trHeight w:val="216"/>
        </w:trPr>
        <w:tc>
          <w:tcPr>
            <w:tcW w:w="3280" w:type="dxa"/>
            <w:vAlign w:val="bottom"/>
            <w:gridSpan w:val="2"/>
          </w:tcPr>
          <w:p>
            <w:pPr>
              <w:spacing w:after="0"/>
              <w:rPr>
                <w:sz w:val="20"/>
                <w:szCs w:val="20"/>
                <w:color w:val="auto"/>
              </w:rPr>
            </w:pPr>
            <w:r>
              <w:rPr>
                <w:rFonts w:ascii="Arial" w:cs="Arial" w:eastAsia="Arial" w:hAnsi="Arial"/>
                <w:sz w:val="18"/>
                <w:szCs w:val="18"/>
                <w:color w:val="auto"/>
              </w:rPr>
              <w:t>Repurchase of shares</w:t>
            </w:r>
          </w:p>
        </w:tc>
        <w:tc>
          <w:tcPr>
            <w:tcW w:w="14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(29)</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3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dividends ($0.02 per share)</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(157)</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0"/>
        </w:trPr>
        <w:tc>
          <w:tcPr>
            <w:tcW w:w="1280" w:type="dxa"/>
            <w:vAlign w:val="bottom"/>
            <w:shd w:val="clear" w:color="auto" w:fill="CCEEFF"/>
          </w:tcPr>
          <w:p>
            <w:pPr>
              <w:spacing w:after="0" w:line="20" w:lineRule="exact"/>
              <w:rPr>
                <w:sz w:val="1"/>
                <w:szCs w:val="1"/>
                <w:color w:val="auto"/>
              </w:rPr>
            </w:pPr>
          </w:p>
        </w:tc>
        <w:tc>
          <w:tcPr>
            <w:tcW w:w="20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280" w:type="dxa"/>
            <w:vAlign w:val="bottom"/>
            <w:gridSpan w:val="2"/>
          </w:tcPr>
          <w:p>
            <w:pPr>
              <w:ind w:left="820"/>
              <w:spacing w:after="0"/>
              <w:rPr>
                <w:sz w:val="20"/>
                <w:szCs w:val="20"/>
                <w:color w:val="auto"/>
              </w:rPr>
            </w:pPr>
            <w:r>
              <w:rPr>
                <w:rFonts w:ascii="Arial" w:cs="Arial" w:eastAsia="Arial" w:hAnsi="Arial"/>
                <w:sz w:val="18"/>
                <w:szCs w:val="18"/>
                <w:color w:val="auto"/>
              </w:rPr>
              <w:t>BALANCE AT JUNE 30, 2022</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8,861</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160"/>
              <w:spacing w:after="0" w:line="210" w:lineRule="exact"/>
              <w:rPr>
                <w:sz w:val="20"/>
                <w:szCs w:val="20"/>
                <w:color w:val="auto"/>
              </w:rPr>
            </w:pPr>
            <w:r>
              <w:rPr>
                <w:rFonts w:ascii="Arial" w:cs="Arial" w:eastAsia="Arial" w:hAnsi="Arial"/>
                <w:sz w:val="14"/>
                <w:szCs w:val="14"/>
                <w:color w:val="auto"/>
              </w:rPr>
              <w:t>(3,095</w:t>
            </w:r>
            <w:r>
              <w:rPr>
                <w:rFonts w:ascii="Arial" w:cs="Arial" w:eastAsia="Arial" w:hAnsi="Arial"/>
                <w:sz w:val="24"/>
                <w:szCs w:val="24"/>
                <w:color w:val="auto"/>
                <w:vertAlign w:val="subscript"/>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34,783</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160"/>
              <w:spacing w:after="0" w:line="210" w:lineRule="exact"/>
              <w:rPr>
                <w:sz w:val="20"/>
                <w:szCs w:val="20"/>
                <w:color w:val="auto"/>
              </w:rPr>
            </w:pPr>
            <w:r>
              <w:rPr>
                <w:rFonts w:ascii="Arial" w:cs="Arial" w:eastAsia="Arial" w:hAnsi="Arial"/>
                <w:sz w:val="14"/>
                <w:szCs w:val="14"/>
                <w:color w:val="auto"/>
              </w:rPr>
              <w:t>(7,770</w:t>
            </w:r>
            <w:r>
              <w:rPr>
                <w:rFonts w:ascii="Arial" w:cs="Arial" w:eastAsia="Arial" w:hAnsi="Arial"/>
                <w:sz w:val="24"/>
                <w:szCs w:val="24"/>
                <w:color w:val="auto"/>
                <w:vertAlign w:val="subscript"/>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69,936</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102,715</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28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Net earnings</w:t>
            </w:r>
          </w:p>
        </w:tc>
        <w:tc>
          <w:tcPr>
            <w:tcW w:w="14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60"/>
              <w:spacing w:after="0" w:line="196"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2,471</w:t>
            </w:r>
          </w:p>
        </w:tc>
        <w:tc>
          <w:tcPr>
            <w:tcW w:w="2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2,471</w:t>
            </w:r>
          </w:p>
        </w:tc>
        <w:tc>
          <w:tcPr>
            <w:tcW w:w="0" w:type="dxa"/>
            <w:vAlign w:val="bottom"/>
          </w:tcPr>
          <w:p>
            <w:pPr>
              <w:spacing w:after="0"/>
              <w:rPr>
                <w:sz w:val="1"/>
                <w:szCs w:val="1"/>
                <w:color w:val="auto"/>
              </w:rPr>
            </w:pPr>
          </w:p>
        </w:tc>
      </w:tr>
      <w:tr>
        <w:trPr>
          <w:trHeight w:val="216"/>
        </w:trPr>
        <w:tc>
          <w:tcPr>
            <w:tcW w:w="3280" w:type="dxa"/>
            <w:vAlign w:val="bottom"/>
            <w:gridSpan w:val="2"/>
          </w:tcPr>
          <w:p>
            <w:pPr>
              <w:spacing w:after="0"/>
              <w:rPr>
                <w:sz w:val="20"/>
                <w:szCs w:val="20"/>
                <w:color w:val="auto"/>
              </w:rPr>
            </w:pPr>
            <w:r>
              <w:rPr>
                <w:rFonts w:ascii="Arial" w:cs="Arial" w:eastAsia="Arial" w:hAnsi="Arial"/>
                <w:sz w:val="18"/>
                <w:szCs w:val="18"/>
                <w:color w:val="auto"/>
              </w:rPr>
              <w:t>Other comprehensive income</w:t>
            </w:r>
          </w:p>
        </w:tc>
        <w:tc>
          <w:tcPr>
            <w:tcW w:w="14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1,579</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1,579</w:t>
            </w:r>
          </w:p>
        </w:tc>
        <w:tc>
          <w:tcPr>
            <w:tcW w:w="0" w:type="dxa"/>
            <w:vAlign w:val="bottom"/>
          </w:tcPr>
          <w:p>
            <w:pPr>
              <w:spacing w:after="0"/>
              <w:rPr>
                <w:sz w:val="1"/>
                <w:szCs w:val="1"/>
                <w:color w:val="auto"/>
              </w:rPr>
            </w:pPr>
          </w:p>
        </w:tc>
      </w:tr>
      <w:tr>
        <w:trPr>
          <w:trHeight w:val="216"/>
        </w:trPr>
        <w:tc>
          <w:tcPr>
            <w:tcW w:w="3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Paid in capital – restricted stock units</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73</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16"/>
        </w:trPr>
        <w:tc>
          <w:tcPr>
            <w:tcW w:w="3280" w:type="dxa"/>
            <w:vAlign w:val="bottom"/>
            <w:gridSpan w:val="2"/>
          </w:tcPr>
          <w:p>
            <w:pPr>
              <w:spacing w:after="0"/>
              <w:rPr>
                <w:sz w:val="20"/>
                <w:szCs w:val="20"/>
                <w:color w:val="auto"/>
              </w:rPr>
            </w:pPr>
            <w:r>
              <w:rPr>
                <w:rFonts w:ascii="Arial" w:cs="Arial" w:eastAsia="Arial" w:hAnsi="Arial"/>
                <w:sz w:val="18"/>
                <w:szCs w:val="18"/>
                <w:color w:val="auto"/>
              </w:rPr>
              <w:t>Cash dividends ($0.02 per share)</w:t>
            </w:r>
          </w:p>
        </w:tc>
        <w:tc>
          <w:tcPr>
            <w:tcW w:w="14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(148)</w:t>
            </w:r>
          </w:p>
        </w:tc>
        <w:tc>
          <w:tcPr>
            <w:tcW w:w="2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3280" w:type="dxa"/>
            <w:vAlign w:val="bottom"/>
            <w:gridSpan w:val="2"/>
            <w:shd w:val="clear" w:color="auto" w:fill="CCEEFF"/>
          </w:tcPr>
          <w:p>
            <w:pPr>
              <w:ind w:left="820"/>
              <w:spacing w:after="0" w:line="195" w:lineRule="exact"/>
              <w:rPr>
                <w:sz w:val="20"/>
                <w:szCs w:val="20"/>
                <w:color w:val="auto"/>
              </w:rPr>
            </w:pPr>
            <w:r>
              <w:rPr>
                <w:rFonts w:ascii="Arial" w:cs="Arial" w:eastAsia="Arial" w:hAnsi="Arial"/>
                <w:sz w:val="18"/>
                <w:szCs w:val="18"/>
                <w:color w:val="auto"/>
              </w:rPr>
              <w:t>BALANCE AT SEPTEMBER</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8"/>
                <w:szCs w:val="18"/>
                <w:color w:val="auto"/>
              </w:rPr>
              <w:t>8,861</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(1,516)</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34,856</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(7,770)</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72,259</w:t>
            </w:r>
          </w:p>
        </w:tc>
        <w:tc>
          <w:tcPr>
            <w:tcW w:w="22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106,690</w:t>
            </w:r>
          </w:p>
        </w:tc>
        <w:tc>
          <w:tcPr>
            <w:tcW w:w="0" w:type="dxa"/>
            <w:vAlign w:val="bottom"/>
          </w:tcPr>
          <w:p>
            <w:pPr>
              <w:spacing w:after="0"/>
              <w:rPr>
                <w:sz w:val="1"/>
                <w:szCs w:val="1"/>
                <w:color w:val="auto"/>
              </w:rPr>
            </w:pPr>
          </w:p>
        </w:tc>
      </w:tr>
      <w:tr>
        <w:trPr>
          <w:trHeight w:val="210"/>
        </w:trPr>
        <w:tc>
          <w:tcPr>
            <w:tcW w:w="3280" w:type="dxa"/>
            <w:vAlign w:val="bottom"/>
            <w:gridSpan w:val="2"/>
            <w:shd w:val="clear" w:color="auto" w:fill="CCEEFF"/>
          </w:tcPr>
          <w:p>
            <w:pPr>
              <w:ind w:left="820"/>
              <w:spacing w:after="0" w:line="190" w:lineRule="exact"/>
              <w:rPr>
                <w:sz w:val="20"/>
                <w:szCs w:val="20"/>
                <w:color w:val="auto"/>
              </w:rPr>
            </w:pPr>
            <w:r>
              <w:rPr>
                <w:rFonts w:ascii="Arial" w:cs="Arial" w:eastAsia="Arial" w:hAnsi="Arial"/>
                <w:sz w:val="18"/>
                <w:szCs w:val="18"/>
                <w:color w:val="auto"/>
              </w:rPr>
              <w:t>30, 2022</w:t>
            </w:r>
          </w:p>
        </w:tc>
        <w:tc>
          <w:tcPr>
            <w:tcW w:w="140" w:type="dxa"/>
            <w:vAlign w:val="bottom"/>
            <w:vMerge w:val="continue"/>
            <w:shd w:val="clear" w:color="auto" w:fill="CCEEFF"/>
          </w:tcPr>
          <w:p>
            <w:pPr>
              <w:spacing w:after="0"/>
              <w:rPr>
                <w:sz w:val="18"/>
                <w:szCs w:val="18"/>
                <w:color w:val="auto"/>
              </w:rPr>
            </w:pPr>
          </w:p>
        </w:tc>
        <w:tc>
          <w:tcPr>
            <w:tcW w:w="1240" w:type="dxa"/>
            <w:vAlign w:val="bottom"/>
            <w:gridSpan w:val="2"/>
            <w:vMerge w:val="continue"/>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1260" w:type="dxa"/>
            <w:vAlign w:val="bottom"/>
            <w:gridSpan w:val="2"/>
            <w:vMerge w:val="continue"/>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1200" w:type="dxa"/>
            <w:vAlign w:val="bottom"/>
            <w:gridSpan w:val="2"/>
            <w:vMerge w:val="continue"/>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1180" w:type="dxa"/>
            <w:vAlign w:val="bottom"/>
            <w:gridSpan w:val="2"/>
            <w:vMerge w:val="continue"/>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1180" w:type="dxa"/>
            <w:vAlign w:val="bottom"/>
            <w:gridSpan w:val="2"/>
            <w:vMerge w:val="continue"/>
            <w:shd w:val="clear" w:color="auto" w:fill="CCEEFF"/>
          </w:tcPr>
          <w:p>
            <w:pPr>
              <w:spacing w:after="0"/>
              <w:rPr>
                <w:sz w:val="18"/>
                <w:szCs w:val="18"/>
                <w:color w:val="auto"/>
              </w:rPr>
            </w:pPr>
          </w:p>
        </w:tc>
        <w:tc>
          <w:tcPr>
            <w:tcW w:w="220" w:type="dxa"/>
            <w:vAlign w:val="bottom"/>
            <w:vMerge w:val="continue"/>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80" w:type="dxa"/>
            <w:vAlign w:val="bottom"/>
            <w:tcBorders>
              <w:top w:val="single" w:sz="8" w:color="CCEEFF"/>
            </w:tcBorders>
            <w:shd w:val="clear" w:color="auto" w:fill="CCEEFF"/>
          </w:tcPr>
          <w:p>
            <w:pPr>
              <w:spacing w:after="0" w:line="20" w:lineRule="exact"/>
              <w:rPr>
                <w:sz w:val="1"/>
                <w:szCs w:val="1"/>
                <w:color w:val="auto"/>
              </w:rPr>
            </w:pPr>
          </w:p>
        </w:tc>
        <w:tc>
          <w:tcPr>
            <w:tcW w:w="20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color w:val="auto"/>
        </w:rPr>
        <w:t>NOTE M — OTHER COMPREHENSIVE INCOME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following table summarizes the tax effects on each component of Other Comprehensive Income for the periods presented (in thousands):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0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720" w:type="dxa"/>
            <w:vAlign w:val="bottom"/>
            <w:gridSpan w:val="9"/>
          </w:tcPr>
          <w:p>
            <w:pPr>
              <w:jc w:val="center"/>
              <w:ind w:right="320"/>
              <w:spacing w:after="0"/>
              <w:rPr>
                <w:sz w:val="20"/>
                <w:szCs w:val="20"/>
                <w:color w:val="auto"/>
              </w:rPr>
            </w:pPr>
            <w:r>
              <w:rPr>
                <w:rFonts w:ascii="Arial" w:cs="Arial" w:eastAsia="Arial" w:hAnsi="Arial"/>
                <w:sz w:val="18"/>
                <w:szCs w:val="18"/>
                <w:b w:val="1"/>
                <w:bCs w:val="1"/>
                <w:color w:val="auto"/>
                <w:w w:val="91"/>
              </w:rPr>
              <w:t>Three Months Ended September 30, 2023</w:t>
            </w:r>
          </w:p>
        </w:tc>
        <w:tc>
          <w:tcPr>
            <w:tcW w:w="0" w:type="dxa"/>
            <w:vAlign w:val="bottom"/>
          </w:tcPr>
          <w:p>
            <w:pPr>
              <w:spacing w:after="0"/>
              <w:rPr>
                <w:sz w:val="1"/>
                <w:szCs w:val="1"/>
                <w:color w:val="auto"/>
              </w:rPr>
            </w:pPr>
          </w:p>
        </w:tc>
      </w:tr>
      <w:tr>
        <w:trPr>
          <w:trHeight w:val="210"/>
        </w:trPr>
        <w:tc>
          <w:tcPr>
            <w:tcW w:w="390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gridSpan w:val="2"/>
          </w:tcPr>
          <w:p>
            <w:pPr>
              <w:ind w:left="100"/>
              <w:spacing w:after="0"/>
              <w:rPr>
                <w:sz w:val="20"/>
                <w:szCs w:val="20"/>
                <w:color w:val="auto"/>
              </w:rPr>
            </w:pPr>
            <w:r>
              <w:rPr>
                <w:rFonts w:ascii="Arial" w:cs="Arial" w:eastAsia="Arial" w:hAnsi="Arial"/>
                <w:sz w:val="18"/>
                <w:szCs w:val="18"/>
                <w:b w:val="1"/>
                <w:bCs w:val="1"/>
                <w:color w:val="auto"/>
              </w:rPr>
              <w:t>Before-Tax</w:t>
            </w:r>
          </w:p>
        </w:tc>
        <w:tc>
          <w:tcPr>
            <w:tcW w:w="34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gridSpan w:val="2"/>
          </w:tcPr>
          <w:p>
            <w:pPr>
              <w:jc w:val="right"/>
              <w:ind w:right="700"/>
              <w:spacing w:after="0"/>
              <w:rPr>
                <w:sz w:val="20"/>
                <w:szCs w:val="20"/>
                <w:color w:val="auto"/>
              </w:rPr>
            </w:pPr>
            <w:r>
              <w:rPr>
                <w:rFonts w:ascii="Arial" w:cs="Arial" w:eastAsia="Arial" w:hAnsi="Arial"/>
                <w:sz w:val="18"/>
                <w:szCs w:val="18"/>
                <w:b w:val="1"/>
                <w:bCs w:val="1"/>
                <w:color w:val="auto"/>
              </w:rPr>
              <w:t>Tax</w:t>
            </w:r>
          </w:p>
        </w:tc>
        <w:tc>
          <w:tcPr>
            <w:tcW w:w="8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Net-of-Tax</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90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Cash flow hedges</w:t>
            </w:r>
          </w:p>
        </w:tc>
        <w:tc>
          <w:tcPr>
            <w:tcW w:w="2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900" w:type="dxa"/>
            <w:vAlign w:val="bottom"/>
            <w:shd w:val="clear" w:color="auto" w:fill="CCEEFF"/>
          </w:tcPr>
          <w:p>
            <w:pPr>
              <w:spacing w:after="0" w:line="20" w:lineRule="exact"/>
              <w:rPr>
                <w:sz w:val="1"/>
                <w:szCs w:val="1"/>
                <w:color w:val="auto"/>
              </w:rPr>
            </w:pPr>
          </w:p>
        </w:tc>
        <w:tc>
          <w:tcPr>
            <w:tcW w:w="24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80" w:type="dxa"/>
            <w:vAlign w:val="bottom"/>
            <w:tcBorders>
              <w:right w:val="single" w:sz="8" w:color="CCEEFF"/>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900" w:type="dxa"/>
            <w:vAlign w:val="bottom"/>
          </w:tcPr>
          <w:p>
            <w:pPr>
              <w:spacing w:after="0"/>
              <w:rPr>
                <w:sz w:val="20"/>
                <w:szCs w:val="20"/>
                <w:color w:val="auto"/>
              </w:rPr>
            </w:pPr>
            <w:r>
              <w:rPr>
                <w:rFonts w:ascii="Arial" w:cs="Arial" w:eastAsia="Arial" w:hAnsi="Arial"/>
                <w:sz w:val="18"/>
                <w:szCs w:val="18"/>
                <w:b w:val="1"/>
                <w:bCs w:val="1"/>
                <w:color w:val="auto"/>
              </w:rPr>
              <w:t>Other comprehensive income</w:t>
            </w:r>
          </w:p>
        </w:tc>
        <w:tc>
          <w:tcPr>
            <w:tcW w:w="26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6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46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90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720" w:type="dxa"/>
            <w:vAlign w:val="bottom"/>
            <w:gridSpan w:val="9"/>
          </w:tcPr>
          <w:p>
            <w:pPr>
              <w:jc w:val="center"/>
              <w:ind w:right="320"/>
              <w:spacing w:after="0"/>
              <w:rPr>
                <w:sz w:val="20"/>
                <w:szCs w:val="20"/>
                <w:color w:val="auto"/>
              </w:rPr>
            </w:pPr>
            <w:r>
              <w:rPr>
                <w:rFonts w:ascii="Arial" w:cs="Arial" w:eastAsia="Arial" w:hAnsi="Arial"/>
                <w:sz w:val="18"/>
                <w:szCs w:val="18"/>
                <w:b w:val="1"/>
                <w:bCs w:val="1"/>
                <w:color w:val="auto"/>
                <w:w w:val="91"/>
              </w:rPr>
              <w:t>Three Months Ended September 30, 2022</w:t>
            </w:r>
          </w:p>
        </w:tc>
        <w:tc>
          <w:tcPr>
            <w:tcW w:w="0" w:type="dxa"/>
            <w:vAlign w:val="bottom"/>
          </w:tcPr>
          <w:p>
            <w:pPr>
              <w:spacing w:after="0"/>
              <w:rPr>
                <w:sz w:val="1"/>
                <w:szCs w:val="1"/>
                <w:color w:val="auto"/>
              </w:rPr>
            </w:pPr>
          </w:p>
        </w:tc>
      </w:tr>
      <w:tr>
        <w:trPr>
          <w:trHeight w:val="209"/>
        </w:trPr>
        <w:tc>
          <w:tcPr>
            <w:tcW w:w="390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gridSpan w:val="2"/>
          </w:tcPr>
          <w:p>
            <w:pPr>
              <w:ind w:left="100"/>
              <w:spacing w:after="0"/>
              <w:rPr>
                <w:sz w:val="20"/>
                <w:szCs w:val="20"/>
                <w:color w:val="auto"/>
              </w:rPr>
            </w:pPr>
            <w:r>
              <w:rPr>
                <w:rFonts w:ascii="Arial" w:cs="Arial" w:eastAsia="Arial" w:hAnsi="Arial"/>
                <w:sz w:val="18"/>
                <w:szCs w:val="18"/>
                <w:b w:val="1"/>
                <w:bCs w:val="1"/>
                <w:color w:val="auto"/>
              </w:rPr>
              <w:t>Before-Tax</w:t>
            </w:r>
          </w:p>
        </w:tc>
        <w:tc>
          <w:tcPr>
            <w:tcW w:w="34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gridSpan w:val="2"/>
          </w:tcPr>
          <w:p>
            <w:pPr>
              <w:jc w:val="right"/>
              <w:ind w:right="700"/>
              <w:spacing w:after="0"/>
              <w:rPr>
                <w:sz w:val="20"/>
                <w:szCs w:val="20"/>
                <w:color w:val="auto"/>
              </w:rPr>
            </w:pPr>
            <w:r>
              <w:rPr>
                <w:rFonts w:ascii="Arial" w:cs="Arial" w:eastAsia="Arial" w:hAnsi="Arial"/>
                <w:sz w:val="18"/>
                <w:szCs w:val="18"/>
                <w:b w:val="1"/>
                <w:bCs w:val="1"/>
                <w:color w:val="auto"/>
              </w:rPr>
              <w:t>Tax</w:t>
            </w:r>
          </w:p>
        </w:tc>
        <w:tc>
          <w:tcPr>
            <w:tcW w:w="8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Net-of-Tax</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90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Cash flow hedges</w:t>
            </w:r>
          </w:p>
        </w:tc>
        <w:tc>
          <w:tcPr>
            <w:tcW w:w="2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2,081</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(503)</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1,578</w:t>
            </w:r>
          </w:p>
        </w:tc>
        <w:tc>
          <w:tcPr>
            <w:tcW w:w="0" w:type="dxa"/>
            <w:vAlign w:val="bottom"/>
          </w:tcPr>
          <w:p>
            <w:pPr>
              <w:spacing w:after="0"/>
              <w:rPr>
                <w:sz w:val="1"/>
                <w:szCs w:val="1"/>
                <w:color w:val="auto"/>
              </w:rPr>
            </w:pPr>
          </w:p>
        </w:tc>
      </w:tr>
      <w:tr>
        <w:trPr>
          <w:trHeight w:val="20"/>
        </w:trPr>
        <w:tc>
          <w:tcPr>
            <w:tcW w:w="3900" w:type="dxa"/>
            <w:vAlign w:val="bottom"/>
            <w:shd w:val="clear" w:color="auto" w:fill="CCEEFF"/>
          </w:tcPr>
          <w:p>
            <w:pPr>
              <w:spacing w:after="0" w:line="20" w:lineRule="exact"/>
              <w:rPr>
                <w:sz w:val="1"/>
                <w:szCs w:val="1"/>
                <w:color w:val="auto"/>
              </w:rPr>
            </w:pPr>
          </w:p>
        </w:tc>
        <w:tc>
          <w:tcPr>
            <w:tcW w:w="24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80" w:type="dxa"/>
            <w:vAlign w:val="bottom"/>
            <w:tcBorders>
              <w:right w:val="single" w:sz="8" w:color="CCEEFF"/>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900" w:type="dxa"/>
            <w:vAlign w:val="bottom"/>
          </w:tcPr>
          <w:p>
            <w:pPr>
              <w:spacing w:after="0"/>
              <w:rPr>
                <w:sz w:val="20"/>
                <w:szCs w:val="20"/>
                <w:color w:val="auto"/>
              </w:rPr>
            </w:pPr>
            <w:r>
              <w:rPr>
                <w:rFonts w:ascii="Arial" w:cs="Arial" w:eastAsia="Arial" w:hAnsi="Arial"/>
                <w:sz w:val="18"/>
                <w:szCs w:val="18"/>
                <w:b w:val="1"/>
                <w:bCs w:val="1"/>
                <w:color w:val="auto"/>
              </w:rPr>
              <w:t>Other comprehensive income</w:t>
            </w:r>
          </w:p>
        </w:tc>
        <w:tc>
          <w:tcPr>
            <w:tcW w:w="26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2,081</w:t>
            </w:r>
          </w:p>
        </w:tc>
        <w:tc>
          <w:tcPr>
            <w:tcW w:w="220" w:type="dxa"/>
            <w:vAlign w:val="bottom"/>
          </w:tcPr>
          <w:p>
            <w:pPr>
              <w:spacing w:after="0"/>
              <w:rPr>
                <w:sz w:val="18"/>
                <w:szCs w:val="18"/>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(503)</w:t>
            </w: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1,578</w:t>
            </w: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6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46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90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720" w:type="dxa"/>
            <w:vAlign w:val="bottom"/>
            <w:gridSpan w:val="9"/>
          </w:tcPr>
          <w:p>
            <w:pPr>
              <w:jc w:val="center"/>
              <w:ind w:right="320"/>
              <w:spacing w:after="0"/>
              <w:rPr>
                <w:sz w:val="20"/>
                <w:szCs w:val="20"/>
                <w:color w:val="auto"/>
              </w:rPr>
            </w:pPr>
            <w:r>
              <w:rPr>
                <w:rFonts w:ascii="Arial" w:cs="Arial" w:eastAsia="Arial" w:hAnsi="Arial"/>
                <w:sz w:val="18"/>
                <w:szCs w:val="18"/>
                <w:b w:val="1"/>
                <w:bCs w:val="1"/>
                <w:color w:val="auto"/>
                <w:w w:val="89"/>
              </w:rPr>
              <w:t>Six Months Ended September 30, 2023</w:t>
            </w:r>
          </w:p>
        </w:tc>
        <w:tc>
          <w:tcPr>
            <w:tcW w:w="0" w:type="dxa"/>
            <w:vAlign w:val="bottom"/>
          </w:tcPr>
          <w:p>
            <w:pPr>
              <w:spacing w:after="0"/>
              <w:rPr>
                <w:sz w:val="1"/>
                <w:szCs w:val="1"/>
                <w:color w:val="auto"/>
              </w:rPr>
            </w:pPr>
          </w:p>
        </w:tc>
      </w:tr>
      <w:tr>
        <w:trPr>
          <w:trHeight w:val="210"/>
        </w:trPr>
        <w:tc>
          <w:tcPr>
            <w:tcW w:w="390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gridSpan w:val="2"/>
          </w:tcPr>
          <w:p>
            <w:pPr>
              <w:ind w:left="100"/>
              <w:spacing w:after="0"/>
              <w:rPr>
                <w:sz w:val="20"/>
                <w:szCs w:val="20"/>
                <w:color w:val="auto"/>
              </w:rPr>
            </w:pPr>
            <w:r>
              <w:rPr>
                <w:rFonts w:ascii="Arial" w:cs="Arial" w:eastAsia="Arial" w:hAnsi="Arial"/>
                <w:sz w:val="18"/>
                <w:szCs w:val="18"/>
                <w:b w:val="1"/>
                <w:bCs w:val="1"/>
                <w:color w:val="auto"/>
              </w:rPr>
              <w:t>Before-Tax</w:t>
            </w:r>
          </w:p>
        </w:tc>
        <w:tc>
          <w:tcPr>
            <w:tcW w:w="34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gridSpan w:val="2"/>
          </w:tcPr>
          <w:p>
            <w:pPr>
              <w:jc w:val="right"/>
              <w:ind w:right="700"/>
              <w:spacing w:after="0"/>
              <w:rPr>
                <w:sz w:val="20"/>
                <w:szCs w:val="20"/>
                <w:color w:val="auto"/>
              </w:rPr>
            </w:pPr>
            <w:r>
              <w:rPr>
                <w:rFonts w:ascii="Arial" w:cs="Arial" w:eastAsia="Arial" w:hAnsi="Arial"/>
                <w:sz w:val="18"/>
                <w:szCs w:val="18"/>
                <w:b w:val="1"/>
                <w:bCs w:val="1"/>
                <w:color w:val="auto"/>
              </w:rPr>
              <w:t>Tax</w:t>
            </w:r>
          </w:p>
        </w:tc>
        <w:tc>
          <w:tcPr>
            <w:tcW w:w="8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Net-of-Tax</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90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Cash flow hedges</w:t>
            </w:r>
          </w:p>
        </w:tc>
        <w:tc>
          <w:tcPr>
            <w:tcW w:w="2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418</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(101)</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317</w:t>
            </w:r>
          </w:p>
        </w:tc>
        <w:tc>
          <w:tcPr>
            <w:tcW w:w="0" w:type="dxa"/>
            <w:vAlign w:val="bottom"/>
          </w:tcPr>
          <w:p>
            <w:pPr>
              <w:spacing w:after="0"/>
              <w:rPr>
                <w:sz w:val="1"/>
                <w:szCs w:val="1"/>
                <w:color w:val="auto"/>
              </w:rPr>
            </w:pPr>
          </w:p>
        </w:tc>
      </w:tr>
      <w:tr>
        <w:trPr>
          <w:trHeight w:val="20"/>
        </w:trPr>
        <w:tc>
          <w:tcPr>
            <w:tcW w:w="3900" w:type="dxa"/>
            <w:vAlign w:val="bottom"/>
            <w:shd w:val="clear" w:color="auto" w:fill="CCEEFF"/>
          </w:tcPr>
          <w:p>
            <w:pPr>
              <w:spacing w:after="0" w:line="20" w:lineRule="exact"/>
              <w:rPr>
                <w:sz w:val="1"/>
                <w:szCs w:val="1"/>
                <w:color w:val="auto"/>
              </w:rPr>
            </w:pPr>
          </w:p>
        </w:tc>
        <w:tc>
          <w:tcPr>
            <w:tcW w:w="24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80" w:type="dxa"/>
            <w:vAlign w:val="bottom"/>
            <w:tcBorders>
              <w:right w:val="single" w:sz="8" w:color="CCEEFF"/>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900" w:type="dxa"/>
            <w:vAlign w:val="bottom"/>
          </w:tcPr>
          <w:p>
            <w:pPr>
              <w:spacing w:after="0"/>
              <w:rPr>
                <w:sz w:val="20"/>
                <w:szCs w:val="20"/>
                <w:color w:val="auto"/>
              </w:rPr>
            </w:pPr>
            <w:r>
              <w:rPr>
                <w:rFonts w:ascii="Arial" w:cs="Arial" w:eastAsia="Arial" w:hAnsi="Arial"/>
                <w:sz w:val="18"/>
                <w:szCs w:val="18"/>
                <w:b w:val="1"/>
                <w:bCs w:val="1"/>
                <w:color w:val="auto"/>
              </w:rPr>
              <w:t>Other comprehensive income</w:t>
            </w:r>
          </w:p>
        </w:tc>
        <w:tc>
          <w:tcPr>
            <w:tcW w:w="26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418</w:t>
            </w:r>
          </w:p>
        </w:tc>
        <w:tc>
          <w:tcPr>
            <w:tcW w:w="220" w:type="dxa"/>
            <w:vAlign w:val="bottom"/>
          </w:tcPr>
          <w:p>
            <w:pPr>
              <w:spacing w:after="0"/>
              <w:rPr>
                <w:sz w:val="18"/>
                <w:szCs w:val="18"/>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(101)</w:t>
            </w: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317</w:t>
            </w: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6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46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90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720" w:type="dxa"/>
            <w:vAlign w:val="bottom"/>
            <w:gridSpan w:val="9"/>
          </w:tcPr>
          <w:p>
            <w:pPr>
              <w:jc w:val="center"/>
              <w:ind w:right="320"/>
              <w:spacing w:after="0"/>
              <w:rPr>
                <w:sz w:val="20"/>
                <w:szCs w:val="20"/>
                <w:color w:val="auto"/>
              </w:rPr>
            </w:pPr>
            <w:r>
              <w:rPr>
                <w:rFonts w:ascii="Arial" w:cs="Arial" w:eastAsia="Arial" w:hAnsi="Arial"/>
                <w:sz w:val="18"/>
                <w:szCs w:val="18"/>
                <w:b w:val="1"/>
                <w:bCs w:val="1"/>
                <w:color w:val="auto"/>
                <w:w w:val="89"/>
              </w:rPr>
              <w:t>Six Months Ended September 30, 2022</w:t>
            </w:r>
          </w:p>
        </w:tc>
        <w:tc>
          <w:tcPr>
            <w:tcW w:w="0" w:type="dxa"/>
            <w:vAlign w:val="bottom"/>
          </w:tcPr>
          <w:p>
            <w:pPr>
              <w:spacing w:after="0"/>
              <w:rPr>
                <w:sz w:val="1"/>
                <w:szCs w:val="1"/>
                <w:color w:val="auto"/>
              </w:rPr>
            </w:pPr>
          </w:p>
        </w:tc>
      </w:tr>
      <w:tr>
        <w:trPr>
          <w:trHeight w:val="210"/>
        </w:trPr>
        <w:tc>
          <w:tcPr>
            <w:tcW w:w="390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gridSpan w:val="2"/>
          </w:tcPr>
          <w:p>
            <w:pPr>
              <w:ind w:left="100"/>
              <w:spacing w:after="0"/>
              <w:rPr>
                <w:sz w:val="20"/>
                <w:szCs w:val="20"/>
                <w:color w:val="auto"/>
              </w:rPr>
            </w:pPr>
            <w:r>
              <w:rPr>
                <w:rFonts w:ascii="Arial" w:cs="Arial" w:eastAsia="Arial" w:hAnsi="Arial"/>
                <w:sz w:val="18"/>
                <w:szCs w:val="18"/>
                <w:b w:val="1"/>
                <w:bCs w:val="1"/>
                <w:color w:val="auto"/>
              </w:rPr>
              <w:t>Before-Tax</w:t>
            </w:r>
          </w:p>
        </w:tc>
        <w:tc>
          <w:tcPr>
            <w:tcW w:w="34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gridSpan w:val="2"/>
          </w:tcPr>
          <w:p>
            <w:pPr>
              <w:jc w:val="right"/>
              <w:ind w:right="700"/>
              <w:spacing w:after="0"/>
              <w:rPr>
                <w:sz w:val="20"/>
                <w:szCs w:val="20"/>
                <w:color w:val="auto"/>
              </w:rPr>
            </w:pPr>
            <w:r>
              <w:rPr>
                <w:rFonts w:ascii="Arial" w:cs="Arial" w:eastAsia="Arial" w:hAnsi="Arial"/>
                <w:sz w:val="18"/>
                <w:szCs w:val="18"/>
                <w:b w:val="1"/>
                <w:bCs w:val="1"/>
                <w:color w:val="auto"/>
              </w:rPr>
              <w:t>Tax</w:t>
            </w:r>
          </w:p>
        </w:tc>
        <w:tc>
          <w:tcPr>
            <w:tcW w:w="8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Net-of-Tax</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90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Cash flow hedges</w:t>
            </w:r>
          </w:p>
        </w:tc>
        <w:tc>
          <w:tcPr>
            <w:tcW w:w="2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11,540</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(2,788)</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8,752</w:t>
            </w:r>
          </w:p>
        </w:tc>
        <w:tc>
          <w:tcPr>
            <w:tcW w:w="0" w:type="dxa"/>
            <w:vAlign w:val="bottom"/>
          </w:tcPr>
          <w:p>
            <w:pPr>
              <w:spacing w:after="0"/>
              <w:rPr>
                <w:sz w:val="1"/>
                <w:szCs w:val="1"/>
                <w:color w:val="auto"/>
              </w:rPr>
            </w:pPr>
          </w:p>
        </w:tc>
      </w:tr>
      <w:tr>
        <w:trPr>
          <w:trHeight w:val="20"/>
        </w:trPr>
        <w:tc>
          <w:tcPr>
            <w:tcW w:w="3900" w:type="dxa"/>
            <w:vAlign w:val="bottom"/>
            <w:shd w:val="clear" w:color="auto" w:fill="CCEEFF"/>
          </w:tcPr>
          <w:p>
            <w:pPr>
              <w:spacing w:after="0" w:line="20" w:lineRule="exact"/>
              <w:rPr>
                <w:sz w:val="1"/>
                <w:szCs w:val="1"/>
                <w:color w:val="auto"/>
              </w:rPr>
            </w:pPr>
          </w:p>
        </w:tc>
        <w:tc>
          <w:tcPr>
            <w:tcW w:w="24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80" w:type="dxa"/>
            <w:vAlign w:val="bottom"/>
            <w:tcBorders>
              <w:right w:val="single" w:sz="8" w:color="CCEEFF"/>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900" w:type="dxa"/>
            <w:vAlign w:val="bottom"/>
          </w:tcPr>
          <w:p>
            <w:pPr>
              <w:spacing w:after="0"/>
              <w:rPr>
                <w:sz w:val="20"/>
                <w:szCs w:val="20"/>
                <w:color w:val="auto"/>
              </w:rPr>
            </w:pPr>
            <w:r>
              <w:rPr>
                <w:rFonts w:ascii="Arial" w:cs="Arial" w:eastAsia="Arial" w:hAnsi="Arial"/>
                <w:sz w:val="18"/>
                <w:szCs w:val="18"/>
                <w:b w:val="1"/>
                <w:bCs w:val="1"/>
                <w:color w:val="auto"/>
              </w:rPr>
              <w:t>Other comprehensive income</w:t>
            </w:r>
          </w:p>
        </w:tc>
        <w:tc>
          <w:tcPr>
            <w:tcW w:w="26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11,540</w:t>
            </w:r>
          </w:p>
        </w:tc>
        <w:tc>
          <w:tcPr>
            <w:tcW w:w="220" w:type="dxa"/>
            <w:vAlign w:val="bottom"/>
          </w:tcPr>
          <w:p>
            <w:pPr>
              <w:spacing w:after="0"/>
              <w:rPr>
                <w:sz w:val="18"/>
                <w:szCs w:val="18"/>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(2,788)</w:t>
            </w: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8,752</w:t>
            </w: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2420" w:type="dxa"/>
            <w:vAlign w:val="bottom"/>
            <w:vMerge w:val="restart"/>
          </w:tcPr>
          <w:p>
            <w:pPr>
              <w:jc w:val="right"/>
              <w:ind w:right="510"/>
              <w:spacing w:after="0"/>
              <w:rPr>
                <w:sz w:val="20"/>
                <w:szCs w:val="20"/>
                <w:color w:val="auto"/>
              </w:rPr>
            </w:pPr>
            <w:r>
              <w:rPr>
                <w:rFonts w:ascii="Arial" w:cs="Arial" w:eastAsia="Arial" w:hAnsi="Arial"/>
                <w:sz w:val="18"/>
                <w:szCs w:val="18"/>
                <w:color w:val="auto"/>
              </w:rPr>
              <w:t>15</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900" w:type="dxa"/>
            <w:vAlign w:val="bottom"/>
          </w:tcPr>
          <w:p>
            <w:pPr>
              <w:spacing w:after="0"/>
              <w:rPr>
                <w:sz w:val="24"/>
                <w:szCs w:val="24"/>
                <w:color w:val="auto"/>
              </w:rPr>
            </w:pPr>
          </w:p>
        </w:tc>
        <w:tc>
          <w:tcPr>
            <w:tcW w:w="242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900" w:type="dxa"/>
            <w:vAlign w:val="bottom"/>
            <w:tcBorders>
              <w:bottom w:val="single" w:sz="8" w:color="auto"/>
            </w:tcBorders>
          </w:tcPr>
          <w:p>
            <w:pPr>
              <w:spacing w:after="0"/>
              <w:rPr>
                <w:sz w:val="10"/>
                <w:szCs w:val="10"/>
                <w:color w:val="auto"/>
              </w:rPr>
            </w:pPr>
          </w:p>
        </w:tc>
        <w:tc>
          <w:tcPr>
            <w:tcW w:w="242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2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2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08"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NOTE N — EARNINGS PER SHARE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Basic and dilutive net earnings per share is computed based on the following information (in thousands, except for share data):</w:t>
      </w:r>
    </w:p>
    <w:p>
      <w:pPr>
        <w:spacing w:after="0" w:line="221" w:lineRule="exact"/>
        <w:rPr>
          <w:sz w:val="20"/>
          <w:szCs w:val="20"/>
          <w:color w:val="auto"/>
        </w:rPr>
      </w:pPr>
    </w:p>
    <w:tbl>
      <w:tblPr>
        <w:tblLayout w:type="fixed"/>
        <w:tblInd w:w="840" w:type="dxa"/>
        <w:tblCellMar>
          <w:top w:w="0" w:type="dxa"/>
          <w:left w:w="0" w:type="dxa"/>
          <w:bottom w:w="0" w:type="dxa"/>
          <w:right w:w="0" w:type="dxa"/>
        </w:tblCellMar>
      </w:tblPr>
      <w:tr>
        <w:trPr>
          <w:trHeight w:val="216"/>
        </w:trPr>
        <w:tc>
          <w:tcPr>
            <w:tcW w:w="3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0" w:type="dxa"/>
            <w:vAlign w:val="bottom"/>
            <w:gridSpan w:val="5"/>
          </w:tcPr>
          <w:p>
            <w:pPr>
              <w:jc w:val="right"/>
              <w:ind w:right="700"/>
              <w:spacing w:after="0"/>
              <w:rPr>
                <w:sz w:val="20"/>
                <w:szCs w:val="20"/>
                <w:color w:val="auto"/>
              </w:rPr>
            </w:pPr>
            <w:r>
              <w:rPr>
                <w:rFonts w:ascii="Arial" w:cs="Arial" w:eastAsia="Arial" w:hAnsi="Arial"/>
                <w:sz w:val="18"/>
                <w:szCs w:val="18"/>
                <w:b w:val="1"/>
                <w:bCs w:val="1"/>
                <w:color w:val="auto"/>
              </w:rPr>
              <w:t>Three Months Ended</w:t>
            </w:r>
          </w:p>
        </w:tc>
        <w:tc>
          <w:tcPr>
            <w:tcW w:w="280" w:type="dxa"/>
            <w:vAlign w:val="bottom"/>
          </w:tcPr>
          <w:p>
            <w:pPr>
              <w:spacing w:after="0"/>
              <w:rPr>
                <w:sz w:val="18"/>
                <w:szCs w:val="18"/>
                <w:color w:val="auto"/>
              </w:rPr>
            </w:pPr>
          </w:p>
        </w:tc>
        <w:tc>
          <w:tcPr>
            <w:tcW w:w="2460" w:type="dxa"/>
            <w:vAlign w:val="bottom"/>
            <w:gridSpan w:val="5"/>
          </w:tcPr>
          <w:p>
            <w:pPr>
              <w:jc w:val="right"/>
              <w:ind w:right="700"/>
              <w:spacing w:after="0"/>
              <w:rPr>
                <w:sz w:val="20"/>
                <w:szCs w:val="20"/>
                <w:color w:val="auto"/>
              </w:rPr>
            </w:pPr>
            <w:r>
              <w:rPr>
                <w:rFonts w:ascii="Arial" w:cs="Arial" w:eastAsia="Arial" w:hAnsi="Arial"/>
                <w:sz w:val="18"/>
                <w:szCs w:val="18"/>
                <w:b w:val="1"/>
                <w:bCs w:val="1"/>
                <w:color w:val="auto"/>
              </w:rPr>
              <w:t>Six Months Ended</w:t>
            </w:r>
          </w:p>
        </w:tc>
      </w:tr>
      <w:tr>
        <w:trPr>
          <w:trHeight w:val="234"/>
        </w:trPr>
        <w:tc>
          <w:tcPr>
            <w:tcW w:w="39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40" w:type="dxa"/>
            <w:vAlign w:val="bottom"/>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7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60" w:type="dxa"/>
            <w:vAlign w:val="bottom"/>
            <w:gridSpan w:val="5"/>
          </w:tcPr>
          <w:p>
            <w:pPr>
              <w:jc w:val="right"/>
              <w:ind w:right="860"/>
              <w:spacing w:after="0"/>
              <w:rPr>
                <w:sz w:val="20"/>
                <w:szCs w:val="20"/>
                <w:color w:val="auto"/>
              </w:rPr>
            </w:pPr>
            <w:r>
              <w:rPr>
                <w:rFonts w:ascii="Arial" w:cs="Arial" w:eastAsia="Arial" w:hAnsi="Arial"/>
                <w:sz w:val="18"/>
                <w:szCs w:val="18"/>
                <w:b w:val="1"/>
                <w:bCs w:val="1"/>
                <w:color w:val="auto"/>
              </w:rPr>
              <w:t>September 30,</w:t>
            </w:r>
          </w:p>
        </w:tc>
      </w:tr>
      <w:tr>
        <w:trPr>
          <w:trHeight w:val="209"/>
        </w:trPr>
        <w:tc>
          <w:tcPr>
            <w:tcW w:w="394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2023</w:t>
            </w:r>
          </w:p>
        </w:tc>
        <w:tc>
          <w:tcPr>
            <w:tcW w:w="220" w:type="dxa"/>
            <w:vAlign w:val="bottom"/>
            <w:tcBorders>
              <w:top w:val="single" w:sz="8" w:color="auto"/>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w w:val="84"/>
              </w:rPr>
              <w:t>2022</w:t>
            </w:r>
          </w:p>
        </w:tc>
        <w:tc>
          <w:tcPr>
            <w:tcW w:w="180" w:type="dxa"/>
            <w:vAlign w:val="bottom"/>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2023</w:t>
            </w:r>
          </w:p>
        </w:tc>
        <w:tc>
          <w:tcPr>
            <w:tcW w:w="180" w:type="dxa"/>
            <w:vAlign w:val="bottom"/>
            <w:tcBorders>
              <w:top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2022</w:t>
            </w:r>
          </w:p>
        </w:tc>
        <w:tc>
          <w:tcPr>
            <w:tcW w:w="80" w:type="dxa"/>
            <w:vAlign w:val="bottom"/>
          </w:tcPr>
          <w:p>
            <w:pPr>
              <w:spacing w:after="0"/>
              <w:rPr>
                <w:sz w:val="18"/>
                <w:szCs w:val="18"/>
                <w:color w:val="auto"/>
              </w:rPr>
            </w:pPr>
          </w:p>
        </w:tc>
      </w:tr>
      <w:tr>
        <w:trPr>
          <w:trHeight w:val="210"/>
        </w:trPr>
        <w:tc>
          <w:tcPr>
            <w:tcW w:w="39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Numerator (basic and diluted)</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3940" w:type="dxa"/>
            <w:vAlign w:val="bottom"/>
          </w:tcPr>
          <w:p>
            <w:pPr>
              <w:ind w:left="20"/>
              <w:spacing w:after="0"/>
              <w:rPr>
                <w:sz w:val="20"/>
                <w:szCs w:val="20"/>
                <w:color w:val="auto"/>
              </w:rPr>
            </w:pPr>
            <w:r>
              <w:rPr>
                <w:rFonts w:ascii="Arial" w:cs="Arial" w:eastAsia="Arial" w:hAnsi="Arial"/>
                <w:sz w:val="18"/>
                <w:szCs w:val="18"/>
                <w:color w:val="auto"/>
              </w:rPr>
              <w:t>Net earnings</w:t>
            </w: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3,513</w:t>
            </w:r>
          </w:p>
        </w:tc>
        <w:tc>
          <w:tcPr>
            <w:tcW w:w="440" w:type="dxa"/>
            <w:vAlign w:val="bottom"/>
          </w:tcPr>
          <w:p>
            <w:pPr>
              <w:jc w:val="right"/>
              <w:ind w:right="287"/>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2,471</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11,203</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13,655</w:t>
            </w:r>
          </w:p>
        </w:tc>
      </w:tr>
      <w:tr>
        <w:trPr>
          <w:trHeight w:val="216"/>
        </w:trPr>
        <w:tc>
          <w:tcPr>
            <w:tcW w:w="39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Less: Allocation to unvested restricted stock units</w:t>
            </w: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41</w:t>
            </w:r>
          </w:p>
        </w:tc>
        <w:tc>
          <w:tcPr>
            <w:tcW w:w="4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42</w:t>
            </w: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131</w:t>
            </w: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236</w:t>
            </w:r>
          </w:p>
        </w:tc>
      </w:tr>
      <w:tr>
        <w:trPr>
          <w:trHeight w:val="20"/>
        </w:trPr>
        <w:tc>
          <w:tcPr>
            <w:tcW w:w="394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209"/>
        </w:trPr>
        <w:tc>
          <w:tcPr>
            <w:tcW w:w="3940" w:type="dxa"/>
            <w:vAlign w:val="bottom"/>
          </w:tcPr>
          <w:p>
            <w:pPr>
              <w:ind w:left="20"/>
              <w:spacing w:after="0"/>
              <w:rPr>
                <w:sz w:val="20"/>
                <w:szCs w:val="20"/>
                <w:color w:val="auto"/>
              </w:rPr>
            </w:pPr>
            <w:r>
              <w:rPr>
                <w:rFonts w:ascii="Arial" w:cs="Arial" w:eastAsia="Arial" w:hAnsi="Arial"/>
                <w:sz w:val="18"/>
                <w:szCs w:val="18"/>
                <w:color w:val="auto"/>
                <w:w w:val="97"/>
              </w:rPr>
              <w:t>Net earnings attributable to common shareholders</w:t>
            </w: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3,472</w:t>
            </w:r>
          </w:p>
        </w:tc>
        <w:tc>
          <w:tcPr>
            <w:tcW w:w="440" w:type="dxa"/>
            <w:vAlign w:val="bottom"/>
          </w:tcPr>
          <w:p>
            <w:pPr>
              <w:jc w:val="right"/>
              <w:ind w:right="287"/>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2,429</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11,072</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13,419</w:t>
            </w:r>
          </w:p>
        </w:tc>
      </w:tr>
      <w:tr>
        <w:trPr>
          <w:trHeight w:val="20"/>
        </w:trPr>
        <w:tc>
          <w:tcPr>
            <w:tcW w:w="39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7"/>
        </w:trPr>
        <w:tc>
          <w:tcPr>
            <w:tcW w:w="39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3940" w:type="dxa"/>
            <w:vAlign w:val="bottom"/>
          </w:tcPr>
          <w:p>
            <w:pPr>
              <w:ind w:left="20"/>
              <w:spacing w:after="0"/>
              <w:rPr>
                <w:sz w:val="20"/>
                <w:szCs w:val="20"/>
                <w:color w:val="auto"/>
              </w:rPr>
            </w:pPr>
            <w:r>
              <w:rPr>
                <w:rFonts w:ascii="Arial" w:cs="Arial" w:eastAsia="Arial" w:hAnsi="Arial"/>
                <w:sz w:val="18"/>
                <w:szCs w:val="18"/>
                <w:b w:val="1"/>
                <w:bCs w:val="1"/>
                <w:color w:val="auto"/>
              </w:rPr>
              <w:t>Denominator (basic and diluted)</w:t>
            </w: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6"/>
        </w:trPr>
        <w:tc>
          <w:tcPr>
            <w:tcW w:w="3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common shares outstanding</w:t>
            </w:r>
          </w:p>
        </w:tc>
        <w:tc>
          <w:tcPr>
            <w:tcW w:w="26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7,288,906</w:t>
            </w:r>
          </w:p>
        </w:tc>
        <w:tc>
          <w:tcPr>
            <w:tcW w:w="44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4"/>
              </w:rPr>
              <w:t>7,243,080</w:t>
            </w:r>
          </w:p>
        </w:tc>
        <w:tc>
          <w:tcPr>
            <w:tcW w:w="28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7,288,906</w:t>
            </w:r>
          </w:p>
        </w:tc>
        <w:tc>
          <w:tcPr>
            <w:tcW w:w="28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7,157,073</w:t>
            </w:r>
          </w:p>
        </w:tc>
      </w:tr>
      <w:tr>
        <w:trPr>
          <w:trHeight w:val="20"/>
        </w:trPr>
        <w:tc>
          <w:tcPr>
            <w:tcW w:w="39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ind w:left="440"/>
        <w:spacing w:after="0"/>
        <w:rPr>
          <w:sz w:val="20"/>
          <w:szCs w:val="20"/>
          <w:color w:val="auto"/>
        </w:rPr>
      </w:pPr>
      <w:r>
        <w:rPr>
          <w:rFonts w:ascii="Arial" w:cs="Arial" w:eastAsia="Arial" w:hAnsi="Arial"/>
          <w:sz w:val="16"/>
          <w:szCs w:val="16"/>
          <w:color w:val="auto"/>
        </w:rPr>
        <w:t>For the six months ended September 30, 2023 and 2022, the Company allocated dividends and undistributed earnings to the unvested restricted stock</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units.</w:t>
      </w:r>
    </w:p>
    <w:p>
      <w:pPr>
        <w:spacing w:after="0" w:line="211" w:lineRule="exact"/>
        <w:rPr>
          <w:sz w:val="20"/>
          <w:szCs w:val="20"/>
          <w:color w:val="auto"/>
        </w:rPr>
      </w:pPr>
    </w:p>
    <w:p>
      <w:pPr>
        <w:jc w:val="both"/>
        <w:ind w:right="20" w:firstLine="441"/>
        <w:spacing w:after="0" w:line="277" w:lineRule="auto"/>
        <w:rPr>
          <w:sz w:val="20"/>
          <w:szCs w:val="20"/>
          <w:color w:val="auto"/>
        </w:rPr>
      </w:pPr>
      <w:r>
        <w:rPr>
          <w:rFonts w:ascii="Arial" w:cs="Arial" w:eastAsia="Arial" w:hAnsi="Arial"/>
          <w:sz w:val="18"/>
          <w:szCs w:val="18"/>
          <w:color w:val="auto"/>
        </w:rPr>
        <w:t>As the restricted stock qualifies as participating securities, the following restricted stock units were not accounted in the computation of weighted average diluted common shares outstanding under the two-class method:</w:t>
      </w:r>
    </w:p>
    <w:p>
      <w:pPr>
        <w:spacing w:after="0" w:line="166" w:lineRule="exact"/>
        <w:rPr>
          <w:sz w:val="20"/>
          <w:szCs w:val="20"/>
          <w:color w:val="auto"/>
        </w:rPr>
      </w:pPr>
    </w:p>
    <w:tbl>
      <w:tblPr>
        <w:tblLayout w:type="fixed"/>
        <w:tblInd w:w="840" w:type="dxa"/>
        <w:tblCellMar>
          <w:top w:w="0" w:type="dxa"/>
          <w:left w:w="0" w:type="dxa"/>
          <w:bottom w:w="0" w:type="dxa"/>
          <w:right w:w="0" w:type="dxa"/>
        </w:tblCellMar>
      </w:tblPr>
      <w:tr>
        <w:trPr>
          <w:trHeight w:val="216"/>
        </w:trPr>
        <w:tc>
          <w:tcPr>
            <w:tcW w:w="3940" w:type="dxa"/>
            <w:vAlign w:val="bottom"/>
          </w:tcPr>
          <w:p>
            <w:pPr>
              <w:spacing w:after="0"/>
              <w:rPr>
                <w:sz w:val="18"/>
                <w:szCs w:val="18"/>
                <w:color w:val="auto"/>
              </w:rPr>
            </w:pPr>
          </w:p>
        </w:tc>
        <w:tc>
          <w:tcPr>
            <w:tcW w:w="2860" w:type="dxa"/>
            <w:vAlign w:val="bottom"/>
            <w:gridSpan w:val="5"/>
          </w:tcPr>
          <w:p>
            <w:pPr>
              <w:jc w:val="center"/>
              <w:ind w:right="180"/>
              <w:spacing w:after="0"/>
              <w:rPr>
                <w:sz w:val="20"/>
                <w:szCs w:val="20"/>
                <w:color w:val="auto"/>
              </w:rPr>
            </w:pPr>
            <w:r>
              <w:rPr>
                <w:rFonts w:ascii="Arial" w:cs="Arial" w:eastAsia="Arial" w:hAnsi="Arial"/>
                <w:sz w:val="18"/>
                <w:szCs w:val="18"/>
                <w:b w:val="1"/>
                <w:bCs w:val="1"/>
                <w:color w:val="auto"/>
                <w:w w:val="92"/>
              </w:rPr>
              <w:t>Three Months Ended</w:t>
            </w:r>
          </w:p>
        </w:tc>
        <w:tc>
          <w:tcPr>
            <w:tcW w:w="2740" w:type="dxa"/>
            <w:vAlign w:val="bottom"/>
            <w:gridSpan w:val="4"/>
          </w:tcPr>
          <w:p>
            <w:pPr>
              <w:jc w:val="center"/>
              <w:ind w:right="80"/>
              <w:spacing w:after="0"/>
              <w:rPr>
                <w:sz w:val="20"/>
                <w:szCs w:val="20"/>
                <w:color w:val="auto"/>
              </w:rPr>
            </w:pPr>
            <w:r>
              <w:rPr>
                <w:rFonts w:ascii="Arial" w:cs="Arial" w:eastAsia="Arial" w:hAnsi="Arial"/>
                <w:sz w:val="18"/>
                <w:szCs w:val="18"/>
                <w:b w:val="1"/>
                <w:bCs w:val="1"/>
                <w:color w:val="auto"/>
                <w:w w:val="90"/>
              </w:rPr>
              <w:t>Six Months Ended</w:t>
            </w:r>
          </w:p>
        </w:tc>
      </w:tr>
      <w:tr>
        <w:trPr>
          <w:trHeight w:val="234"/>
        </w:trPr>
        <w:tc>
          <w:tcPr>
            <w:tcW w:w="3940" w:type="dxa"/>
            <w:vAlign w:val="bottom"/>
          </w:tcPr>
          <w:p>
            <w:pPr>
              <w:spacing w:after="0"/>
              <w:rPr>
                <w:sz w:val="20"/>
                <w:szCs w:val="20"/>
                <w:color w:val="auto"/>
              </w:rPr>
            </w:pPr>
          </w:p>
        </w:tc>
        <w:tc>
          <w:tcPr>
            <w:tcW w:w="1900" w:type="dxa"/>
            <w:vAlign w:val="bottom"/>
            <w:gridSpan w:val="3"/>
          </w:tcPr>
          <w:p>
            <w:pPr>
              <w:jc w:val="center"/>
              <w:ind w:left="710"/>
              <w:spacing w:after="0"/>
              <w:rPr>
                <w:sz w:val="20"/>
                <w:szCs w:val="20"/>
                <w:color w:val="auto"/>
              </w:rPr>
            </w:pPr>
            <w:r>
              <w:rPr>
                <w:rFonts w:ascii="Arial" w:cs="Arial" w:eastAsia="Arial" w:hAnsi="Arial"/>
                <w:sz w:val="18"/>
                <w:szCs w:val="18"/>
                <w:b w:val="1"/>
                <w:bCs w:val="1"/>
                <w:color w:val="auto"/>
                <w:w w:val="89"/>
              </w:rPr>
              <w:t>September 30,</w:t>
            </w:r>
          </w:p>
        </w:tc>
        <w:tc>
          <w:tcPr>
            <w:tcW w:w="7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740" w:type="dxa"/>
            <w:vAlign w:val="bottom"/>
            <w:gridSpan w:val="4"/>
          </w:tcPr>
          <w:p>
            <w:pPr>
              <w:jc w:val="center"/>
              <w:ind w:right="80"/>
              <w:spacing w:after="0"/>
              <w:rPr>
                <w:sz w:val="20"/>
                <w:szCs w:val="20"/>
                <w:color w:val="auto"/>
              </w:rPr>
            </w:pPr>
            <w:r>
              <w:rPr>
                <w:rFonts w:ascii="Arial" w:cs="Arial" w:eastAsia="Arial" w:hAnsi="Arial"/>
                <w:sz w:val="18"/>
                <w:szCs w:val="18"/>
                <w:b w:val="1"/>
                <w:bCs w:val="1"/>
                <w:color w:val="auto"/>
                <w:w w:val="89"/>
              </w:rPr>
              <w:t>September 30,</w:t>
            </w:r>
          </w:p>
        </w:tc>
      </w:tr>
      <w:tr>
        <w:trPr>
          <w:trHeight w:val="209"/>
        </w:trPr>
        <w:tc>
          <w:tcPr>
            <w:tcW w:w="3940" w:type="dxa"/>
            <w:vAlign w:val="bottom"/>
          </w:tcPr>
          <w:p>
            <w:pPr>
              <w:spacing w:after="0"/>
              <w:rPr>
                <w:sz w:val="18"/>
                <w:szCs w:val="18"/>
                <w:color w:val="auto"/>
              </w:rPr>
            </w:pPr>
          </w:p>
        </w:tc>
        <w:tc>
          <w:tcPr>
            <w:tcW w:w="124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2023</w:t>
            </w:r>
          </w:p>
        </w:tc>
        <w:tc>
          <w:tcPr>
            <w:tcW w:w="220" w:type="dxa"/>
            <w:vAlign w:val="bottom"/>
            <w:tcBorders>
              <w:top w:val="single" w:sz="8" w:color="auto"/>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w w:val="84"/>
              </w:rPr>
              <w:t>2022</w:t>
            </w:r>
          </w:p>
        </w:tc>
        <w:tc>
          <w:tcPr>
            <w:tcW w:w="180" w:type="dxa"/>
            <w:vAlign w:val="bottom"/>
          </w:tcPr>
          <w:p>
            <w:pPr>
              <w:spacing w:after="0"/>
              <w:rPr>
                <w:sz w:val="18"/>
                <w:szCs w:val="18"/>
                <w:color w:val="auto"/>
              </w:rPr>
            </w:pPr>
          </w:p>
        </w:tc>
        <w:tc>
          <w:tcPr>
            <w:tcW w:w="124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2023</w:t>
            </w:r>
          </w:p>
        </w:tc>
        <w:tc>
          <w:tcPr>
            <w:tcW w:w="180" w:type="dxa"/>
            <w:vAlign w:val="bottom"/>
            <w:tcBorders>
              <w:top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2022</w:t>
            </w:r>
          </w:p>
        </w:tc>
        <w:tc>
          <w:tcPr>
            <w:tcW w:w="80" w:type="dxa"/>
            <w:vAlign w:val="bottom"/>
          </w:tcPr>
          <w:p>
            <w:pPr>
              <w:spacing w:after="0"/>
              <w:rPr>
                <w:sz w:val="18"/>
                <w:szCs w:val="18"/>
                <w:color w:val="auto"/>
              </w:rPr>
            </w:pPr>
          </w:p>
        </w:tc>
      </w:tr>
      <w:tr>
        <w:trPr>
          <w:trHeight w:val="210"/>
        </w:trPr>
        <w:tc>
          <w:tcPr>
            <w:tcW w:w="39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Restricted Stock Units</w:t>
            </w:r>
          </w:p>
        </w:tc>
        <w:tc>
          <w:tcPr>
            <w:tcW w:w="1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72,910</w:t>
            </w:r>
          </w:p>
        </w:tc>
        <w:tc>
          <w:tcPr>
            <w:tcW w:w="4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76,811</w:t>
            </w: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67,712</w:t>
            </w:r>
          </w:p>
        </w:tc>
        <w:tc>
          <w:tcPr>
            <w:tcW w:w="1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73,211</w:t>
            </w:r>
          </w:p>
        </w:tc>
      </w:tr>
    </w:tbl>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NOTE O — SUPPLEMENTAL CASH FLOW INFORMATION</w:t>
      </w:r>
    </w:p>
    <w:p>
      <w:pPr>
        <w:spacing w:after="0" w:line="225" w:lineRule="exact"/>
        <w:rPr>
          <w:sz w:val="20"/>
          <w:szCs w:val="20"/>
          <w:color w:val="auto"/>
        </w:rPr>
      </w:pPr>
    </w:p>
    <w:p>
      <w:pPr>
        <w:jc w:val="both"/>
        <w:ind w:firstLine="441"/>
        <w:spacing w:after="0" w:line="259" w:lineRule="auto"/>
        <w:rPr>
          <w:sz w:val="20"/>
          <w:szCs w:val="20"/>
          <w:color w:val="auto"/>
        </w:rPr>
      </w:pPr>
      <w:r>
        <w:rPr>
          <w:rFonts w:ascii="Arial" w:cs="Arial" w:eastAsia="Arial" w:hAnsi="Arial"/>
          <w:sz w:val="18"/>
          <w:szCs w:val="18"/>
          <w:color w:val="auto"/>
        </w:rPr>
        <w:t>The Company paid interest of approximately $1.2 million and $0.6 million during the six months ended September 30, 2023 and 2022, respectively. Additionally, the Company paid income taxes of approximately $2.7 million and $0.4 million during the six months ended September 30, 2023 and 2022, respectively. During the six months ended September 30, 2022, the Company issued 516,041 shares of common stock as part of the Plateplus business combination resulting in non-cash investing activity of approximately $4.8 million.</w:t>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color w:val="auto"/>
        </w:rPr>
        <w:t>NOTE P — INCOME TAXES</w:t>
      </w:r>
    </w:p>
    <w:p>
      <w:pPr>
        <w:spacing w:after="0" w:line="225" w:lineRule="exact"/>
        <w:rPr>
          <w:sz w:val="20"/>
          <w:szCs w:val="20"/>
          <w:color w:val="auto"/>
        </w:rPr>
      </w:pPr>
    </w:p>
    <w:p>
      <w:pPr>
        <w:jc w:val="both"/>
        <w:ind w:firstLine="441"/>
        <w:spacing w:after="0" w:line="263" w:lineRule="auto"/>
        <w:rPr>
          <w:sz w:val="20"/>
          <w:szCs w:val="20"/>
          <w:color w:val="auto"/>
        </w:rPr>
      </w:pPr>
      <w:r>
        <w:rPr>
          <w:rFonts w:ascii="Arial" w:cs="Arial" w:eastAsia="Arial" w:hAnsi="Arial"/>
          <w:sz w:val="18"/>
          <w:szCs w:val="18"/>
          <w:color w:val="auto"/>
        </w:rPr>
        <w:t>For the six months ended September 30, 2023 and 2022, the Company recorded an income tax provision of approximately $3.7 million and $4.2 million, respectively. For the six months ended September 30, 2023 and 2022, the effective tax rate differed from the federal statutory rate due primarily to the inclusion of state tax expenses in the provision.</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firstLine="441"/>
        <w:spacing w:after="0" w:line="263" w:lineRule="auto"/>
        <w:rPr>
          <w:sz w:val="20"/>
          <w:szCs w:val="20"/>
          <w:color w:val="auto"/>
        </w:rPr>
      </w:pPr>
      <w:r>
        <w:rPr>
          <w:rFonts w:ascii="Arial" w:cs="Arial" w:eastAsia="Arial" w:hAnsi="Arial"/>
          <w:sz w:val="18"/>
          <w:szCs w:val="18"/>
          <w:color w:val="auto"/>
        </w:rPr>
        <w:t>Friedman Industries, Incorporated is a manufacturer and processor of steel products and operates in two reportable segments; flat-roll products and tubular products. The flat-roll segment was previously referred to as the coil segment. The Company is now using flat-roll to describe the segment due to it being a more common term used in the Company's industry.</w:t>
      </w:r>
    </w:p>
    <w:p>
      <w:pPr>
        <w:spacing w:after="0" w:line="184" w:lineRule="exact"/>
        <w:rPr>
          <w:sz w:val="20"/>
          <w:szCs w:val="20"/>
          <w:color w:val="auto"/>
        </w:rPr>
      </w:pPr>
    </w:p>
    <w:p>
      <w:pPr>
        <w:jc w:val="both"/>
        <w:ind w:firstLine="441"/>
        <w:spacing w:after="0" w:line="270" w:lineRule="auto"/>
        <w:rPr>
          <w:sz w:val="20"/>
          <w:szCs w:val="20"/>
          <w:color w:val="auto"/>
        </w:rPr>
      </w:pPr>
      <w:r>
        <w:rPr>
          <w:rFonts w:ascii="Arial" w:cs="Arial" w:eastAsia="Arial" w:hAnsi="Arial"/>
          <w:sz w:val="17"/>
          <w:szCs w:val="17"/>
          <w:color w:val="auto"/>
        </w:rPr>
        <w:t>The flat-roll product segment consists of the operation of five hot-rolled coil processing facilities located in Hickman, Arkansas; Decatur, Alabama; East Chicago, Indiana; Granite City, Illinois and Sinton, Texas. The facilities in Granite City and East Chicago were acquired on April 30, 2022 from Plateplus, Inc ("Plateplus"). More information about the Plateplus transaction can be found in Note B to the condensed consolidated financial statements. The facility in Sinton is a newly constructed facility that commenced operations during October 2022. The Hickman, Granite City and East Chicago facilities operate temper mills and cut-to-length lines. The Decatur and Sinton facilities operate stretcher leveler cut-to-length lines. The equipment at all locations improve the flatness and surface quality of the coils and cut the coils into sheet and plate of prescribed lengths. On a combined basis, the facilities are capable of cutting sheet and plate with thicknesses ranging from 16 gauge to 1” thick in widths ranging from 36” wide to 96” wide. The vast majority of flat-roll product segment revenue is generated from sales of Company owned inventory but the segment also generates revenue from the processing or storage of customer owned coils on a fee basis.</w:t>
      </w:r>
    </w:p>
    <w:p>
      <w:pPr>
        <w:spacing w:after="0" w:line="181" w:lineRule="exact"/>
        <w:rPr>
          <w:sz w:val="20"/>
          <w:szCs w:val="20"/>
          <w:color w:val="auto"/>
        </w:rPr>
      </w:pPr>
    </w:p>
    <w:p>
      <w:pPr>
        <w:jc w:val="both"/>
        <w:ind w:firstLine="441"/>
        <w:spacing w:after="0" w:line="255" w:lineRule="auto"/>
        <w:rPr>
          <w:sz w:val="20"/>
          <w:szCs w:val="20"/>
          <w:color w:val="auto"/>
        </w:rPr>
      </w:pPr>
      <w:r>
        <w:rPr>
          <w:rFonts w:ascii="Arial" w:cs="Arial" w:eastAsia="Arial" w:hAnsi="Arial"/>
          <w:sz w:val="18"/>
          <w:szCs w:val="18"/>
          <w:color w:val="auto"/>
        </w:rPr>
        <w:t>The tubular product segment consists of the Company’s Texas Tubular Products division (“TTP”) located in Lone Star, Texas. TTP operates two electric resistance welded pipe mills with a combined outside diameter (“OD”) size range of 2 3/8” OD to 8 5/8” OD. Both pipe mills are American Petroleum Institute (“API”) licensed to manufacture line pipe and oil country pipe and also manufacture pipe for structural purposes that meets other recognized industry standards. TTP has a pipe finishing facility capable of applying threads and couplings to oil country tubular goods and performing other services that are customary in the pipe finishing process. The pipe finishing facility is currently idled. All of the tubular segment's revenue is generated from sales of Company owned inventory.</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u w:val="single" w:color="auto"/>
          <w:color w:val="auto"/>
        </w:rPr>
        <w:t>Six Months Ended September 30, 2023 Compared to Six Months Ended September 30, 2022</w:t>
      </w:r>
    </w:p>
    <w:p>
      <w:pPr>
        <w:spacing w:after="0" w:line="225" w:lineRule="exact"/>
        <w:rPr>
          <w:sz w:val="20"/>
          <w:szCs w:val="20"/>
          <w:color w:val="auto"/>
        </w:rPr>
      </w:pPr>
    </w:p>
    <w:p>
      <w:pPr>
        <w:jc w:val="both"/>
        <w:ind w:firstLine="441"/>
        <w:spacing w:after="0" w:line="269" w:lineRule="auto"/>
        <w:rPr>
          <w:sz w:val="20"/>
          <w:szCs w:val="20"/>
          <w:color w:val="auto"/>
        </w:rPr>
      </w:pPr>
      <w:r>
        <w:rPr>
          <w:rFonts w:ascii="Arial" w:cs="Arial" w:eastAsia="Arial" w:hAnsi="Arial"/>
          <w:sz w:val="17"/>
          <w:szCs w:val="17"/>
          <w:color w:val="auto"/>
        </w:rPr>
        <w:t>During the six months ended September 30, 2023 (the “2023 period”), sales, costs of goods sold and gross profit decreased approximately $43.4 million, $42.2 million and $1.2 million, respectively, compared to the amounts recorded during the six months ended September 30, 2022 (the “2022 period”). The decrease in sales was primarily related to a decline in the average selling price partially offset by an increase in tons sold. Tons sold increased from approximately 221,500 tons in the 2022 period to approximately 257,000 tons in the 2023 period. The growth in sales volume was primarily related to the Company's Sinton, TX facility which commenced operations in October 2022 and the 2022 period containing only five months of sales activity following the April 30, 2022 acquisition of facilities and inventory from Plateplus. Gross profit decreased from approximately $23.4 million for the 2022 period to approximately $22.2 million for the 2023 period. Gross profit as a percentage of sales increased from approximately 7.5% for the 2022 period to approximately 8.3% for the 2023period. Gross profit for the 2023 period included a recognized loss of approximately $0.4 million related to hedging activities while gross profit for the 2022 period included a recognized loss of approximately $2.1 million related to hedging activities. Excluding the recognized hedging losses, gross profit related to physical material as a percentage of sales was approximately 8.4% for the 2023 period compared to approximately 8.1% for the 2022 period.</w:t>
      </w:r>
    </w:p>
    <w:p>
      <w:pPr>
        <w:spacing w:after="0" w:line="182" w:lineRule="exact"/>
        <w:rPr>
          <w:sz w:val="20"/>
          <w:szCs w:val="20"/>
          <w:color w:val="auto"/>
        </w:rPr>
      </w:pPr>
    </w:p>
    <w:p>
      <w:pPr>
        <w:jc w:val="both"/>
        <w:ind w:firstLine="441"/>
        <w:spacing w:after="0" w:line="254" w:lineRule="auto"/>
        <w:rPr>
          <w:sz w:val="20"/>
          <w:szCs w:val="20"/>
          <w:color w:val="auto"/>
        </w:rPr>
      </w:pPr>
      <w:r>
        <w:rPr>
          <w:rFonts w:ascii="Arial" w:cs="Arial" w:eastAsia="Arial" w:hAnsi="Arial"/>
          <w:sz w:val="18"/>
          <w:szCs w:val="18"/>
          <w:color w:val="auto"/>
        </w:rPr>
        <w:t>Our operating results are significantly impacted by the market price of hot-rolled steel coil ("HRC"). The Company experienced significant volatility in steel price during both the 2023 period and the 2022 period. Entering the 2022 period, HRC prices experienced a sharp and abrupt increase in reaction to the Russian invasion of Ukraine increasing approximately 60% from March 2022 to April 2022. HRC prices then declined approximately 60% until the middle of December 2022. From late November 2022 until April 2023, domestic steel producers announced several rounds of price increases with HRC prices increasing approximately 95% during this time. From the middle of April 2023 and until the end of the 2023 period, HRC prices declined approximately 45%. For both the 2023 and 2022 periods, the Company experienced significant increases in steel prices entering the periods with an inflection point in steel price occurring early in each period. As a result both periods experienced stronger margins for the first quarter followed by compressed margins for the second quarter.</w:t>
      </w:r>
    </w:p>
    <w:p>
      <w:pPr>
        <w:spacing w:after="0" w:line="192"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Flat-roll Segment</w:t>
      </w:r>
    </w:p>
    <w:p>
      <w:pPr>
        <w:spacing w:after="0" w:line="225" w:lineRule="exact"/>
        <w:rPr>
          <w:sz w:val="20"/>
          <w:szCs w:val="20"/>
          <w:color w:val="auto"/>
        </w:rPr>
      </w:pPr>
    </w:p>
    <w:p>
      <w:pPr>
        <w:jc w:val="both"/>
        <w:ind w:firstLine="441"/>
        <w:spacing w:after="0" w:line="286" w:lineRule="auto"/>
        <w:rPr>
          <w:sz w:val="20"/>
          <w:szCs w:val="20"/>
          <w:color w:val="auto"/>
        </w:rPr>
      </w:pPr>
      <w:r>
        <w:rPr>
          <w:rFonts w:ascii="Arial" w:cs="Arial" w:eastAsia="Arial" w:hAnsi="Arial"/>
          <w:sz w:val="16"/>
          <w:szCs w:val="16"/>
          <w:color w:val="auto"/>
        </w:rPr>
        <w:t>Flat-roll product segment sales for the 2023 period totaled approximately $245.7 million compared to approximately $272.6 million for the 2022 period. For a more complete understanding of the average selling prices of goods sold, it is helpful to exclude any hedging related gains or losses that are captured in sales and any sales generated from processing or storage of customer owned material. Flat-roll segment sales for the 2023 period were reduced by approximately $0.4 million for the recognition of hedging related losses. Flat-roll segment sales for the 2022 period were reduced by approximately $2.1 million for the recognition of hedging related losses. Sales generated from processing or storage of customer owned material totaled approximately $2.6 million for the 2023 period compared to approximately $0.7 million for the 2022 period. Sales generated from flat-roll segment inventory, excluding the impact of any hedging related gains or losses, totaled approximately $243.5 million for the 2023 period compared to approximately $274.0 million for the 2022 period. The average per ton selling price related to these shipments decreased from approximately $1,367 per ton in the 2022 period to approximately $1,011 per ton in the 2023 period. Inventory tons sold increased from approximately 200,500 tons in the 2022 period to approximately 241,000 tons in the 2023 period. The growth in sales volume was primarily related to the Company's Sinton, TX facility which commenced operations in October 2022 and the 2022 period containing only five months of sales activity following the April 30, 2022 acquisition of facilities and inventory from Plateplus. Flat-roll segment operations recorded operating profits of approximately $15.0 million and $12.4 million for the 2023 period and 2022 period, respectively. The operating profit for the 2023 period includes a recognized loss on hedging activities of approximately $0.4 million while the 2022 period operating profit included a recognized loss on hedging activities of approximately $2.1 million.</w:t>
      </w:r>
    </w:p>
    <w:p>
      <w:pPr>
        <w:spacing w:after="0" w:line="171" w:lineRule="exact"/>
        <w:rPr>
          <w:sz w:val="20"/>
          <w:szCs w:val="20"/>
          <w:color w:val="auto"/>
        </w:rPr>
      </w:pPr>
    </w:p>
    <w:p>
      <w:pPr>
        <w:jc w:val="both"/>
        <w:ind w:right="20" w:firstLine="441"/>
        <w:spacing w:after="0" w:line="277" w:lineRule="auto"/>
        <w:rPr>
          <w:sz w:val="20"/>
          <w:szCs w:val="20"/>
          <w:color w:val="auto"/>
        </w:rPr>
      </w:pPr>
      <w:r>
        <w:rPr>
          <w:rFonts w:ascii="Arial" w:cs="Arial" w:eastAsia="Arial" w:hAnsi="Arial"/>
          <w:sz w:val="18"/>
          <w:szCs w:val="18"/>
          <w:color w:val="auto"/>
        </w:rPr>
        <w:t>The Company’s flat-roll segment purchases its inventory from a limited number of suppliers. Loss of any of these suppliers could have a material adverse effect on the Company’s business.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Tubular Segment</w:t>
      </w:r>
    </w:p>
    <w:p>
      <w:pPr>
        <w:spacing w:after="0" w:line="225" w:lineRule="exact"/>
        <w:rPr>
          <w:sz w:val="20"/>
          <w:szCs w:val="20"/>
          <w:color w:val="auto"/>
        </w:rPr>
      </w:pPr>
    </w:p>
    <w:p>
      <w:pPr>
        <w:jc w:val="both"/>
        <w:ind w:firstLine="441"/>
        <w:spacing w:after="0" w:line="255" w:lineRule="auto"/>
        <w:rPr>
          <w:sz w:val="20"/>
          <w:szCs w:val="20"/>
          <w:color w:val="auto"/>
        </w:rPr>
      </w:pPr>
      <w:r>
        <w:rPr>
          <w:rFonts w:ascii="Arial" w:cs="Arial" w:eastAsia="Arial" w:hAnsi="Arial"/>
          <w:sz w:val="18"/>
          <w:szCs w:val="18"/>
          <w:color w:val="auto"/>
        </w:rPr>
        <w:t>Tubular product segment sales for the 2023 period totaled approximately $22.3 million compared to approximately $38.9 million for the 2022 period. Tubular segment sales for the 2023 period and 2022 period were not impacted by any hedging related gains or losses. Sales decreased due to a decrease in the average selling price per ton, accompanied by a decline in the volume sold. The average per ton selling price decreased from approximately $1,831 per ton in the 2022 period to approximately $1,392 per ton in the 2023 period. Tons sold decreased from approximately 21,000 tons in the 2022 period to approximately 16,000 tons in the 2023 period. The tubular segment recorded operating profits of approximately $2.3 million and $5.4 million for the 2023 period and 2022 period, respectively.</w:t>
      </w:r>
    </w:p>
    <w:p>
      <w:pPr>
        <w:spacing w:after="0" w:line="192" w:lineRule="exact"/>
        <w:rPr>
          <w:sz w:val="20"/>
          <w:szCs w:val="20"/>
          <w:color w:val="auto"/>
        </w:rPr>
      </w:pPr>
    </w:p>
    <w:p>
      <w:pPr>
        <w:jc w:val="both"/>
        <w:ind w:firstLine="441"/>
        <w:spacing w:after="0" w:line="277" w:lineRule="auto"/>
        <w:rPr>
          <w:sz w:val="20"/>
          <w:szCs w:val="20"/>
          <w:color w:val="auto"/>
        </w:rPr>
      </w:pPr>
      <w:r>
        <w:rPr>
          <w:rFonts w:ascii="Arial" w:cs="Arial" w:eastAsia="Arial" w:hAnsi="Arial"/>
          <w:sz w:val="18"/>
          <w:szCs w:val="18"/>
          <w:color w:val="auto"/>
        </w:rPr>
        <w:t>The tubular segment purchases its inventory from a limited number of suppliers. Loss of any of these suppliers could have a material adverse effect on the Company’s business.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General, Selling and Administrative Costs</w:t>
      </w:r>
    </w:p>
    <w:p>
      <w:pPr>
        <w:spacing w:after="0" w:line="225" w:lineRule="exact"/>
        <w:rPr>
          <w:sz w:val="20"/>
          <w:szCs w:val="20"/>
          <w:color w:val="auto"/>
        </w:rPr>
      </w:pPr>
    </w:p>
    <w:p>
      <w:pPr>
        <w:ind w:right="160" w:firstLine="486"/>
        <w:spacing w:after="0" w:line="263" w:lineRule="auto"/>
        <w:rPr>
          <w:sz w:val="20"/>
          <w:szCs w:val="20"/>
          <w:color w:val="auto"/>
        </w:rPr>
      </w:pPr>
      <w:r>
        <w:rPr>
          <w:rFonts w:ascii="Arial" w:cs="Arial" w:eastAsia="Arial" w:hAnsi="Arial"/>
          <w:sz w:val="18"/>
          <w:szCs w:val="18"/>
          <w:color w:val="auto"/>
        </w:rPr>
        <w:t>During the 2023 period, selling, general and administrative costs decreased approximately $0.2 million compared to the 2022 period. This decrease is primarily related to the 2022 period containing one-time costs associated with the Plateplus transaction with this decrease being partially offset by increased payroll and benefits expense in the 2023 period associated with a higher employee count.</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jc w:val="both"/>
        <w:ind w:firstLine="441"/>
        <w:spacing w:after="0" w:line="259" w:lineRule="auto"/>
        <w:rPr>
          <w:sz w:val="20"/>
          <w:szCs w:val="20"/>
          <w:color w:val="auto"/>
        </w:rPr>
      </w:pPr>
      <w:r>
        <w:rPr>
          <w:rFonts w:ascii="Arial" w:cs="Arial" w:eastAsia="Arial" w:hAnsi="Arial"/>
          <w:sz w:val="18"/>
          <w:szCs w:val="18"/>
          <w:color w:val="auto"/>
        </w:rPr>
        <w:t>Income taxes decreased from a provision for the 2022 period of approximately $4.2 million to a provision for the 2023 period of approximately $3.7 million. This decrease was primarily related to the lower earnings before income tax for the 2023 period. The income tax provision as a percentage of earnings before tax was approximately 24.9% and 23.6% for the 2023 period and 2022 period, respectively. For both periods, the effective tax rate differed from the federal statutory rate due primarily to the inclusion of state income taxes in the provision.</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u w:val="single" w:color="auto"/>
          <w:color w:val="auto"/>
        </w:rPr>
        <w:t>Three Months Ended September 30, 2023 Compared to Three Months Ended September 30, 2022</w:t>
      </w:r>
    </w:p>
    <w:p>
      <w:pPr>
        <w:spacing w:after="0" w:line="225" w:lineRule="exact"/>
        <w:rPr>
          <w:sz w:val="20"/>
          <w:szCs w:val="20"/>
          <w:color w:val="auto"/>
        </w:rPr>
      </w:pPr>
    </w:p>
    <w:p>
      <w:pPr>
        <w:jc w:val="both"/>
        <w:ind w:firstLine="441"/>
        <w:spacing w:after="0" w:line="289" w:lineRule="auto"/>
        <w:rPr>
          <w:sz w:val="20"/>
          <w:szCs w:val="20"/>
          <w:color w:val="auto"/>
        </w:rPr>
      </w:pPr>
      <w:r>
        <w:rPr>
          <w:rFonts w:ascii="Arial" w:cs="Arial" w:eastAsia="Arial" w:hAnsi="Arial"/>
          <w:sz w:val="16"/>
          <w:szCs w:val="16"/>
          <w:color w:val="auto"/>
        </w:rPr>
        <w:t>During the three months ended September 30, 2023 (the “2023 quarter”), sales and costs of goods sold decreased approximately $18.9 million and $20.1 million, respectively, and gross profit increased approximately $1.2 million compared to the amounts recorded during the three months ended September 30, 2022 (the “2022 quarter”). The decrease in sales was primarily related to a decline in the average selling price partially offset by an increase in tons sold. Tons sold increased from approximately 117,000 tons in the 2022 quarter to approximately 129,000 tons in the 2023 quarter. The growth in sales volume was primarily related to the Company's Sinton, TX facility which commenced operations in October 2022. Gross profit increased from approximately $4.7 million for the 2022 quarter to approximately $5.9 million for the 2023 quarter. Gross profit as a percentage of sales increased from approximately 3.1% for the 2022 quarter to approximately 4.5% for the 2023 quarter. Gross profit for the 2022 quarter included a recognized loss of approximately $1.5 million related to hedging activities, while the 2023 quarter was not effected by any hedge activities. Excluding the recognized hedging losses, gross profit related to physical material as a percentage of sales was approximately 4.1% for the 2022 quarter.</w:t>
      </w:r>
    </w:p>
    <w:p>
      <w:pPr>
        <w:spacing w:after="0" w:line="166" w:lineRule="exact"/>
        <w:rPr>
          <w:sz w:val="20"/>
          <w:szCs w:val="20"/>
          <w:color w:val="auto"/>
        </w:rPr>
      </w:pPr>
    </w:p>
    <w:p>
      <w:pPr>
        <w:jc w:val="both"/>
        <w:ind w:firstLine="441"/>
        <w:spacing w:after="0" w:line="255" w:lineRule="auto"/>
        <w:rPr>
          <w:sz w:val="20"/>
          <w:szCs w:val="20"/>
          <w:color w:val="auto"/>
        </w:rPr>
      </w:pPr>
      <w:r>
        <w:rPr>
          <w:rFonts w:ascii="Arial" w:cs="Arial" w:eastAsia="Arial" w:hAnsi="Arial"/>
          <w:sz w:val="18"/>
          <w:szCs w:val="18"/>
          <w:color w:val="auto"/>
        </w:rPr>
        <w:t>Our operating results are significantly impacted by the market price of HRC. The Company experienced similar HRC pricing dynamics entering and during both the 2023 and 2022 quarters. HRC price declined approximately 25% during the 2023 quarter with this decline being part of a downward price cycle which commenced in April 2023. From April 2023 and to the end of the 2023 quarter, HRC price declined approximately 45%. HRC price declined approximately 23% during the 2022 quarter with this decline being part of a downward price cycle which commenced in April 2022. From April 2022 and to the end of the 2022 quarter, HRC price declined approximately 47%. These pricing dynamics created physical margin compression during both the 2023 and 2022 quarters.</w:t>
      </w:r>
    </w:p>
    <w:p>
      <w:pPr>
        <w:spacing w:after="0" w:line="192"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Flat-roll Segment</w:t>
      </w:r>
    </w:p>
    <w:p>
      <w:pPr>
        <w:spacing w:after="0" w:line="225" w:lineRule="exact"/>
        <w:rPr>
          <w:sz w:val="20"/>
          <w:szCs w:val="20"/>
          <w:color w:val="auto"/>
        </w:rPr>
      </w:pPr>
    </w:p>
    <w:p>
      <w:pPr>
        <w:jc w:val="both"/>
        <w:ind w:firstLine="441"/>
        <w:spacing w:after="0" w:line="268" w:lineRule="auto"/>
        <w:rPr>
          <w:sz w:val="20"/>
          <w:szCs w:val="20"/>
          <w:color w:val="auto"/>
        </w:rPr>
      </w:pPr>
      <w:r>
        <w:rPr>
          <w:rFonts w:ascii="Arial" w:cs="Arial" w:eastAsia="Arial" w:hAnsi="Arial"/>
          <w:sz w:val="17"/>
          <w:szCs w:val="17"/>
          <w:color w:val="auto"/>
        </w:rPr>
        <w:t>Flat-roll product segment sales for the 2023 quarter totaled approximately $120.5 million compared to approximately $129.7 million for the 2022 quarter. For a more complete understanding of the average selling prices of goods sold, it is helpful to exclude any hedging related gains or losses that are captured in sales and any sales generated from processing or storage of customer owned material. Flat-roll segment sales for the 2022 quarter were reduced by approximately $1.5 million for the recognition of hedging related losses, while the 2023 quarter was not effected by hedge related gains or losses. Sales generated from processing or storage of customer owned material totaled approximately $1.3 million for the 2023 quarter compared to approximately $0.3 million for the 2022 quarter. Sales generated from flat-roll segment inventory, excluding the impact of any hedging related gains or losses, totaled approximately $119.2 million for the 2023 quarter compared to approximately $130.9 million for the 2022 quarter. The average per ton selling price related to these shipments decreased from approximately $1,229 per ton in the 2022 quarter to approximately $983 per ton in the 2023 quarter. Inventory tons sold increased from approximately 106,500 tons in the 2022 quarter to approximately 121,000 tons in the 2023 quarter. The growth in sales volume was primarily related to the Company's Sinton, TX facility which commenced operations in October 2022. Flat-roll segment operations recorded operating profits of approximately $3.1 million for the 2023 quarter compared to an operating loss of approximately $1.1 million for the 2022 quarter. The operating loss for the 2022 quarter included a recognized loss on hedging activities of approximately $1.5 million, while there was no gain or loss from hedging activities for the 2023 quarter.</w:t>
      </w:r>
    </w:p>
    <w:p>
      <w:pPr>
        <w:spacing w:after="0" w:line="186" w:lineRule="exact"/>
        <w:rPr>
          <w:sz w:val="20"/>
          <w:szCs w:val="20"/>
          <w:color w:val="auto"/>
        </w:rPr>
      </w:pPr>
    </w:p>
    <w:p>
      <w:pPr>
        <w:jc w:val="both"/>
        <w:ind w:right="20" w:firstLine="441"/>
        <w:spacing w:after="0" w:line="277" w:lineRule="auto"/>
        <w:rPr>
          <w:sz w:val="20"/>
          <w:szCs w:val="20"/>
          <w:color w:val="auto"/>
        </w:rPr>
      </w:pPr>
      <w:r>
        <w:rPr>
          <w:rFonts w:ascii="Arial" w:cs="Arial" w:eastAsia="Arial" w:hAnsi="Arial"/>
          <w:sz w:val="18"/>
          <w:szCs w:val="18"/>
          <w:color w:val="auto"/>
        </w:rPr>
        <w:t>The Company’s flat-roll segment purchases its inventory from a limited number of suppliers. Loss of any of these suppliers could have a material adverse effect on the Company’s business.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Tubular Segment</w:t>
      </w:r>
    </w:p>
    <w:p>
      <w:pPr>
        <w:spacing w:after="0" w:line="225" w:lineRule="exact"/>
        <w:rPr>
          <w:sz w:val="20"/>
          <w:szCs w:val="20"/>
          <w:color w:val="auto"/>
        </w:rPr>
      </w:pPr>
    </w:p>
    <w:p>
      <w:pPr>
        <w:jc w:val="both"/>
        <w:ind w:firstLine="441"/>
        <w:spacing w:after="0" w:line="255" w:lineRule="auto"/>
        <w:rPr>
          <w:sz w:val="20"/>
          <w:szCs w:val="20"/>
          <w:color w:val="auto"/>
        </w:rPr>
      </w:pPr>
      <w:r>
        <w:rPr>
          <w:rFonts w:ascii="Arial" w:cs="Arial" w:eastAsia="Arial" w:hAnsi="Arial"/>
          <w:sz w:val="18"/>
          <w:szCs w:val="18"/>
          <w:color w:val="auto"/>
        </w:rPr>
        <w:t>Tubular product segment sales for the 2023 quarter totaled approximately $10.2 million compared to approximately $20.0 million for the 2022 quarter. Tubular segment sales for the 2023 quarter and 2022 quarter were not impacted by any hedging related gains or losses. Sales decreased due to a decrease in the average selling price per ton, accompanied by a decline in the volume sold. The average per ton selling price decreased from approximately $1,883 per ton in the 2022 quarter to approximately $1,301 per ton in the 2023 quarter. Tons sold decreased from approximately 10,500 tons in the 2022 quarter to approximately 8,000 tons in the 2023 quarter. The tubular segment operated at a break-even level for the 2023 quarter compared to recording operating profit of approximately $3.3 million for the 2022 quarter.</w:t>
      </w:r>
    </w:p>
    <w:p>
      <w:pPr>
        <w:spacing w:after="0" w:line="192" w:lineRule="exact"/>
        <w:rPr>
          <w:sz w:val="20"/>
          <w:szCs w:val="20"/>
          <w:color w:val="auto"/>
        </w:rPr>
      </w:pPr>
    </w:p>
    <w:p>
      <w:pPr>
        <w:jc w:val="both"/>
        <w:ind w:firstLine="441"/>
        <w:spacing w:after="0" w:line="277" w:lineRule="auto"/>
        <w:rPr>
          <w:sz w:val="20"/>
          <w:szCs w:val="20"/>
          <w:color w:val="auto"/>
        </w:rPr>
      </w:pPr>
      <w:r>
        <w:rPr>
          <w:rFonts w:ascii="Arial" w:cs="Arial" w:eastAsia="Arial" w:hAnsi="Arial"/>
          <w:sz w:val="18"/>
          <w:szCs w:val="18"/>
          <w:color w:val="auto"/>
        </w:rPr>
        <w:t>The tubular segment purchases its inventory from a limited number of suppliers. Loss of any of these suppliers could have a material adverse effect on the Company’s business.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Selling and Administrative Costs</w:t>
      </w:r>
    </w:p>
    <w:p>
      <w:pPr>
        <w:spacing w:after="0" w:line="225" w:lineRule="exact"/>
        <w:rPr>
          <w:sz w:val="20"/>
          <w:szCs w:val="20"/>
          <w:color w:val="auto"/>
        </w:rPr>
      </w:pPr>
    </w:p>
    <w:p>
      <w:pPr>
        <w:jc w:val="both"/>
        <w:ind w:right="80" w:firstLine="486"/>
        <w:spacing w:after="0" w:line="263" w:lineRule="auto"/>
        <w:rPr>
          <w:sz w:val="20"/>
          <w:szCs w:val="20"/>
          <w:color w:val="auto"/>
        </w:rPr>
      </w:pPr>
      <w:r>
        <w:rPr>
          <w:rFonts w:ascii="Arial" w:cs="Arial" w:eastAsia="Arial" w:hAnsi="Arial"/>
          <w:sz w:val="18"/>
          <w:szCs w:val="18"/>
          <w:color w:val="auto"/>
        </w:rPr>
        <w:t>During the 2023 quarter, selling, general and administrative costs increased approximately $0.2 million compared to the 2022 quarter. This increase is primarily related to increased payroll and benefits expense in the 2023 quarter associated with a higher employee count with this increase being partially offset by the 2022 quarter containing one-time costs associated with the Plateplus transaction.</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ind w:firstLine="441"/>
        <w:spacing w:after="0" w:line="308" w:lineRule="auto"/>
        <w:rPr>
          <w:sz w:val="20"/>
          <w:szCs w:val="20"/>
          <w:color w:val="auto"/>
        </w:rPr>
      </w:pPr>
      <w:r>
        <w:rPr>
          <w:rFonts w:ascii="Arial" w:cs="Arial" w:eastAsia="Arial" w:hAnsi="Arial"/>
          <w:sz w:val="17"/>
          <w:szCs w:val="17"/>
          <w:color w:val="auto"/>
        </w:rPr>
        <w:t>Income taxes increased from a provision for the 2022 quarter of approximately $0.7 million to a provision for the 2023 quarter of approximately $1.1 million. This increase was primarily related to the higher earnings before income tax for the 2023 quarter. The income tax provision as</w:t>
      </w:r>
    </w:p>
    <w:p>
      <w:pPr>
        <w:sectPr>
          <w:pgSz w:w="11900" w:h="16838" w:orient="portrait"/>
          <w:cols w:equalWidth="0" w:num="1">
            <w:col w:w="11240"/>
          </w:cols>
          <w:pgMar w:left="320" w:top="125" w:right="339" w:bottom="0" w:gutter="0" w:footer="0" w:header="0"/>
        </w:sectPr>
      </w:pPr>
    </w:p>
    <w:bookmarkStart w:id="20" w:name="page21"/>
    <w:bookmarkEnd w:id="20"/>
    <w:p>
      <w:pPr>
        <w:spacing w:after="0" w:line="308" w:lineRule="auto"/>
        <w:rPr>
          <w:sz w:val="20"/>
          <w:szCs w:val="20"/>
          <w:color w:val="auto"/>
        </w:rPr>
      </w:pPr>
      <w:r>
        <w:rPr>
          <w:rFonts w:ascii="Arial" w:cs="Arial" w:eastAsia="Arial" w:hAnsi="Arial"/>
          <w:sz w:val="17"/>
          <w:szCs w:val="17"/>
          <w:color w:val="auto"/>
        </w:rPr>
        <w:t>a percentage of earnings before tax was approximately 24.6% and 22.9% for the three months ended September 30, 2023 and 2022, respectively. For both periods, the effective tax rate differed from the federal statutory rate due primarily to the inclusion of state income taxes in the provision.</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POSITION, LIQUIDITY AND CAPITAL RESOURCES</w:t>
      </w:r>
    </w:p>
    <w:p>
      <w:pPr>
        <w:spacing w:after="0" w:line="229" w:lineRule="exact"/>
        <w:rPr>
          <w:sz w:val="20"/>
          <w:szCs w:val="20"/>
          <w:color w:val="auto"/>
        </w:rPr>
      </w:pPr>
    </w:p>
    <w:p>
      <w:pPr>
        <w:jc w:val="both"/>
        <w:ind w:right="20" w:firstLine="441"/>
        <w:spacing w:after="0" w:line="277" w:lineRule="auto"/>
        <w:rPr>
          <w:sz w:val="20"/>
          <w:szCs w:val="20"/>
          <w:color w:val="auto"/>
        </w:rPr>
      </w:pPr>
      <w:r>
        <w:rPr>
          <w:rFonts w:ascii="Arial" w:cs="Arial" w:eastAsia="Arial" w:hAnsi="Arial"/>
          <w:sz w:val="18"/>
          <w:szCs w:val="18"/>
          <w:color w:val="auto"/>
        </w:rPr>
        <w:t>The Company’s current ratio was 4.7 at September 30, 2023 and 3.2 at March 31, 2023. Working capital was approximately $129.9 million at September 30, 2023 and $98.6 million at March 31, 2023.</w:t>
      </w:r>
    </w:p>
    <w:p>
      <w:pPr>
        <w:spacing w:after="0" w:line="170" w:lineRule="exact"/>
        <w:rPr>
          <w:sz w:val="20"/>
          <w:szCs w:val="20"/>
          <w:color w:val="auto"/>
        </w:rPr>
      </w:pPr>
    </w:p>
    <w:p>
      <w:pPr>
        <w:jc w:val="both"/>
        <w:ind w:firstLine="441"/>
        <w:spacing w:after="0" w:line="279" w:lineRule="auto"/>
        <w:rPr>
          <w:sz w:val="20"/>
          <w:szCs w:val="20"/>
          <w:color w:val="auto"/>
        </w:rPr>
      </w:pPr>
      <w:r>
        <w:rPr>
          <w:rFonts w:ascii="Arial" w:cs="Arial" w:eastAsia="Arial" w:hAnsi="Arial"/>
          <w:sz w:val="17"/>
          <w:szCs w:val="17"/>
          <w:color w:val="auto"/>
        </w:rPr>
        <w:t>During the six months ended September 30, 2023, the Company maintained assets and liabilities at levels it believed were commensurate with operations. Changes in balance sheet amounts occurred in the ordinary course of business. Cash and restricted cash decreased due primarily to cash used in operating activities and investing activities being greater than cash drawn on the Company's credit facility. The Company expects to continue to monitor, evaluate and manage balance sheet components depending on changes in market conditions and the Company’s operations.</w:t>
      </w:r>
    </w:p>
    <w:p>
      <w:pPr>
        <w:spacing w:after="0" w:line="171" w:lineRule="exact"/>
        <w:rPr>
          <w:sz w:val="20"/>
          <w:szCs w:val="20"/>
          <w:color w:val="auto"/>
        </w:rPr>
      </w:pPr>
    </w:p>
    <w:p>
      <w:pPr>
        <w:jc w:val="both"/>
        <w:ind w:firstLine="441"/>
        <w:spacing w:after="0" w:line="285" w:lineRule="auto"/>
        <w:rPr>
          <w:sz w:val="20"/>
          <w:szCs w:val="20"/>
          <w:color w:val="auto"/>
        </w:rPr>
      </w:pPr>
      <w:r>
        <w:rPr>
          <w:rFonts w:ascii="Arial" w:cs="Arial" w:eastAsia="Arial" w:hAnsi="Arial"/>
          <w:sz w:val="16"/>
          <w:szCs w:val="16"/>
          <w:color w:val="auto"/>
        </w:rPr>
        <w:t>The Company has a $150 million asset-based lending facility ("ABL Facility") which matures on May 19, 2026 and is secured by substantially all of the assets of the Company. The Company can elect borrowings on a floating rate basis or a term basis. Floating rate borrowings accrue interest at a rate equal to the prime rate minus 1% per annum. Term rate borrowings accrue interest at a rate equal to the SOFR rate applicable to the selected term plus 1.8% per annum. Availability of funds under the ABL Facility is subject to a borrowing base calculation determined as the sum of (a) 90% of eligible accounts receivable, plus (b) the product of 85% multiplied by the net orderly liquidating value percentage identified in the most recent inventory appraisal multiplied by eligible inventory. The ABL Facility contains a springing financial covenant whereby the financial covenant is only tested when availability falls below the greater of 15% of the revolving commitment or $22.5 million. The financial covenant restricts the Company from allowing its fixed charge coverage ratio to be, as of the end of any calendar month, less than 1.10 to 1.00 for the trailing twelve month period then ending. The fixed charge coverage ratio is calculated as the ratio of (a) EBITDA, as defined in the ABL Facility, minus unfinanced capital expenditures to (b) cash interest expense plus scheduled principal payments on indebtedness plus taxes paid in cash plus restricted payments paid in cash plus capital lease obligation payments plus cash contributions to any employee pension benefit plans. The ABL Facility contains other representations and warranties and affirmative and negative covenants that are usual and customary. If certain conditions precedent are satisfied, the ABL facility may be increased by up to an aggregate of $25 million, in minimum increments of $5 million. At September 30, 2023, the Company had a balance of approximately $54.4 million under the ABL Facility with an applicable interest rate of 7.5%. At September 30, 2023, the Company's applicable borrowing base calculation supported access to approximately $119.3 million of the ABL Facility. As of the filing date of this Form 10-Q, the Company had borrowings of approximately $34.2 million outstanding under the ABL Facility and the Company's most recent borrowing base calculation provided access to approximately $114.5 million of the ABL Facility.</w:t>
      </w:r>
    </w:p>
    <w:p>
      <w:pPr>
        <w:spacing w:after="0" w:line="176" w:lineRule="exact"/>
        <w:rPr>
          <w:sz w:val="20"/>
          <w:szCs w:val="20"/>
          <w:color w:val="auto"/>
        </w:rPr>
      </w:pPr>
    </w:p>
    <w:p>
      <w:pPr>
        <w:jc w:val="both"/>
        <w:ind w:firstLine="441"/>
        <w:spacing w:after="0" w:line="277" w:lineRule="auto"/>
        <w:rPr>
          <w:sz w:val="20"/>
          <w:szCs w:val="20"/>
          <w:color w:val="auto"/>
        </w:rPr>
      </w:pPr>
      <w:r>
        <w:rPr>
          <w:rFonts w:ascii="Arial" w:cs="Arial" w:eastAsia="Arial" w:hAnsi="Arial"/>
          <w:sz w:val="18"/>
          <w:szCs w:val="18"/>
          <w:color w:val="auto"/>
        </w:rPr>
        <w:t>The Company believes that its current cash position along with cash flows from operations and borrowing capability due to its financial position are adequate to fund its expected cash requirements for the next 12 months.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 CONTRACTS</w:t>
      </w:r>
    </w:p>
    <w:p>
      <w:pPr>
        <w:spacing w:after="0" w:line="229" w:lineRule="exact"/>
        <w:rPr>
          <w:sz w:val="20"/>
          <w:szCs w:val="20"/>
          <w:color w:val="auto"/>
        </w:rPr>
      </w:pPr>
    </w:p>
    <w:p>
      <w:pPr>
        <w:ind w:right="40" w:firstLine="486"/>
        <w:spacing w:after="0" w:line="296" w:lineRule="auto"/>
        <w:rPr>
          <w:sz w:val="20"/>
          <w:szCs w:val="20"/>
          <w:color w:val="auto"/>
        </w:rPr>
      </w:pPr>
      <w:r>
        <w:rPr>
          <w:rFonts w:ascii="Arial" w:cs="Arial" w:eastAsia="Arial" w:hAnsi="Arial"/>
          <w:sz w:val="16"/>
          <w:szCs w:val="16"/>
          <w:color w:val="auto"/>
        </w:rPr>
        <w:t>From time to time, the Company may use futures contracts to partially manage exposure to commodity price risk. The Company elects hedge accounting for some of its derivatives and classifies the transactions as either cash flow hedges or fair value hedges. From time to time, the Company may also transact futures contracts where hedge accounting is not elected. The Company recognized a loss related to derivatives designated for hedge accounting of approximately $0.4 million for the six months ended September 30, 2023. For derivatives not designated for hedge accounting, the Company recognized a gain of approximately $4.8 million for the six months ended September 30, 2023. See Note H for further information.</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OUTLOOK</w:t>
      </w:r>
    </w:p>
    <w:p>
      <w:pPr>
        <w:spacing w:after="0" w:line="229" w:lineRule="exact"/>
        <w:rPr>
          <w:sz w:val="20"/>
          <w:szCs w:val="20"/>
          <w:color w:val="auto"/>
        </w:rPr>
      </w:pPr>
    </w:p>
    <w:p>
      <w:pPr>
        <w:ind w:right="80" w:firstLine="486"/>
        <w:spacing w:after="0" w:line="255" w:lineRule="auto"/>
        <w:rPr>
          <w:sz w:val="20"/>
          <w:szCs w:val="20"/>
          <w:color w:val="auto"/>
        </w:rPr>
      </w:pPr>
      <w:r>
        <w:rPr>
          <w:rFonts w:ascii="Arial" w:cs="Arial" w:eastAsia="Arial" w:hAnsi="Arial"/>
          <w:sz w:val="18"/>
          <w:szCs w:val="18"/>
          <w:color w:val="auto"/>
        </w:rPr>
        <w:t>From the end of the second quarter and through the filing date of this Form 10-Q, multiple domestic steel producers have announced price increases for HRC. According to these announcements, the base price for HRC has increased approximately $300 per ton in total. The Company is currently seeing the lead time for production at steel mills extend into calendar 2024 which is supportive of the increasing HRC prices. The Company believes it is positioned well to support our customers’ needs and expects margin improvement during the third quarter and continuing into the fourth quarter. The Company expects sales volume for the third quarter of fiscal 2024 to be slightly lower than the second quarter volume due primarily to the seasonal impact of holidays.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229" w:lineRule="exact"/>
        <w:rPr>
          <w:sz w:val="20"/>
          <w:szCs w:val="20"/>
          <w:color w:val="auto"/>
        </w:rPr>
      </w:pPr>
    </w:p>
    <w:p>
      <w:pPr>
        <w:jc w:val="both"/>
        <w:ind w:firstLine="441"/>
        <w:spacing w:after="0" w:line="296" w:lineRule="auto"/>
        <w:rPr>
          <w:sz w:val="20"/>
          <w:szCs w:val="20"/>
          <w:color w:val="auto"/>
        </w:rPr>
      </w:pPr>
      <w:r>
        <w:rPr>
          <w:rFonts w:ascii="Arial" w:cs="Arial" w:eastAsia="Arial" w:hAnsi="Arial"/>
          <w:sz w:val="16"/>
          <w:szCs w:val="16"/>
          <w:color w:val="auto"/>
        </w:rPr>
        <w:t>The preparation of financial statements in conformity with U.S. generally accepted accounting principles requires management to make estimates and assumptions that affect the amounts reported in the consolidated financial statements and accompanying notes. The more significant estimates and judgements for the Company include determining the fair value of assets acquired and liabilities assumed in the business combination discussed in Note B. The determination of fair value requires management to make significant judgments and estimates, including the selection of valuation methodologies, estimates of future revenue and cash flows, discount rates and selection of comparable companies. Actual results could differ from these estimates.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9" w:lineRule="exact"/>
        <w:rPr>
          <w:sz w:val="20"/>
          <w:szCs w:val="20"/>
          <w:color w:val="auto"/>
        </w:rPr>
      </w:pPr>
    </w:p>
    <w:p>
      <w:pPr>
        <w:jc w:val="both"/>
        <w:ind w:firstLine="441"/>
        <w:spacing w:after="0" w:line="267" w:lineRule="auto"/>
        <w:rPr>
          <w:sz w:val="20"/>
          <w:szCs w:val="20"/>
          <w:color w:val="auto"/>
        </w:rPr>
      </w:pPr>
      <w:r>
        <w:rPr>
          <w:rFonts w:ascii="Arial" w:cs="Arial" w:eastAsia="Arial" w:hAnsi="Arial"/>
          <w:sz w:val="17"/>
          <w:szCs w:val="17"/>
          <w:color w:val="auto"/>
        </w:rPr>
        <w:t>From time to time, the Company may make certain statements that contain forward-looking information (as defined in the Private Securities Litigation Reform Act of 1996, as amended) and that involve risk and uncertainty. Such statements may include those risks disclosed in the Management’s Discussion and Analysis of Financial Condition and Results of Operations section of this report, including the adequacy of cash and expectations as to future sales, prices and margins. These forward-looking statements may include, but are not limited to, future changes in the Company’s financial condition or results of operations, future production capacity, product quality and proposed expansion plans. Forward-looking statements may be made by management orally or in writing including, but not limited to, this Management’s Discussion and Analysis of Financial Condition and Results of Operations and other sections of the Company’s filings with the U.S. Securities and Exchange Commission (the “SEC”) under the Securities Act of 1933, as amended, and the Securities Exchange Act of 1934, as amended (the “Exchange Act”), including the Company’s Annual Report on Form 10-K and its other Quarterly Reports on Form 10-Q. Forward-looking statements include those preceded by, followed by or including the words “will,” “expect,” “intended,” “anticipated,” “believe,” “project,” “forecast,” “propose,” “plan,” “estimate,” “enable,” and similar expressions, including, for example, statements about our business strategy, our industry, our future profitability, growth in the industry sectors we serve, our expectations, beliefs, plans, strategies, objectives, prospects and assumptions, and estimates and projections of future activity and trends in the oil and natural gas industry. These forward-looking statements are not guarantees of future performance. These statements are based on management’s expectations that involve a number of business risks and uncertainties, any of which could cause actual results to differ materially from those expressed in or implied by the forward-looking statements. Although forward-looking statements reflect our current beliefs, reliance should not be placed on forward-looking statements because they involve known and unknown risks, uncertainties and other factors, which may cause our actual results, performance or achievements to differ materially from anticipated future results, performance or achievements expressed or implied by such forward-looking statements. Actual results and trends in the future may differ materially depending on a variety of factors including, but not limited to, changes in the demand for and prices of the Company’s products, changes in government policy regarding steel, changes in the demand for steel and steel products in general and the Company’s success in executing its internal operating plans, changes in and availability of raw materials, unplanned shutdowns of our production facilities due to equipment failures or other issues, increased competition from alternative materials and risks concerning innovation, new technologies, products and increasing customer requirements. Accordingly, undue reliance should not be placed on our forward-looking statements. We undertake no obligation to publicly update or revise any forward-looking statement, whether as a result of new information, future events, changed circumstances or otherwise, except to the extent law requires.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required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jc w:val="both"/>
        <w:ind w:firstLine="486"/>
        <w:spacing w:after="0" w:line="253" w:lineRule="auto"/>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(as defined in Rule 13a-15(f) and 15(d)-15(f) promulgated under the Securities Exchange Act of 1934, as amended). We have established disclosure controls and procedures designed to ensure that material information required to be disclosed in our reports filed under the Exchange Act is recorded, processed, summarized and reported within the time periods specified by the Securities and Exchange Commission and that any material information relating to us is recorded, processed, summarized and reported to our management including our Chief Executive Officer and Chief Financial Officer, as appropriate, to allow timely decisions regarding required disclosures. In designing and evaluating our disclosure controls and procedures, our management recognizes that controls and procedures, no matter how well designed and operated, can provide only reasonable assurance of achieving desired control objectives. In reaching a reasonable level of assurance, our management necessarily was required to apply its judgment in evaluating the cost-benefit relationship of possible controls and procedures.</w:t>
      </w:r>
    </w:p>
    <w:p>
      <w:pPr>
        <w:spacing w:after="0" w:line="196" w:lineRule="exact"/>
        <w:rPr>
          <w:sz w:val="20"/>
          <w:szCs w:val="20"/>
          <w:color w:val="auto"/>
        </w:rPr>
      </w:pPr>
    </w:p>
    <w:p>
      <w:pPr>
        <w:jc w:val="both"/>
        <w:ind w:firstLine="486"/>
        <w:spacing w:after="0" w:line="293" w:lineRule="auto"/>
        <w:rPr>
          <w:sz w:val="20"/>
          <w:szCs w:val="20"/>
          <w:color w:val="auto"/>
        </w:rPr>
      </w:pPr>
      <w:r>
        <w:rPr>
          <w:rFonts w:ascii="Arial" w:cs="Arial" w:eastAsia="Arial" w:hAnsi="Arial"/>
          <w:sz w:val="16"/>
          <w:szCs w:val="16"/>
          <w:color w:val="auto"/>
        </w:rPr>
        <w:t>As required by Rule 13a-15(b) under the Exchange Act, we have evaluated, under the supervision and with the participation of our management, including our Chief Executive Officer and Chief Financial Officer, the effectiveness of the design and operation of our disclosure controls and procedures (as defined in rules 13a-15(e) and 15d-15(e) under the Exchange Act) as of the end of the period covered by this quarterly report. Based upon our evaluation, the Chief Executive Officer and Chief Financial Officer have concluded that the Company’s disclosure controls and procedures were not effective as of the end of the period covered by this Quarterly Report on Form 10-Q because the Company has not yet completed its remediation of the material weaknesses previously identified and disclosed in the Company’s Annual Report on Form 10-K for the fiscal year ended March 31, 2023.</w:t>
      </w:r>
    </w:p>
    <w:p>
      <w:pPr>
        <w:spacing w:after="0" w:line="164" w:lineRule="exact"/>
        <w:rPr>
          <w:sz w:val="20"/>
          <w:szCs w:val="20"/>
          <w:color w:val="auto"/>
        </w:rPr>
      </w:pPr>
    </w:p>
    <w:p>
      <w:pPr>
        <w:jc w:val="both"/>
        <w:ind w:firstLine="486"/>
        <w:spacing w:after="0" w:line="311" w:lineRule="auto"/>
        <w:rPr>
          <w:sz w:val="20"/>
          <w:szCs w:val="20"/>
          <w:color w:val="auto"/>
        </w:rPr>
      </w:pPr>
      <w:r>
        <w:rPr>
          <w:rFonts w:ascii="Arial" w:cs="Arial" w:eastAsia="Arial" w:hAnsi="Arial"/>
          <w:sz w:val="16"/>
          <w:szCs w:val="16"/>
          <w:color w:val="auto"/>
        </w:rPr>
        <w:t>Notwithstanding the identified material weaknesses, the Company's management, including our Chief Executive Officer and Chief Financial Officer, believes that the consolidated financial statements included in this Quarterly Report on Form 10-Q fairly present in all material respects our financial condition and results of operations for the three months ended September 30, 2023 in accordance with U.S. Generally Accepted Accounting Principles.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Material Weakness in Internal Control Over Financial Reporting</w:t>
      </w:r>
    </w:p>
    <w:p>
      <w:pPr>
        <w:spacing w:after="0" w:line="225" w:lineRule="exact"/>
        <w:rPr>
          <w:sz w:val="20"/>
          <w:szCs w:val="20"/>
          <w:color w:val="auto"/>
        </w:rPr>
      </w:pPr>
    </w:p>
    <w:p>
      <w:pPr>
        <w:jc w:val="both"/>
        <w:ind w:firstLine="486"/>
        <w:spacing w:after="0" w:line="308" w:lineRule="auto"/>
        <w:rPr>
          <w:sz w:val="20"/>
          <w:szCs w:val="20"/>
          <w:color w:val="auto"/>
        </w:rPr>
      </w:pPr>
      <w:r>
        <w:rPr>
          <w:rFonts w:ascii="Arial" w:cs="Arial" w:eastAsia="Arial" w:hAnsi="Arial"/>
          <w:sz w:val="17"/>
          <w:szCs w:val="17"/>
          <w:color w:val="auto"/>
        </w:rPr>
        <w:t>A material weakness is a deficiency, or a combination of deficiencies, in internal control over financial reporting, such that there is a reasonable possibility that a material misstatement of the Company's annual or interim financial statements will not be prevented or detected on a timely basis.</w:t>
      </w:r>
    </w:p>
    <w:p>
      <w:pPr>
        <w:spacing w:after="0" w:line="146"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During the audit process related to our fiscal year ended March 31, 2023, management, in connection with our independent auditors, identified the following material weaknesses:</w:t>
      </w:r>
    </w:p>
    <w:p>
      <w:pPr>
        <w:spacing w:after="0" w:line="170" w:lineRule="exact"/>
        <w:rPr>
          <w:sz w:val="20"/>
          <w:szCs w:val="20"/>
          <w:color w:val="auto"/>
        </w:rPr>
      </w:pPr>
    </w:p>
    <w:p>
      <w:pPr>
        <w:jc w:val="both"/>
        <w:ind w:firstLine="494"/>
        <w:spacing w:after="0" w:line="255" w:lineRule="auto"/>
        <w:tabs>
          <w:tab w:leader="none" w:pos="638"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Company did not design relevant control activities necessary to address all identified risks of material misstatement or in some circumstances, controls were designed appropriately but were implemented late in the fiscal year not allowing a sufficient period of time to evidence operating effectiveness.</w:t>
      </w:r>
    </w:p>
    <w:p>
      <w:pPr>
        <w:spacing w:after="0" w:line="2" w:lineRule="exact"/>
        <w:rPr>
          <w:rFonts w:ascii="Arial" w:cs="Arial" w:eastAsia="Arial" w:hAnsi="Arial"/>
          <w:sz w:val="18"/>
          <w:szCs w:val="18"/>
          <w:color w:val="auto"/>
        </w:rPr>
      </w:pPr>
    </w:p>
    <w:p>
      <w:pPr>
        <w:ind w:firstLine="494"/>
        <w:spacing w:after="0" w:line="250" w:lineRule="auto"/>
        <w:tabs>
          <w:tab w:leader="none" w:pos="672"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Company did not design and implement control activities to ensure completeness and accuracy of key reports used in the performance of certain controls.</w:t>
      </w:r>
    </w:p>
    <w:p>
      <w:pPr>
        <w:ind w:left="640" w:hanging="146"/>
        <w:spacing w:after="0"/>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Management review were not designed to operate at a level of precision sufficient to identify all potential material errors.</w:t>
      </w:r>
    </w:p>
    <w:p>
      <w:pPr>
        <w:spacing w:after="0" w:line="9" w:lineRule="exact"/>
        <w:rPr>
          <w:rFonts w:ascii="Arial" w:cs="Arial" w:eastAsia="Arial" w:hAnsi="Arial"/>
          <w:sz w:val="18"/>
          <w:szCs w:val="18"/>
          <w:color w:val="auto"/>
        </w:rPr>
      </w:pPr>
    </w:p>
    <w:p>
      <w:pPr>
        <w:ind w:left="640" w:hanging="146"/>
        <w:spacing w:after="0"/>
        <w:tabs>
          <w:tab w:leader="none" w:pos="640" w:val="left"/>
        </w:tabs>
        <w:numPr>
          <w:ilvl w:val="0"/>
          <w:numId w:val="6"/>
        </w:numPr>
        <w:rPr>
          <w:rFonts w:ascii="Arial" w:cs="Arial" w:eastAsia="Arial" w:hAnsi="Arial"/>
          <w:sz w:val="16"/>
          <w:szCs w:val="16"/>
          <w:color w:val="auto"/>
        </w:rPr>
      </w:pPr>
      <w:r>
        <w:rPr>
          <w:rFonts w:ascii="Arial" w:cs="Arial" w:eastAsia="Arial" w:hAnsi="Arial"/>
          <w:sz w:val="16"/>
          <w:szCs w:val="16"/>
          <w:color w:val="auto"/>
        </w:rPr>
        <w:t>Certain controls were not executed or performed or were performed without sufficient documentation supporting the execution of the controls.</w:t>
      </w:r>
    </w:p>
    <w:p>
      <w:pPr>
        <w:spacing w:after="0" w:line="32" w:lineRule="exact"/>
        <w:rPr>
          <w:rFonts w:ascii="Arial" w:cs="Arial" w:eastAsia="Arial" w:hAnsi="Arial"/>
          <w:sz w:val="16"/>
          <w:szCs w:val="16"/>
          <w:color w:val="auto"/>
        </w:rPr>
      </w:pPr>
    </w:p>
    <w:p>
      <w:pPr>
        <w:ind w:left="640" w:hanging="146"/>
        <w:spacing w:after="0"/>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Company had inadequate segregation of duties for certain business transactions.</w:t>
      </w:r>
    </w:p>
    <w:p>
      <w:pPr>
        <w:sectPr>
          <w:pgSz w:w="11900" w:h="16838" w:orient="portrait"/>
          <w:cols w:equalWidth="0" w:num="1">
            <w:col w:w="11240"/>
          </w:cols>
          <w:pgMar w:left="320" w:top="125" w:right="339" w:bottom="183" w:gutter="0" w:footer="0" w:header="0"/>
        </w:sect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83" w:gutter="0" w:footer="0" w:header="0"/>
          <w:type w:val="continuous"/>
        </w:sectPr>
      </w:pPr>
    </w:p>
    <w:bookmarkStart w:id="23" w:name="page24"/>
    <w:bookmarkEnd w:id="23"/>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Plan for Remediation of Material Weakness</w:t>
      </w:r>
    </w:p>
    <w:p>
      <w:pPr>
        <w:spacing w:after="0" w:line="225" w:lineRule="exact"/>
        <w:rPr>
          <w:sz w:val="20"/>
          <w:szCs w:val="20"/>
          <w:color w:val="auto"/>
        </w:rPr>
      </w:pPr>
    </w:p>
    <w:p>
      <w:pPr>
        <w:jc w:val="both"/>
        <w:ind w:firstLine="486"/>
        <w:spacing w:after="0" w:line="269" w:lineRule="auto"/>
        <w:rPr>
          <w:sz w:val="20"/>
          <w:szCs w:val="20"/>
          <w:color w:val="auto"/>
        </w:rPr>
      </w:pPr>
      <w:r>
        <w:rPr>
          <w:rFonts w:ascii="Arial" w:cs="Arial" w:eastAsia="Arial" w:hAnsi="Arial"/>
          <w:sz w:val="17"/>
          <w:szCs w:val="17"/>
          <w:color w:val="auto"/>
        </w:rPr>
        <w:t>In the prior year, the Company identified that the number of accounting personnel and the limited utilization of information technology in its control structure were the primary contributing factors to the material weaknesses identified. The Company hired additional personnel during the fiscal year ended March 31, 2023 ("fiscal 2023") and believes it is adequately staffed to execute the remediation plans developed by management. The previously identified material weaknesses have not been remediated due to ongoing post-acquisition integration during fiscal 2023. The operation of the full business in a new enterprise resource planning ("ERP") system is the most significant piece of this integration. All of the Company's flat-roll segment locations were integrated into the new ERP system as of February 2023. The Company's tubular segment went live under the new ERP system at the start of August 2023. The Company expects the new ERP system to allow for many of the Company’s current manual controls and missing controls to be performed by the design and capabilities of the ERP system rather than relying on manual human execution. With most of the post-acquisition integration completed, the Company expects its additional personnel will be able to dedicate the necessary time during the fiscal year ended March 31, 2024 to improve the design, documentation and execution of internal controls. The Company has also engaged a consultant to assist with remediation efforts and to support the Company's design, documentation and testing of internal controls.</w:t>
      </w:r>
    </w:p>
    <w:p>
      <w:pPr>
        <w:spacing w:after="0" w:line="182"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We will continue to monitor the design and effectiveness of these procedures and controls and make any further changes the Company determines appropriate. We believe the additional investment in human capital and technology described above will allow the Company to remediate the material weaknesses identified. However, the material weaknesses will not be considered remediated until the applicable remedial actions operate effectively for a sufficient period of time.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Controls over Financial Reporting</w:t>
      </w:r>
    </w:p>
    <w:p>
      <w:pPr>
        <w:spacing w:after="0" w:line="225"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Except as discussed above, there were no changes in the Company's internal control over financial reporting that occurred during the fiscal quarter ended September 30, 2023 that have materially affected, or are reasonably likely to materially affect, the Company's internal control over financial reporting.</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FRIEDMAN INDUSTRIES, INCORPORATED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Three Months Ended September 30, 2023</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20" w:type="dxa"/>
            <w:vAlign w:val="bottom"/>
          </w:tcPr>
          <w:p>
            <w:pPr>
              <w:ind w:left="240"/>
              <w:spacing w:after="0"/>
              <w:rPr>
                <w:sz w:val="20"/>
                <w:szCs w:val="20"/>
                <w:color w:val="auto"/>
              </w:rPr>
            </w:pPr>
            <w:r>
              <w:rPr>
                <w:rFonts w:ascii="Arial" w:cs="Arial" w:eastAsia="Arial" w:hAnsi="Arial"/>
                <w:sz w:val="18"/>
                <w:szCs w:val="18"/>
                <w:b w:val="1"/>
                <w:bCs w:val="1"/>
                <w:color w:val="auto"/>
              </w:rPr>
              <w:t>Exhibits</w:t>
            </w:r>
          </w:p>
        </w:tc>
        <w:tc>
          <w:tcPr>
            <w:tcW w:w="5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91"/>
        </w:trPr>
        <w:tc>
          <w:tcPr>
            <w:tcW w:w="1020" w:type="dxa"/>
            <w:vAlign w:val="bottom"/>
          </w:tcPr>
          <w:p>
            <w:pPr>
              <w:ind w:left="100"/>
              <w:spacing w:after="0"/>
              <w:rPr>
                <w:sz w:val="20"/>
                <w:szCs w:val="20"/>
                <w:color w:val="auto"/>
              </w:rPr>
            </w:pPr>
            <w:r>
              <w:rPr>
                <w:rFonts w:ascii="Arial" w:cs="Arial" w:eastAsia="Arial" w:hAnsi="Arial"/>
                <w:sz w:val="18"/>
                <w:szCs w:val="18"/>
                <w:color w:val="auto"/>
              </w:rPr>
              <w:t>3.1</w:t>
            </w:r>
          </w:p>
        </w:tc>
        <w:tc>
          <w:tcPr>
            <w:tcW w:w="10220" w:type="dxa"/>
            <w:vAlign w:val="bottom"/>
            <w:gridSpan w:val="10"/>
          </w:tcPr>
          <w:p>
            <w:pPr>
              <w:ind w:left="140"/>
              <w:spacing w:after="0"/>
              <w:rPr>
                <w:rFonts w:ascii="Arial" w:cs="Arial" w:eastAsia="Arial" w:hAnsi="Arial"/>
                <w:sz w:val="18"/>
                <w:szCs w:val="18"/>
                <w:color w:val="auto"/>
                <w:w w:val="93"/>
              </w:rPr>
            </w:pPr>
            <w:r>
              <w:rPr>
                <w:rFonts w:ascii="Arial" w:cs="Arial" w:eastAsia="Arial" w:hAnsi="Arial"/>
                <w:sz w:val="18"/>
                <w:szCs w:val="18"/>
                <w:color w:val="auto"/>
                <w:w w:val="93"/>
              </w:rPr>
              <w:t xml:space="preserve">—   </w:t>
            </w:r>
            <w:hyperlink r:id="rId39">
              <w:r>
                <w:rPr>
                  <w:rFonts w:ascii="Arial" w:cs="Arial" w:eastAsia="Arial" w:hAnsi="Arial"/>
                  <w:sz w:val="18"/>
                  <w:szCs w:val="18"/>
                  <w:color w:val="0000EE"/>
                  <w:w w:val="93"/>
                </w:rPr>
                <w:t>Articles of Incorporation of the Company, as amended (incorporated by reference from Exhibit 3.1 to the Company’s Form S-8 filed</w:t>
              </w:r>
            </w:hyperlink>
          </w:p>
        </w:tc>
      </w:tr>
      <w:tr>
        <w:trPr>
          <w:trHeight w:val="196"/>
        </w:trPr>
        <w:tc>
          <w:tcPr>
            <w:tcW w:w="10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76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9"/>
              </w:rPr>
            </w:pPr>
            <w:hyperlink r:id="rId39">
              <w:r>
                <w:rPr>
                  <w:rFonts w:ascii="Arial" w:cs="Arial" w:eastAsia="Arial" w:hAnsi="Arial"/>
                  <w:sz w:val="18"/>
                  <w:szCs w:val="18"/>
                  <w:color w:val="0000EE"/>
                  <w:w w:val="89"/>
                </w:rPr>
                <w:t>on December 21, 2016).</w:t>
              </w:r>
            </w:hyperlink>
          </w:p>
        </w:tc>
        <w:tc>
          <w:tcPr>
            <w:tcW w:w="7900" w:type="dxa"/>
            <w:vAlign w:val="bottom"/>
            <w:tcBorders>
              <w:top w:val="single" w:sz="8" w:color="0000EE"/>
            </w:tcBorders>
            <w:gridSpan w:val="6"/>
          </w:tcPr>
          <w:p>
            <w:pPr>
              <w:spacing w:after="0"/>
              <w:rPr>
                <w:sz w:val="17"/>
                <w:szCs w:val="17"/>
                <w:color w:val="auto"/>
              </w:rPr>
            </w:pPr>
          </w:p>
        </w:tc>
      </w:tr>
      <w:tr>
        <w:trPr>
          <w:trHeight w:val="412"/>
        </w:trPr>
        <w:tc>
          <w:tcPr>
            <w:tcW w:w="1020" w:type="dxa"/>
            <w:vAlign w:val="bottom"/>
          </w:tcPr>
          <w:p>
            <w:pPr>
              <w:ind w:left="100"/>
              <w:spacing w:after="0"/>
              <w:rPr>
                <w:sz w:val="20"/>
                <w:szCs w:val="20"/>
                <w:color w:val="auto"/>
              </w:rPr>
            </w:pPr>
            <w:r>
              <w:rPr>
                <w:rFonts w:ascii="Arial" w:cs="Arial" w:eastAsia="Arial" w:hAnsi="Arial"/>
                <w:sz w:val="18"/>
                <w:szCs w:val="18"/>
                <w:color w:val="auto"/>
              </w:rPr>
              <w:t>3.2</w:t>
            </w:r>
          </w:p>
        </w:tc>
        <w:tc>
          <w:tcPr>
            <w:tcW w:w="10220" w:type="dxa"/>
            <w:vAlign w:val="bottom"/>
            <w:gridSpan w:val="10"/>
          </w:tcPr>
          <w:p>
            <w:pPr>
              <w:ind w:left="140"/>
              <w:spacing w:after="0"/>
              <w:rPr>
                <w:rFonts w:ascii="Arial" w:cs="Arial" w:eastAsia="Arial" w:hAnsi="Arial"/>
                <w:sz w:val="18"/>
                <w:szCs w:val="18"/>
                <w:color w:val="auto"/>
                <w:w w:val="93"/>
              </w:rPr>
            </w:pPr>
            <w:r>
              <w:rPr>
                <w:rFonts w:ascii="Arial" w:cs="Arial" w:eastAsia="Arial" w:hAnsi="Arial"/>
                <w:sz w:val="18"/>
                <w:szCs w:val="18"/>
                <w:color w:val="auto"/>
                <w:w w:val="93"/>
              </w:rPr>
              <w:t xml:space="preserve">—   </w:t>
            </w:r>
            <w:hyperlink r:id="rId39">
              <w:r>
                <w:rPr>
                  <w:rFonts w:ascii="Arial" w:cs="Arial" w:eastAsia="Arial" w:hAnsi="Arial"/>
                  <w:sz w:val="18"/>
                  <w:szCs w:val="18"/>
                  <w:color w:val="0000EE"/>
                  <w:w w:val="93"/>
                </w:rPr>
                <w:t>Articles of Amendment to the Articles of Incorporation of the Company, as filed with the Texas Secretary of State on September 22,</w:t>
              </w:r>
            </w:hyperlink>
          </w:p>
        </w:tc>
      </w:tr>
      <w:tr>
        <w:trPr>
          <w:trHeight w:val="196"/>
        </w:trPr>
        <w:tc>
          <w:tcPr>
            <w:tcW w:w="10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660" w:type="dxa"/>
            <w:vAlign w:val="bottom"/>
            <w:tcBorders>
              <w:top w:val="single" w:sz="8" w:color="0000EE"/>
            </w:tcBorders>
            <w:gridSpan w:val="9"/>
          </w:tcPr>
          <w:p>
            <w:pPr>
              <w:spacing w:after="0" w:line="196" w:lineRule="exact"/>
              <w:rPr>
                <w:rFonts w:ascii="Arial" w:cs="Arial" w:eastAsia="Arial" w:hAnsi="Arial"/>
                <w:sz w:val="18"/>
                <w:szCs w:val="18"/>
                <w:color w:val="0000EE"/>
              </w:rPr>
            </w:pPr>
            <w:hyperlink r:id="rId39">
              <w:r>
                <w:rPr>
                  <w:rFonts w:ascii="Arial" w:cs="Arial" w:eastAsia="Arial" w:hAnsi="Arial"/>
                  <w:sz w:val="18"/>
                  <w:szCs w:val="18"/>
                  <w:color w:val="0000EE"/>
                </w:rPr>
                <w:t>1987 (incorporated by reference from Exhibit 3.1 to the Company’s Form S-8 filed on December 21, 2016).</w:t>
              </w:r>
            </w:hyperlink>
          </w:p>
        </w:tc>
      </w:tr>
      <w:tr>
        <w:trPr>
          <w:trHeight w:val="20"/>
        </w:trPr>
        <w:tc>
          <w:tcPr>
            <w:tcW w:w="10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800" w:type="dxa"/>
            <w:vAlign w:val="bottom"/>
            <w:gridSpan w:val="2"/>
            <w:shd w:val="clear" w:color="auto" w:fill="0000EE"/>
          </w:tcPr>
          <w:p>
            <w:pPr>
              <w:spacing w:after="0" w:line="20" w:lineRule="exact"/>
              <w:rPr>
                <w:sz w:val="1"/>
                <w:szCs w:val="1"/>
                <w:color w:val="auto"/>
              </w:rPr>
            </w:pPr>
          </w:p>
        </w:tc>
        <w:tc>
          <w:tcPr>
            <w:tcW w:w="28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020" w:type="dxa"/>
            <w:vAlign w:val="bottom"/>
          </w:tcPr>
          <w:p>
            <w:pPr>
              <w:ind w:left="100"/>
              <w:spacing w:after="0"/>
              <w:rPr>
                <w:sz w:val="20"/>
                <w:szCs w:val="20"/>
                <w:color w:val="auto"/>
              </w:rPr>
            </w:pPr>
            <w:r>
              <w:rPr>
                <w:rFonts w:ascii="Arial" w:cs="Arial" w:eastAsia="Arial" w:hAnsi="Arial"/>
                <w:sz w:val="18"/>
                <w:szCs w:val="18"/>
                <w:color w:val="auto"/>
              </w:rPr>
              <w:t>3.3</w:t>
            </w:r>
          </w:p>
        </w:tc>
        <w:tc>
          <w:tcPr>
            <w:tcW w:w="10220" w:type="dxa"/>
            <w:vAlign w:val="bottom"/>
            <w:gridSpan w:val="10"/>
          </w:tcPr>
          <w:p>
            <w:pPr>
              <w:ind w:left="140"/>
              <w:spacing w:after="0"/>
              <w:rPr>
                <w:rFonts w:ascii="Arial" w:cs="Arial" w:eastAsia="Arial" w:hAnsi="Arial"/>
                <w:sz w:val="18"/>
                <w:szCs w:val="18"/>
                <w:color w:val="auto"/>
                <w:w w:val="93"/>
              </w:rPr>
            </w:pPr>
            <w:r>
              <w:rPr>
                <w:rFonts w:ascii="Arial" w:cs="Arial" w:eastAsia="Arial" w:hAnsi="Arial"/>
                <w:sz w:val="18"/>
                <w:szCs w:val="18"/>
                <w:color w:val="auto"/>
                <w:w w:val="93"/>
              </w:rPr>
              <w:t xml:space="preserve">—   </w:t>
            </w:r>
            <w:hyperlink r:id="rId40">
              <w:r>
                <w:rPr>
                  <w:rFonts w:ascii="Arial" w:cs="Arial" w:eastAsia="Arial" w:hAnsi="Arial"/>
                  <w:sz w:val="18"/>
                  <w:szCs w:val="18"/>
                  <w:color w:val="0000EE"/>
                  <w:w w:val="93"/>
                </w:rPr>
                <w:t>Amended and Restated Bylaws of the Company, as amended on November 8, 2021. (incorporated by reference from Exhibit 3.3 to</w:t>
              </w:r>
            </w:hyperlink>
          </w:p>
        </w:tc>
      </w:tr>
      <w:tr>
        <w:trPr>
          <w:trHeight w:val="196"/>
        </w:trPr>
        <w:tc>
          <w:tcPr>
            <w:tcW w:w="10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660" w:type="dxa"/>
            <w:vAlign w:val="bottom"/>
            <w:tcBorders>
              <w:top w:val="single" w:sz="8" w:color="0000EE"/>
            </w:tcBorders>
            <w:gridSpan w:val="9"/>
          </w:tcPr>
          <w:p>
            <w:pPr>
              <w:spacing w:after="0" w:line="196" w:lineRule="exact"/>
              <w:rPr>
                <w:rFonts w:ascii="Arial" w:cs="Arial" w:eastAsia="Arial" w:hAnsi="Arial"/>
                <w:sz w:val="18"/>
                <w:szCs w:val="18"/>
                <w:color w:val="0000EE"/>
              </w:rPr>
            </w:pPr>
            <w:hyperlink r:id="rId40">
              <w:r>
                <w:rPr>
                  <w:rFonts w:ascii="Arial" w:cs="Arial" w:eastAsia="Arial" w:hAnsi="Arial"/>
                  <w:sz w:val="18"/>
                  <w:szCs w:val="18"/>
                  <w:color w:val="0000EE"/>
                </w:rPr>
                <w:t>the Company's Form 10-Q filed on November 19, 2021).</w:t>
              </w:r>
            </w:hyperlink>
          </w:p>
        </w:tc>
      </w:tr>
      <w:tr>
        <w:trPr>
          <w:trHeight w:val="20"/>
        </w:trPr>
        <w:tc>
          <w:tcPr>
            <w:tcW w:w="10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800" w:type="dxa"/>
            <w:vAlign w:val="bottom"/>
            <w:gridSpan w:val="2"/>
            <w:shd w:val="clear" w:color="auto" w:fill="0000EE"/>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020" w:type="dxa"/>
            <w:vAlign w:val="bottom"/>
          </w:tcPr>
          <w:p>
            <w:pPr>
              <w:ind w:left="100"/>
              <w:spacing w:after="0"/>
              <w:rPr>
                <w:sz w:val="20"/>
                <w:szCs w:val="20"/>
                <w:color w:val="auto"/>
              </w:rPr>
            </w:pPr>
            <w:r>
              <w:rPr>
                <w:rFonts w:ascii="Arial" w:cs="Arial" w:eastAsia="Arial" w:hAnsi="Arial"/>
                <w:sz w:val="18"/>
                <w:szCs w:val="18"/>
                <w:color w:val="auto"/>
              </w:rPr>
              <w:t>31.1</w:t>
            </w:r>
          </w:p>
        </w:tc>
        <w:tc>
          <w:tcPr>
            <w:tcW w:w="10220" w:type="dxa"/>
            <w:vAlign w:val="bottom"/>
            <w:gridSpan w:val="10"/>
          </w:tcPr>
          <w:p>
            <w:pPr>
              <w:ind w:left="14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color w:val="0000EE"/>
              </w:rPr>
              <w:t>Certification Pursuant to Section 302 of the Sarbanes-Oxley Act of 2002, signed by Michael J. Taylor.</w:t>
            </w:r>
          </w:p>
        </w:tc>
      </w:tr>
      <w:tr>
        <w:trPr>
          <w:trHeight w:val="20"/>
        </w:trPr>
        <w:tc>
          <w:tcPr>
            <w:tcW w:w="10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5680" w:type="dxa"/>
            <w:vAlign w:val="bottom"/>
            <w:gridSpan w:val="3"/>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020" w:type="dxa"/>
            <w:vAlign w:val="bottom"/>
          </w:tcPr>
          <w:p>
            <w:pPr>
              <w:ind w:left="100"/>
              <w:spacing w:after="0"/>
              <w:rPr>
                <w:sz w:val="20"/>
                <w:szCs w:val="20"/>
                <w:color w:val="auto"/>
              </w:rPr>
            </w:pPr>
            <w:r>
              <w:rPr>
                <w:rFonts w:ascii="Arial" w:cs="Arial" w:eastAsia="Arial" w:hAnsi="Arial"/>
                <w:sz w:val="18"/>
                <w:szCs w:val="18"/>
                <w:color w:val="auto"/>
              </w:rPr>
              <w:t>31.2</w:t>
            </w:r>
          </w:p>
        </w:tc>
        <w:tc>
          <w:tcPr>
            <w:tcW w:w="10220" w:type="dxa"/>
            <w:vAlign w:val="bottom"/>
            <w:gridSpan w:val="10"/>
          </w:tcPr>
          <w:p>
            <w:pPr>
              <w:ind w:left="14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color w:val="0000EE"/>
              </w:rPr>
              <w:t>Certification Pursuant to Section 302 of the Sarbanes-Oxley Act of 2002, signed by Alex LaRue.</w:t>
            </w:r>
          </w:p>
        </w:tc>
      </w:tr>
      <w:tr>
        <w:trPr>
          <w:trHeight w:val="20"/>
        </w:trPr>
        <w:tc>
          <w:tcPr>
            <w:tcW w:w="10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5680" w:type="dxa"/>
            <w:vAlign w:val="bottom"/>
            <w:gridSpan w:val="3"/>
            <w:shd w:val="clear" w:color="auto" w:fill="0000EE"/>
          </w:tcPr>
          <w:p>
            <w:pPr>
              <w:spacing w:after="0" w:line="20" w:lineRule="exact"/>
              <w:rPr>
                <w:sz w:val="1"/>
                <w:szCs w:val="1"/>
                <w:color w:val="auto"/>
              </w:rPr>
            </w:pPr>
          </w:p>
        </w:tc>
        <w:tc>
          <w:tcPr>
            <w:tcW w:w="26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020" w:type="dxa"/>
            <w:vAlign w:val="bottom"/>
          </w:tcPr>
          <w:p>
            <w:pPr>
              <w:ind w:left="100"/>
              <w:spacing w:after="0"/>
              <w:rPr>
                <w:sz w:val="20"/>
                <w:szCs w:val="20"/>
                <w:color w:val="auto"/>
              </w:rPr>
            </w:pPr>
            <w:r>
              <w:rPr>
                <w:rFonts w:ascii="Arial" w:cs="Arial" w:eastAsia="Arial" w:hAnsi="Arial"/>
                <w:sz w:val="18"/>
                <w:szCs w:val="18"/>
                <w:color w:val="auto"/>
              </w:rPr>
              <w:t>32.1</w:t>
            </w:r>
          </w:p>
        </w:tc>
        <w:tc>
          <w:tcPr>
            <w:tcW w:w="10220" w:type="dxa"/>
            <w:vAlign w:val="bottom"/>
            <w:gridSpan w:val="10"/>
          </w:tcPr>
          <w:p>
            <w:pPr>
              <w:ind w:left="140"/>
              <w:spacing w:after="0"/>
              <w:rPr>
                <w:sz w:val="20"/>
                <w:szCs w:val="20"/>
                <w:color w:val="auto"/>
              </w:rPr>
            </w:pPr>
            <w:r>
              <w:rPr>
                <w:rFonts w:ascii="Arial" w:cs="Arial" w:eastAsia="Arial" w:hAnsi="Arial"/>
                <w:sz w:val="18"/>
                <w:szCs w:val="18"/>
                <w:color w:val="auto"/>
                <w:w w:val="92"/>
              </w:rPr>
              <w:t xml:space="preserve">—   </w:t>
            </w:r>
            <w:r>
              <w:rPr>
                <w:rFonts w:ascii="Arial" w:cs="Arial" w:eastAsia="Arial" w:hAnsi="Arial"/>
                <w:sz w:val="18"/>
                <w:szCs w:val="18"/>
                <w:color w:val="0000EE"/>
                <w:w w:val="92"/>
              </w:rPr>
              <w:t>Certification Pursuant to 18 U.S.C. Section 1350, as Adopted Pursuant to Section 906 of the Sarbanes-Oxley Act of 2002, signed by</w:t>
            </w:r>
          </w:p>
        </w:tc>
      </w:tr>
      <w:tr>
        <w:trPr>
          <w:trHeight w:val="196"/>
        </w:trPr>
        <w:tc>
          <w:tcPr>
            <w:tcW w:w="10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640" w:type="dxa"/>
            <w:vAlign w:val="bottom"/>
            <w:tcBorders>
              <w:top w:val="single" w:sz="8" w:color="0000EE"/>
            </w:tcBorders>
            <w:gridSpan w:val="8"/>
          </w:tcPr>
          <w:p>
            <w:pPr>
              <w:spacing w:after="0" w:line="196" w:lineRule="exact"/>
              <w:rPr>
                <w:sz w:val="20"/>
                <w:szCs w:val="20"/>
                <w:color w:val="auto"/>
              </w:rPr>
            </w:pPr>
            <w:r>
              <w:rPr>
                <w:rFonts w:ascii="Arial" w:cs="Arial" w:eastAsia="Arial" w:hAnsi="Arial"/>
                <w:sz w:val="18"/>
                <w:szCs w:val="18"/>
                <w:color w:val="0000EE"/>
              </w:rPr>
              <w:t>Michael J. Taylor.</w:t>
            </w:r>
          </w:p>
        </w:tc>
        <w:tc>
          <w:tcPr>
            <w:tcW w:w="20" w:type="dxa"/>
            <w:vAlign w:val="bottom"/>
          </w:tcPr>
          <w:p>
            <w:pPr>
              <w:spacing w:after="0"/>
              <w:rPr>
                <w:sz w:val="17"/>
                <w:szCs w:val="17"/>
                <w:color w:val="auto"/>
              </w:rPr>
            </w:pPr>
          </w:p>
        </w:tc>
      </w:tr>
      <w:tr>
        <w:trPr>
          <w:trHeight w:val="20"/>
        </w:trPr>
        <w:tc>
          <w:tcPr>
            <w:tcW w:w="10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360" w:type="dxa"/>
            <w:vAlign w:val="bottom"/>
            <w:gridSpan w:val="7"/>
          </w:tcPr>
          <w:p>
            <w:pPr>
              <w:spacing w:after="0" w:line="20" w:lineRule="exact"/>
              <w:rPr>
                <w:sz w:val="1"/>
                <w:szCs w:val="1"/>
                <w:color w:val="auto"/>
              </w:rPr>
            </w:pPr>
          </w:p>
        </w:tc>
      </w:tr>
      <w:tr>
        <w:trPr>
          <w:trHeight w:val="412"/>
        </w:trPr>
        <w:tc>
          <w:tcPr>
            <w:tcW w:w="1020" w:type="dxa"/>
            <w:vAlign w:val="bottom"/>
          </w:tcPr>
          <w:p>
            <w:pPr>
              <w:ind w:left="100"/>
              <w:spacing w:after="0"/>
              <w:rPr>
                <w:sz w:val="20"/>
                <w:szCs w:val="20"/>
                <w:color w:val="auto"/>
              </w:rPr>
            </w:pPr>
            <w:r>
              <w:rPr>
                <w:rFonts w:ascii="Arial" w:cs="Arial" w:eastAsia="Arial" w:hAnsi="Arial"/>
                <w:sz w:val="18"/>
                <w:szCs w:val="18"/>
                <w:color w:val="auto"/>
              </w:rPr>
              <w:t>32.2</w:t>
            </w:r>
          </w:p>
        </w:tc>
        <w:tc>
          <w:tcPr>
            <w:tcW w:w="10220" w:type="dxa"/>
            <w:vAlign w:val="bottom"/>
            <w:gridSpan w:val="10"/>
          </w:tcPr>
          <w:p>
            <w:pPr>
              <w:ind w:left="140"/>
              <w:spacing w:after="0"/>
              <w:rPr>
                <w:sz w:val="20"/>
                <w:szCs w:val="20"/>
                <w:color w:val="auto"/>
              </w:rPr>
            </w:pPr>
            <w:r>
              <w:rPr>
                <w:rFonts w:ascii="Arial" w:cs="Arial" w:eastAsia="Arial" w:hAnsi="Arial"/>
                <w:sz w:val="18"/>
                <w:szCs w:val="18"/>
                <w:color w:val="auto"/>
                <w:w w:val="92"/>
              </w:rPr>
              <w:t xml:space="preserve">—   </w:t>
            </w:r>
            <w:r>
              <w:rPr>
                <w:rFonts w:ascii="Arial" w:cs="Arial" w:eastAsia="Arial" w:hAnsi="Arial"/>
                <w:sz w:val="18"/>
                <w:szCs w:val="18"/>
                <w:color w:val="0000EE"/>
                <w:w w:val="92"/>
              </w:rPr>
              <w:t>Certification Pursuant to 18 U.S.C. Section 1350, as Adopted Pursuant to Section 906 of the Sarbanes-Oxley Act of 2002, signed by</w:t>
            </w:r>
          </w:p>
        </w:tc>
      </w:tr>
      <w:tr>
        <w:trPr>
          <w:trHeight w:val="196"/>
        </w:trPr>
        <w:tc>
          <w:tcPr>
            <w:tcW w:w="10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640" w:type="dxa"/>
            <w:vAlign w:val="bottom"/>
            <w:tcBorders>
              <w:top w:val="single" w:sz="8" w:color="0000EE"/>
            </w:tcBorders>
            <w:gridSpan w:val="8"/>
          </w:tcPr>
          <w:p>
            <w:pPr>
              <w:spacing w:after="0" w:line="196" w:lineRule="exact"/>
              <w:rPr>
                <w:sz w:val="20"/>
                <w:szCs w:val="20"/>
                <w:color w:val="auto"/>
              </w:rPr>
            </w:pPr>
            <w:r>
              <w:rPr>
                <w:rFonts w:ascii="Arial" w:cs="Arial" w:eastAsia="Arial" w:hAnsi="Arial"/>
                <w:sz w:val="18"/>
                <w:szCs w:val="18"/>
                <w:color w:val="0000EE"/>
              </w:rPr>
              <w:t>Alex LaRue.</w:t>
            </w:r>
          </w:p>
        </w:tc>
        <w:tc>
          <w:tcPr>
            <w:tcW w:w="20" w:type="dxa"/>
            <w:vAlign w:val="bottom"/>
          </w:tcPr>
          <w:p>
            <w:pPr>
              <w:spacing w:after="0"/>
              <w:rPr>
                <w:sz w:val="17"/>
                <w:szCs w:val="17"/>
                <w:color w:val="auto"/>
              </w:rPr>
            </w:pPr>
          </w:p>
        </w:tc>
      </w:tr>
      <w:tr>
        <w:trPr>
          <w:trHeight w:val="20"/>
        </w:trPr>
        <w:tc>
          <w:tcPr>
            <w:tcW w:w="10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8740" w:type="dxa"/>
            <w:vAlign w:val="bottom"/>
            <w:gridSpan w:val="8"/>
          </w:tcPr>
          <w:p>
            <w:pPr>
              <w:spacing w:after="0" w:line="20" w:lineRule="exact"/>
              <w:rPr>
                <w:sz w:val="1"/>
                <w:szCs w:val="1"/>
                <w:color w:val="auto"/>
              </w:rPr>
            </w:pPr>
          </w:p>
        </w:tc>
      </w:tr>
      <w:tr>
        <w:trPr>
          <w:trHeight w:val="453"/>
        </w:trPr>
        <w:tc>
          <w:tcPr>
            <w:tcW w:w="1020" w:type="dxa"/>
            <w:vAlign w:val="bottom"/>
          </w:tcPr>
          <w:p>
            <w:pPr>
              <w:spacing w:after="0"/>
              <w:rPr>
                <w:sz w:val="20"/>
                <w:szCs w:val="20"/>
                <w:color w:val="auto"/>
              </w:rPr>
            </w:pPr>
            <w:r>
              <w:rPr>
                <w:rFonts w:ascii="Arial" w:cs="Arial" w:eastAsia="Arial" w:hAnsi="Arial"/>
                <w:sz w:val="18"/>
                <w:szCs w:val="18"/>
                <w:color w:val="auto"/>
              </w:rPr>
              <w:t>101.INS</w:t>
            </w:r>
          </w:p>
        </w:tc>
        <w:tc>
          <w:tcPr>
            <w:tcW w:w="10220" w:type="dxa"/>
            <w:vAlign w:val="bottom"/>
            <w:gridSpan w:val="10"/>
          </w:tcPr>
          <w:p>
            <w:pPr>
              <w:ind w:left="140"/>
              <w:spacing w:after="0"/>
              <w:rPr>
                <w:sz w:val="20"/>
                <w:szCs w:val="20"/>
                <w:color w:val="auto"/>
              </w:rPr>
            </w:pPr>
            <w:r>
              <w:rPr>
                <w:rFonts w:ascii="Arial" w:cs="Arial" w:eastAsia="Arial" w:hAnsi="Arial"/>
                <w:sz w:val="18"/>
                <w:szCs w:val="18"/>
                <w:color w:val="auto"/>
              </w:rPr>
              <w:t>—   Inline XBRL Instance Document.</w:t>
            </w:r>
          </w:p>
        </w:tc>
      </w:tr>
      <w:tr>
        <w:trPr>
          <w:trHeight w:val="432"/>
        </w:trPr>
        <w:tc>
          <w:tcPr>
            <w:tcW w:w="1020" w:type="dxa"/>
            <w:vAlign w:val="bottom"/>
          </w:tcPr>
          <w:p>
            <w:pPr>
              <w:spacing w:after="0"/>
              <w:rPr>
                <w:sz w:val="20"/>
                <w:szCs w:val="20"/>
                <w:color w:val="auto"/>
              </w:rPr>
            </w:pPr>
            <w:r>
              <w:rPr>
                <w:rFonts w:ascii="Arial" w:cs="Arial" w:eastAsia="Arial" w:hAnsi="Arial"/>
                <w:sz w:val="18"/>
                <w:szCs w:val="18"/>
                <w:color w:val="auto"/>
              </w:rPr>
              <w:t>101.SCH</w:t>
            </w:r>
          </w:p>
        </w:tc>
        <w:tc>
          <w:tcPr>
            <w:tcW w:w="10220" w:type="dxa"/>
            <w:vAlign w:val="bottom"/>
            <w:gridSpan w:val="10"/>
          </w:tcPr>
          <w:p>
            <w:pPr>
              <w:ind w:left="140"/>
              <w:spacing w:after="0"/>
              <w:rPr>
                <w:sz w:val="20"/>
                <w:szCs w:val="20"/>
                <w:color w:val="auto"/>
              </w:rPr>
            </w:pPr>
            <w:r>
              <w:rPr>
                <w:rFonts w:ascii="Arial" w:cs="Arial" w:eastAsia="Arial" w:hAnsi="Arial"/>
                <w:sz w:val="18"/>
                <w:szCs w:val="18"/>
                <w:color w:val="auto"/>
              </w:rPr>
              <w:t>—   Inline XBRL Taxonomy Schema Document.</w:t>
            </w:r>
          </w:p>
        </w:tc>
      </w:tr>
      <w:tr>
        <w:trPr>
          <w:trHeight w:val="432"/>
        </w:trPr>
        <w:tc>
          <w:tcPr>
            <w:tcW w:w="1020" w:type="dxa"/>
            <w:vAlign w:val="bottom"/>
          </w:tcPr>
          <w:p>
            <w:pPr>
              <w:spacing w:after="0"/>
              <w:rPr>
                <w:sz w:val="20"/>
                <w:szCs w:val="20"/>
                <w:color w:val="auto"/>
              </w:rPr>
            </w:pPr>
            <w:r>
              <w:rPr>
                <w:rFonts w:ascii="Arial" w:cs="Arial" w:eastAsia="Arial" w:hAnsi="Arial"/>
                <w:sz w:val="18"/>
                <w:szCs w:val="18"/>
                <w:color w:val="auto"/>
              </w:rPr>
              <w:t>101.CAL</w:t>
            </w:r>
          </w:p>
        </w:tc>
        <w:tc>
          <w:tcPr>
            <w:tcW w:w="10220" w:type="dxa"/>
            <w:vAlign w:val="bottom"/>
            <w:gridSpan w:val="10"/>
          </w:tcPr>
          <w:p>
            <w:pPr>
              <w:ind w:left="140"/>
              <w:spacing w:after="0"/>
              <w:rPr>
                <w:sz w:val="20"/>
                <w:szCs w:val="20"/>
                <w:color w:val="auto"/>
              </w:rPr>
            </w:pPr>
            <w:r>
              <w:rPr>
                <w:rFonts w:ascii="Arial" w:cs="Arial" w:eastAsia="Arial" w:hAnsi="Arial"/>
                <w:sz w:val="18"/>
                <w:szCs w:val="18"/>
                <w:color w:val="auto"/>
              </w:rPr>
              <w:t>—   Inline XBRL Calculation Linkbase Document.</w:t>
            </w:r>
          </w:p>
        </w:tc>
      </w:tr>
      <w:tr>
        <w:trPr>
          <w:trHeight w:val="432"/>
        </w:trPr>
        <w:tc>
          <w:tcPr>
            <w:tcW w:w="1020" w:type="dxa"/>
            <w:vAlign w:val="bottom"/>
          </w:tcPr>
          <w:p>
            <w:pPr>
              <w:spacing w:after="0"/>
              <w:rPr>
                <w:sz w:val="20"/>
                <w:szCs w:val="20"/>
                <w:color w:val="auto"/>
              </w:rPr>
            </w:pPr>
            <w:r>
              <w:rPr>
                <w:rFonts w:ascii="Arial" w:cs="Arial" w:eastAsia="Arial" w:hAnsi="Arial"/>
                <w:sz w:val="18"/>
                <w:szCs w:val="18"/>
                <w:color w:val="auto"/>
              </w:rPr>
              <w:t>101.DEF</w:t>
            </w:r>
          </w:p>
        </w:tc>
        <w:tc>
          <w:tcPr>
            <w:tcW w:w="10220" w:type="dxa"/>
            <w:vAlign w:val="bottom"/>
            <w:gridSpan w:val="10"/>
          </w:tcPr>
          <w:p>
            <w:pPr>
              <w:ind w:left="140"/>
              <w:spacing w:after="0"/>
              <w:rPr>
                <w:sz w:val="20"/>
                <w:szCs w:val="20"/>
                <w:color w:val="auto"/>
              </w:rPr>
            </w:pPr>
            <w:r>
              <w:rPr>
                <w:rFonts w:ascii="Arial" w:cs="Arial" w:eastAsia="Arial" w:hAnsi="Arial"/>
                <w:sz w:val="18"/>
                <w:szCs w:val="18"/>
                <w:color w:val="auto"/>
              </w:rPr>
              <w:t>—   Inline XBRL Definition Linkbase Document.</w:t>
            </w:r>
          </w:p>
        </w:tc>
      </w:tr>
      <w:tr>
        <w:trPr>
          <w:trHeight w:val="432"/>
        </w:trPr>
        <w:tc>
          <w:tcPr>
            <w:tcW w:w="1020" w:type="dxa"/>
            <w:vAlign w:val="bottom"/>
          </w:tcPr>
          <w:p>
            <w:pPr>
              <w:spacing w:after="0"/>
              <w:rPr>
                <w:sz w:val="20"/>
                <w:szCs w:val="20"/>
                <w:color w:val="auto"/>
              </w:rPr>
            </w:pPr>
            <w:r>
              <w:rPr>
                <w:rFonts w:ascii="Arial" w:cs="Arial" w:eastAsia="Arial" w:hAnsi="Arial"/>
                <w:sz w:val="18"/>
                <w:szCs w:val="18"/>
                <w:color w:val="auto"/>
              </w:rPr>
              <w:t>101.LAB</w:t>
            </w:r>
          </w:p>
        </w:tc>
        <w:tc>
          <w:tcPr>
            <w:tcW w:w="10220" w:type="dxa"/>
            <w:vAlign w:val="bottom"/>
            <w:gridSpan w:val="10"/>
          </w:tcPr>
          <w:p>
            <w:pPr>
              <w:ind w:left="140"/>
              <w:spacing w:after="0"/>
              <w:rPr>
                <w:sz w:val="20"/>
                <w:szCs w:val="20"/>
                <w:color w:val="auto"/>
              </w:rPr>
            </w:pPr>
            <w:r>
              <w:rPr>
                <w:rFonts w:ascii="Arial" w:cs="Arial" w:eastAsia="Arial" w:hAnsi="Arial"/>
                <w:sz w:val="18"/>
                <w:szCs w:val="18"/>
                <w:color w:val="auto"/>
              </w:rPr>
              <w:t>—   Inline XBRL Label Linkbase Document.</w:t>
            </w:r>
          </w:p>
        </w:tc>
      </w:tr>
      <w:tr>
        <w:trPr>
          <w:trHeight w:val="432"/>
        </w:trPr>
        <w:tc>
          <w:tcPr>
            <w:tcW w:w="1020" w:type="dxa"/>
            <w:vAlign w:val="bottom"/>
          </w:tcPr>
          <w:p>
            <w:pPr>
              <w:spacing w:after="0"/>
              <w:rPr>
                <w:sz w:val="20"/>
                <w:szCs w:val="20"/>
                <w:color w:val="auto"/>
              </w:rPr>
            </w:pPr>
            <w:r>
              <w:rPr>
                <w:rFonts w:ascii="Arial" w:cs="Arial" w:eastAsia="Arial" w:hAnsi="Arial"/>
                <w:sz w:val="18"/>
                <w:szCs w:val="18"/>
                <w:color w:val="auto"/>
              </w:rPr>
              <w:t>101.PRE</w:t>
            </w:r>
          </w:p>
        </w:tc>
        <w:tc>
          <w:tcPr>
            <w:tcW w:w="10220" w:type="dxa"/>
            <w:vAlign w:val="bottom"/>
            <w:gridSpan w:val="10"/>
          </w:tcPr>
          <w:p>
            <w:pPr>
              <w:ind w:left="140"/>
              <w:spacing w:after="0"/>
              <w:rPr>
                <w:sz w:val="20"/>
                <w:szCs w:val="20"/>
                <w:color w:val="auto"/>
              </w:rPr>
            </w:pPr>
            <w:r>
              <w:rPr>
                <w:rFonts w:ascii="Arial" w:cs="Arial" w:eastAsia="Arial" w:hAnsi="Arial"/>
                <w:sz w:val="18"/>
                <w:szCs w:val="18"/>
                <w:color w:val="auto"/>
              </w:rPr>
              <w:t>—   Inline XBRL Presentation Linkbase Document.</w:t>
            </w:r>
          </w:p>
        </w:tc>
      </w:tr>
    </w:tbl>
    <w:p>
      <w:pPr>
        <w:spacing w:after="0" w:line="202" w:lineRule="exact"/>
        <w:rPr>
          <w:sz w:val="20"/>
          <w:szCs w:val="20"/>
          <w:color w:val="auto"/>
        </w:rPr>
      </w:pPr>
    </w:p>
    <w:p>
      <w:pPr>
        <w:ind w:left="5540" w:right="3500" w:hanging="5532"/>
        <w:spacing w:after="0" w:line="527" w:lineRule="auto"/>
        <w:tabs>
          <w:tab w:leader="none" w:pos="1134" w:val="left"/>
        </w:tabs>
        <w:numPr>
          <w:ilvl w:val="0"/>
          <w:numId w:val="7"/>
        </w:numPr>
        <w:rPr>
          <w:rFonts w:ascii="Arial" w:cs="Arial" w:eastAsia="Arial" w:hAnsi="Arial"/>
          <w:sz w:val="18"/>
          <w:szCs w:val="18"/>
          <w:color w:val="auto"/>
        </w:rPr>
      </w:pPr>
      <w:r>
        <w:rPr>
          <w:rFonts w:ascii="Arial" w:cs="Arial" w:eastAsia="Arial" w:hAnsi="Arial"/>
          <w:sz w:val="18"/>
          <w:szCs w:val="18"/>
          <w:color w:val="auto"/>
        </w:rPr>
        <w:t>— Cover Page Interactive File (formatted as Inline XBRL and contained in Exhibit 101)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-87630</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u w:val="single" w:color="auto"/>
          <w:color w:val="0000EE"/>
        </w:rPr>
        <w:t>Table of Contents</w:t>
      </w: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441"/>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FRIEDMAN INDUSTRIES, INCORPORATED</w:t>
      </w:r>
    </w:p>
    <w:p>
      <w:pPr>
        <w:sectPr>
          <w:pgSz w:w="11900" w:h="16838" w:orient="portrait"/>
          <w:cols w:equalWidth="0" w:num="1">
            <w:col w:w="11240"/>
          </w:cols>
          <w:pgMar w:left="320" w:top="125" w:right="339" w:bottom="1440" w:gutter="0" w:footer="0" w:header="0"/>
        </w:sectPr>
      </w:pP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Date: November 14, 2023</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jc w:val="center"/>
        <w:ind w:right="2160"/>
        <w:spacing w:after="0"/>
        <w:tabs>
          <w:tab w:leader="none" w:pos="160" w:val="left"/>
        </w:tabs>
        <w:rPr>
          <w:sz w:val="20"/>
          <w:szCs w:val="20"/>
          <w:color w:val="auto"/>
        </w:rPr>
      </w:pPr>
      <w:r>
        <w:rPr>
          <w:rFonts w:ascii="Arial" w:cs="Arial" w:eastAsia="Arial" w:hAnsi="Arial"/>
          <w:sz w:val="18"/>
          <w:szCs w:val="18"/>
          <w:color w:val="auto"/>
        </w:rPr>
        <w:t>/s/</w:t>
        <w:tab/>
        <w:t>ALEX LARUE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-1151255</wp:posOffset>
            </wp:positionH>
            <wp:positionV relativeFrom="paragraph">
              <wp:posOffset>14605</wp:posOffset>
            </wp:positionV>
            <wp:extent cx="346329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2">
                      <a:extLst>
                        <a:ext uri="{28A0092B-C50C-407E-A947-70E740481C1C}"/>
                      </a:extLst>
                    </a:blip>
                    <a:srcRect/>
                    <a:stretch>
                      <a:fillRect/>
                    </a:stretch>
                  </pic:blipFill>
                  <pic:spPr bwMode="auto">
                    <a:xfrm>
                      <a:off x="0" y="0"/>
                      <a:ext cx="3463290" cy="8255"/>
                    </a:xfrm>
                    <a:prstGeom prst="rect">
                      <a:avLst/>
                    </a:prstGeom>
                    <a:noFill/>
                  </pic:spPr>
                </pic:pic>
              </a:graphicData>
            </a:graphic>
          </wp:anchor>
        </w:drawing>
      </w:r>
    </w:p>
    <w:p>
      <w:pPr>
        <w:spacing w:after="0" w:line="23" w:lineRule="exact"/>
        <w:rPr>
          <w:sz w:val="20"/>
          <w:szCs w:val="20"/>
          <w:color w:val="auto"/>
        </w:rPr>
      </w:pPr>
    </w:p>
    <w:p>
      <w:pPr>
        <w:sectPr>
          <w:pgSz w:w="11900" w:h="16838" w:orient="portrait"/>
          <w:cols w:equalWidth="0" w:num="3">
            <w:col w:w="4640" w:space="720"/>
            <w:col w:w="1520" w:space="720"/>
            <w:col w:w="3640"/>
          </w:cols>
          <w:pgMar w:left="320" w:top="125" w:right="339" w:bottom="1440" w:gutter="0" w:footer="0" w:header="0"/>
          <w:type w:val="continuous"/>
        </w:sectPr>
      </w:pPr>
    </w:p>
    <w:p>
      <w:pPr>
        <w:jc w:val="center"/>
        <w:ind w:left="5780"/>
        <w:spacing w:after="0"/>
        <w:rPr>
          <w:sz w:val="20"/>
          <w:szCs w:val="20"/>
          <w:color w:val="auto"/>
        </w:rPr>
      </w:pPr>
      <w:r>
        <w:rPr>
          <w:rFonts w:ascii="Arial" w:cs="Arial" w:eastAsia="Arial" w:hAnsi="Arial"/>
          <w:sz w:val="16"/>
          <w:szCs w:val="16"/>
          <w:color w:val="auto"/>
        </w:rPr>
        <w:t>Alex LaRue, Chief Financial Officer – Secretary and</w:t>
      </w:r>
    </w:p>
    <w:p>
      <w:pPr>
        <w:spacing w:after="0" w:line="46" w:lineRule="exact"/>
        <w:rPr>
          <w:sz w:val="20"/>
          <w:szCs w:val="20"/>
          <w:color w:val="auto"/>
        </w:rPr>
      </w:pPr>
    </w:p>
    <w:p>
      <w:pPr>
        <w:jc w:val="center"/>
        <w:ind w:left="5780"/>
        <w:spacing w:after="0"/>
        <w:rPr>
          <w:sz w:val="20"/>
          <w:szCs w:val="20"/>
          <w:color w:val="auto"/>
        </w:rPr>
      </w:pPr>
      <w:r>
        <w:rPr>
          <w:rFonts w:ascii="Arial" w:cs="Arial" w:eastAsia="Arial" w:hAnsi="Arial"/>
          <w:sz w:val="18"/>
          <w:szCs w:val="18"/>
          <w:color w:val="auto"/>
        </w:rPr>
        <w:t>Treasurer (Principal Financial Officer)</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24</w:t>
      </w:r>
    </w:p>
    <w:p>
      <w:pPr>
        <w:sectPr>
          <w:pgSz w:w="11900" w:h="16838" w:orient="portrait"/>
          <w:cols w:equalWidth="0" w:num="1">
            <w:col w:w="11240"/>
          </w:cols>
          <w:pgMar w:left="320" w:top="125" w:right="339" w:bottom="1440" w:gutter="0" w:footer="0" w:header="0"/>
          <w:type w:val="continuous"/>
        </w:sectPr>
      </w:pPr>
    </w:p>
    <w:bookmarkStart w:id="26" w:name="page27"/>
    <w:bookmarkEnd w:id="26"/>
    <w:p>
      <w:pPr>
        <w:jc w:val="right"/>
        <w:spacing w:after="0"/>
        <w:rPr>
          <w:sz w:val="20"/>
          <w:szCs w:val="20"/>
          <w:color w:val="auto"/>
        </w:rPr>
      </w:pPr>
      <w:r>
        <w:rPr>
          <w:rFonts w:ascii="Arial" w:cs="Arial" w:eastAsia="Arial" w:hAnsi="Arial"/>
          <w:sz w:val="18"/>
          <w:szCs w:val="18"/>
          <w:b w:val="1"/>
          <w:bCs w:val="1"/>
          <w:color w:val="auto"/>
        </w:rPr>
        <w:t>EXHIBIT 31.1</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Michael J. Taylor, certify that:</w:t>
      </w:r>
    </w:p>
    <w:p>
      <w:pPr>
        <w:spacing w:after="0" w:line="225" w:lineRule="exact"/>
        <w:rPr>
          <w:sz w:val="20"/>
          <w:szCs w:val="20"/>
          <w:color w:val="auto"/>
        </w:rPr>
      </w:pPr>
    </w:p>
    <w:p>
      <w:pPr>
        <w:ind w:left="680" w:hanging="186"/>
        <w:spacing w:after="0"/>
        <w:tabs>
          <w:tab w:leader="none" w:pos="680" w:val="left"/>
        </w:tabs>
        <w:numPr>
          <w:ilvl w:val="0"/>
          <w:numId w:val="8"/>
        </w:numPr>
        <w:rPr>
          <w:rFonts w:ascii="Arial" w:cs="Arial" w:eastAsia="Arial" w:hAnsi="Arial"/>
          <w:sz w:val="18"/>
          <w:szCs w:val="18"/>
          <w:color w:val="auto"/>
        </w:rPr>
      </w:pPr>
      <w:r>
        <w:rPr>
          <w:rFonts w:ascii="Arial" w:cs="Arial" w:eastAsia="Arial" w:hAnsi="Arial"/>
          <w:sz w:val="18"/>
          <w:szCs w:val="18"/>
          <w:color w:val="auto"/>
        </w:rPr>
        <w:t>I have reviewed this report on Form 10-Q of Friedman Industries, Incorporated;</w:t>
      </w:r>
    </w:p>
    <w:p>
      <w:pPr>
        <w:spacing w:after="0" w:line="225" w:lineRule="exact"/>
        <w:rPr>
          <w:rFonts w:ascii="Arial" w:cs="Arial" w:eastAsia="Arial" w:hAnsi="Arial"/>
          <w:sz w:val="18"/>
          <w:szCs w:val="18"/>
          <w:color w:val="auto"/>
        </w:rPr>
      </w:pPr>
    </w:p>
    <w:p>
      <w:pPr>
        <w:ind w:right="100" w:firstLine="494"/>
        <w:spacing w:after="0" w:line="342" w:lineRule="auto"/>
        <w:tabs>
          <w:tab w:leader="none" w:pos="666" w:val="left"/>
        </w:tabs>
        <w:numPr>
          <w:ilvl w:val="0"/>
          <w:numId w:val="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60" w:firstLine="494"/>
        <w:spacing w:after="0" w:line="277" w:lineRule="auto"/>
        <w:tabs>
          <w:tab w:leader="none" w:pos="666" w:val="left"/>
        </w:tabs>
        <w:numPr>
          <w:ilvl w:val="0"/>
          <w:numId w:val="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left="500" w:right="100" w:hanging="6"/>
        <w:spacing w:after="0" w:line="263" w:lineRule="auto"/>
        <w:tabs>
          <w:tab w:leader="none" w:pos="6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500" w:right="60" w:firstLine="480"/>
        <w:spacing w:after="0" w:line="263" w:lineRule="auto"/>
        <w:tabs>
          <w:tab w:leader="none" w:pos="1171" w:val="left"/>
        </w:tabs>
        <w:numPr>
          <w:ilvl w:val="1"/>
          <w:numId w:val="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500" w:right="220" w:firstLine="480"/>
        <w:spacing w:after="0" w:line="263" w:lineRule="auto"/>
        <w:tabs>
          <w:tab w:leader="none" w:pos="1181" w:val="left"/>
        </w:tabs>
        <w:numPr>
          <w:ilvl w:val="1"/>
          <w:numId w:val="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500" w:right="380" w:firstLine="480"/>
        <w:spacing w:after="0" w:line="342" w:lineRule="auto"/>
        <w:tabs>
          <w:tab w:leader="none" w:pos="1171" w:val="left"/>
        </w:tabs>
        <w:numPr>
          <w:ilvl w:val="1"/>
          <w:numId w:val="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500" w:right="340" w:firstLine="480"/>
        <w:spacing w:after="0" w:line="263" w:lineRule="auto"/>
        <w:tabs>
          <w:tab w:leader="none" w:pos="1181" w:val="left"/>
        </w:tabs>
        <w:numPr>
          <w:ilvl w:val="1"/>
          <w:numId w:val="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right="60" w:firstLine="494"/>
        <w:spacing w:after="0" w:line="308" w:lineRule="auto"/>
        <w:tabs>
          <w:tab w:leader="none" w:pos="666"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500" w:right="600" w:firstLine="480"/>
        <w:spacing w:after="0" w:line="308" w:lineRule="auto"/>
        <w:tabs>
          <w:tab w:leader="none" w:pos="1171" w:val="left"/>
        </w:tabs>
        <w:numPr>
          <w:ilvl w:val="1"/>
          <w:numId w:val="8"/>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500" w:right="280" w:firstLine="480"/>
        <w:spacing w:after="0" w:line="277" w:lineRule="auto"/>
        <w:tabs>
          <w:tab w:leader="none" w:pos="1181" w:val="left"/>
        </w:tabs>
        <w:numPr>
          <w:ilvl w:val="1"/>
          <w:numId w:val="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November 14, 2023</w:t>
      </w:r>
    </w:p>
    <w:p>
      <w:pPr>
        <w:spacing w:after="0" w:line="200" w:lineRule="exact"/>
        <w:rPr>
          <w:sz w:val="20"/>
          <w:szCs w:val="20"/>
          <w:color w:val="auto"/>
        </w:rPr>
      </w:pPr>
    </w:p>
    <w:p>
      <w:pPr>
        <w:spacing w:after="0" w:line="241"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 MICHAEL J. TAYLOR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4607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3">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3" w:lineRule="exact"/>
        <w:rPr>
          <w:sz w:val="20"/>
          <w:szCs w:val="20"/>
          <w:color w:val="auto"/>
        </w:rPr>
      </w:pPr>
    </w:p>
    <w:p>
      <w:pPr>
        <w:ind w:left="6760"/>
        <w:spacing w:after="0"/>
        <w:rPr>
          <w:sz w:val="20"/>
          <w:szCs w:val="20"/>
          <w:color w:val="auto"/>
        </w:rPr>
      </w:pPr>
      <w:r>
        <w:rPr>
          <w:rFonts w:ascii="Arial" w:cs="Arial" w:eastAsia="Arial" w:hAnsi="Arial"/>
          <w:sz w:val="18"/>
          <w:szCs w:val="18"/>
          <w:i w:val="1"/>
          <w:iCs w:val="1"/>
          <w:color w:val="auto"/>
        </w:rPr>
        <w:t>President and Chief Executive Officer</w:t>
      </w:r>
    </w:p>
    <w:p>
      <w:pPr>
        <w:sectPr>
          <w:pgSz w:w="11900" w:h="16838" w:orient="portrait"/>
          <w:cols w:equalWidth="0" w:num="1">
            <w:col w:w="11240"/>
          </w:cols>
          <w:pgMar w:left="320" w:top="121" w:right="339" w:bottom="1440" w:gutter="0" w:footer="0" w:header="0"/>
        </w:sectPr>
      </w:pPr>
    </w:p>
    <w:bookmarkStart w:id="27" w:name="page28"/>
    <w:bookmarkEnd w:id="27"/>
    <w:p>
      <w:pPr>
        <w:jc w:val="right"/>
        <w:spacing w:after="0"/>
        <w:rPr>
          <w:sz w:val="20"/>
          <w:szCs w:val="20"/>
          <w:color w:val="auto"/>
        </w:rPr>
      </w:pPr>
      <w:r>
        <w:rPr>
          <w:rFonts w:ascii="Arial" w:cs="Arial" w:eastAsia="Arial" w:hAnsi="Arial"/>
          <w:sz w:val="18"/>
          <w:szCs w:val="18"/>
          <w:b w:val="1"/>
          <w:bCs w:val="1"/>
          <w:color w:val="auto"/>
        </w:rPr>
        <w:t>EXHIBIT 31.2</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Alex LaRue, certify that:</w:t>
      </w:r>
    </w:p>
    <w:p>
      <w:pPr>
        <w:spacing w:after="0" w:line="225" w:lineRule="exact"/>
        <w:rPr>
          <w:sz w:val="20"/>
          <w:szCs w:val="20"/>
          <w:color w:val="auto"/>
        </w:rPr>
      </w:pPr>
    </w:p>
    <w:p>
      <w:pPr>
        <w:ind w:left="680" w:hanging="186"/>
        <w:spacing w:after="0"/>
        <w:tabs>
          <w:tab w:leader="none" w:pos="680" w:val="left"/>
        </w:tabs>
        <w:numPr>
          <w:ilvl w:val="0"/>
          <w:numId w:val="9"/>
        </w:numPr>
        <w:rPr>
          <w:rFonts w:ascii="Arial" w:cs="Arial" w:eastAsia="Arial" w:hAnsi="Arial"/>
          <w:sz w:val="18"/>
          <w:szCs w:val="18"/>
          <w:color w:val="auto"/>
        </w:rPr>
      </w:pPr>
      <w:r>
        <w:rPr>
          <w:rFonts w:ascii="Arial" w:cs="Arial" w:eastAsia="Arial" w:hAnsi="Arial"/>
          <w:sz w:val="18"/>
          <w:szCs w:val="18"/>
          <w:color w:val="auto"/>
        </w:rPr>
        <w:t>I have reviewed this report on Form 10-Q of Friedman Industries, Incorporated;</w:t>
      </w:r>
    </w:p>
    <w:p>
      <w:pPr>
        <w:spacing w:after="0" w:line="225" w:lineRule="exact"/>
        <w:rPr>
          <w:rFonts w:ascii="Arial" w:cs="Arial" w:eastAsia="Arial" w:hAnsi="Arial"/>
          <w:sz w:val="18"/>
          <w:szCs w:val="18"/>
          <w:color w:val="auto"/>
        </w:rPr>
      </w:pPr>
    </w:p>
    <w:p>
      <w:pPr>
        <w:ind w:right="100" w:firstLine="494"/>
        <w:spacing w:after="0" w:line="342" w:lineRule="auto"/>
        <w:tabs>
          <w:tab w:leader="none" w:pos="666" w:val="left"/>
        </w:tabs>
        <w:numPr>
          <w:ilvl w:val="0"/>
          <w:numId w:val="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60" w:firstLine="494"/>
        <w:spacing w:after="0" w:line="277" w:lineRule="auto"/>
        <w:tabs>
          <w:tab w:leader="none" w:pos="666" w:val="left"/>
        </w:tabs>
        <w:numPr>
          <w:ilvl w:val="0"/>
          <w:numId w:val="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left="500" w:right="100" w:hanging="6"/>
        <w:spacing w:after="0" w:line="263" w:lineRule="auto"/>
        <w:tabs>
          <w:tab w:leader="none" w:pos="6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500" w:right="60" w:firstLine="480"/>
        <w:spacing w:after="0" w:line="263" w:lineRule="auto"/>
        <w:tabs>
          <w:tab w:leader="none" w:pos="1171"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500" w:right="220" w:firstLine="480"/>
        <w:spacing w:after="0" w:line="263" w:lineRule="auto"/>
        <w:tabs>
          <w:tab w:leader="none" w:pos="1181"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right="380" w:firstLine="980"/>
        <w:spacing w:after="0" w:line="342" w:lineRule="auto"/>
        <w:tabs>
          <w:tab w:leader="none" w:pos="1157" w:val="left"/>
        </w:tabs>
        <w:numPr>
          <w:ilvl w:val="1"/>
          <w:numId w:val="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500" w:right="340" w:firstLine="480"/>
        <w:spacing w:after="0" w:line="263" w:lineRule="auto"/>
        <w:tabs>
          <w:tab w:leader="none" w:pos="1181" w:val="left"/>
        </w:tabs>
        <w:numPr>
          <w:ilvl w:val="1"/>
          <w:numId w:val="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right="60" w:firstLine="494"/>
        <w:spacing w:after="0" w:line="308" w:lineRule="auto"/>
        <w:tabs>
          <w:tab w:leader="none" w:pos="666"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500" w:right="600" w:firstLine="480"/>
        <w:spacing w:after="0" w:line="308" w:lineRule="auto"/>
        <w:tabs>
          <w:tab w:leader="none" w:pos="1171" w:val="left"/>
        </w:tabs>
        <w:numPr>
          <w:ilvl w:val="1"/>
          <w:numId w:val="9"/>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500" w:right="280" w:firstLine="480"/>
        <w:spacing w:after="0" w:line="277" w:lineRule="auto"/>
        <w:tabs>
          <w:tab w:leader="none" w:pos="1181" w:val="left"/>
        </w:tabs>
        <w:numPr>
          <w:ilvl w:val="1"/>
          <w:numId w:val="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November 14, 2023</w:t>
      </w:r>
    </w:p>
    <w:p>
      <w:pPr>
        <w:spacing w:after="0" w:line="225"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 ALEX LARUE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4607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4">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3" w:lineRule="exact"/>
        <w:rPr>
          <w:sz w:val="20"/>
          <w:szCs w:val="20"/>
          <w:color w:val="auto"/>
        </w:rPr>
      </w:pPr>
    </w:p>
    <w:p>
      <w:pPr>
        <w:ind w:left="6760"/>
        <w:spacing w:after="0"/>
        <w:rPr>
          <w:sz w:val="20"/>
          <w:szCs w:val="20"/>
          <w:color w:val="auto"/>
        </w:rPr>
      </w:pPr>
      <w:r>
        <w:rPr>
          <w:rFonts w:ascii="Arial" w:cs="Arial" w:eastAsia="Arial" w:hAnsi="Arial"/>
          <w:sz w:val="18"/>
          <w:szCs w:val="18"/>
          <w:i w:val="1"/>
          <w:iCs w:val="1"/>
          <w:color w:val="auto"/>
        </w:rPr>
        <w:t>Chief Financial Officer – Secretary and Treasurer</w:t>
      </w:r>
    </w:p>
    <w:p>
      <w:pPr>
        <w:sectPr>
          <w:pgSz w:w="11900" w:h="16838" w:orient="portrait"/>
          <w:cols w:equalWidth="0" w:num="1">
            <w:col w:w="11240"/>
          </w:cols>
          <w:pgMar w:left="320" w:top="121" w:right="339" w:bottom="1440" w:gutter="0" w:footer="0" w:header="0"/>
        </w:sectPr>
      </w:pPr>
    </w:p>
    <w:bookmarkStart w:id="28" w:name="page29"/>
    <w:bookmarkEnd w:id="28"/>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ind w:left="4260"/>
        <w:spacing w:after="0"/>
        <w:rPr>
          <w:sz w:val="20"/>
          <w:szCs w:val="20"/>
          <w:color w:val="auto"/>
        </w:rPr>
      </w:pPr>
      <w:r>
        <w:rPr>
          <w:rFonts w:ascii="Arial" w:cs="Arial" w:eastAsia="Arial" w:hAnsi="Arial"/>
          <w:sz w:val="18"/>
          <w:szCs w:val="18"/>
          <w:b w:val="1"/>
          <w:bCs w:val="1"/>
          <w:color w:val="auto"/>
        </w:rPr>
        <w:t>as Adopted Pursuant to Section 906</w:t>
      </w:r>
    </w:p>
    <w:p>
      <w:pPr>
        <w:spacing w:after="0" w:line="9" w:lineRule="exact"/>
        <w:rPr>
          <w:sz w:val="20"/>
          <w:szCs w:val="20"/>
          <w:color w:val="auto"/>
        </w:rPr>
      </w:pPr>
    </w:p>
    <w:p>
      <w:pPr>
        <w:ind w:left="4280"/>
        <w:spacing w:after="0"/>
        <w:rPr>
          <w:sz w:val="20"/>
          <w:szCs w:val="20"/>
          <w:color w:val="auto"/>
        </w:rPr>
      </w:pPr>
      <w:r>
        <w:rPr>
          <w:rFonts w:ascii="Arial" w:cs="Arial" w:eastAsia="Arial" w:hAnsi="Arial"/>
          <w:sz w:val="18"/>
          <w:szCs w:val="18"/>
          <w:b w:val="1"/>
          <w:bCs w:val="1"/>
          <w:color w:val="auto"/>
        </w:rPr>
        <w:t>of The Sarbanes-Oxley Act of 2002</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 Filed Pursuant to the Securities Exchange Act of 1934</w:t>
      </w:r>
    </w:p>
    <w:p>
      <w:pPr>
        <w:spacing w:after="0" w:line="229" w:lineRule="exact"/>
        <w:rPr>
          <w:sz w:val="20"/>
          <w:szCs w:val="20"/>
          <w:color w:val="auto"/>
        </w:rPr>
      </w:pPr>
    </w:p>
    <w:p>
      <w:pPr>
        <w:ind w:right="200" w:firstLine="486"/>
        <w:spacing w:after="0" w:line="259" w:lineRule="auto"/>
        <w:rPr>
          <w:sz w:val="20"/>
          <w:szCs w:val="20"/>
          <w:color w:val="auto"/>
        </w:rPr>
      </w:pPr>
      <w:r>
        <w:rPr>
          <w:rFonts w:ascii="Arial" w:cs="Arial" w:eastAsia="Arial" w:hAnsi="Arial"/>
          <w:sz w:val="18"/>
          <w:szCs w:val="18"/>
          <w:color w:val="auto"/>
        </w:rPr>
        <w:t>In connection with the Quarterly Report of Friedman Industries, Incorporated (the “Company”) on Form 10-Q for the period ended September 30, 2023, as filed with the U.S. Securities and Exchange Commission on the date hereof (the “Report”), I, Michael J. Taylor, President and Chief Executive Officer of the Company, certify, pursuant to 18 U.S.C. Section 1350, as adopted pursuant to Section 906 of the Sarbanes-Oxley Act of 2002, as amended, that:</w:t>
      </w:r>
    </w:p>
    <w:p>
      <w:pPr>
        <w:spacing w:after="0" w:line="187" w:lineRule="exact"/>
        <w:rPr>
          <w:sz w:val="20"/>
          <w:szCs w:val="20"/>
          <w:color w:val="auto"/>
        </w:rPr>
      </w:pPr>
    </w:p>
    <w:p>
      <w:pPr>
        <w:ind w:left="740" w:hanging="246"/>
        <w:spacing w:after="0"/>
        <w:tabs>
          <w:tab w:leader="none" w:pos="7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52" w:lineRule="exact"/>
        <w:rPr>
          <w:rFonts w:ascii="Arial" w:cs="Arial" w:eastAsia="Arial" w:hAnsi="Arial"/>
          <w:sz w:val="18"/>
          <w:szCs w:val="18"/>
          <w:color w:val="auto"/>
        </w:rPr>
      </w:pPr>
    </w:p>
    <w:p>
      <w:pPr>
        <w:ind w:right="40" w:firstLine="494"/>
        <w:spacing w:after="0" w:line="559" w:lineRule="auto"/>
        <w:tabs>
          <w:tab w:leader="none" w:pos="741"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Dated: November 14, 2023</w:t>
      </w:r>
    </w:p>
    <w:p>
      <w:pPr>
        <w:spacing w:after="0" w:line="143" w:lineRule="exact"/>
        <w:rPr>
          <w:sz w:val="20"/>
          <w:szCs w:val="20"/>
          <w:color w:val="auto"/>
        </w:rPr>
      </w:pPr>
    </w:p>
    <w:tbl>
      <w:tblPr>
        <w:tblLayout w:type="fixed"/>
        <w:tblInd w:w="6760" w:type="dxa"/>
        <w:tblCellMar>
          <w:top w:w="0" w:type="dxa"/>
          <w:left w:w="0" w:type="dxa"/>
          <w:bottom w:w="0" w:type="dxa"/>
          <w:right w:w="0" w:type="dxa"/>
        </w:tblCellMar>
      </w:tblP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3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Michael J. Taylor</w:t>
            </w:r>
          </w:p>
        </w:tc>
      </w:tr>
      <w:tr>
        <w:trPr>
          <w:trHeight w:val="195"/>
        </w:trPr>
        <w:tc>
          <w:tcPr>
            <w:tcW w:w="66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3820" w:type="dxa"/>
            <w:vAlign w:val="bottom"/>
          </w:tcPr>
          <w:p>
            <w:pPr>
              <w:spacing w:after="0" w:line="195" w:lineRule="exact"/>
              <w:rPr>
                <w:sz w:val="20"/>
                <w:szCs w:val="20"/>
                <w:color w:val="auto"/>
              </w:rPr>
            </w:pPr>
            <w:r>
              <w:rPr>
                <w:rFonts w:ascii="Arial" w:cs="Arial" w:eastAsia="Arial" w:hAnsi="Arial"/>
                <w:sz w:val="18"/>
                <w:szCs w:val="18"/>
                <w:color w:val="auto"/>
              </w:rPr>
              <w:t>Michael J. Taylor</w:t>
            </w:r>
          </w:p>
        </w:tc>
      </w:t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Title:</w:t>
            </w:r>
          </w:p>
        </w:tc>
        <w:tc>
          <w:tcPr>
            <w:tcW w:w="382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bl>
    <w:p>
      <w:pPr>
        <w:sectPr>
          <w:pgSz w:w="11900" w:h="16838" w:orient="portrait"/>
          <w:cols w:equalWidth="0" w:num="1">
            <w:col w:w="11240"/>
          </w:cols>
          <w:pgMar w:left="320" w:top="121" w:right="339" w:bottom="1440" w:gutter="0" w:footer="0" w:header="0"/>
        </w:sectPr>
      </w:pPr>
    </w:p>
    <w:bookmarkStart w:id="29" w:name="page30"/>
    <w:bookmarkEnd w:id="29"/>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ind w:left="4260"/>
        <w:spacing w:after="0"/>
        <w:rPr>
          <w:sz w:val="20"/>
          <w:szCs w:val="20"/>
          <w:color w:val="auto"/>
        </w:rPr>
      </w:pPr>
      <w:r>
        <w:rPr>
          <w:rFonts w:ascii="Arial" w:cs="Arial" w:eastAsia="Arial" w:hAnsi="Arial"/>
          <w:sz w:val="18"/>
          <w:szCs w:val="18"/>
          <w:b w:val="1"/>
          <w:bCs w:val="1"/>
          <w:color w:val="auto"/>
        </w:rPr>
        <w:t>as Adopted Pursuant to Section 906</w:t>
      </w:r>
    </w:p>
    <w:p>
      <w:pPr>
        <w:spacing w:after="0" w:line="9" w:lineRule="exact"/>
        <w:rPr>
          <w:sz w:val="20"/>
          <w:szCs w:val="20"/>
          <w:color w:val="auto"/>
        </w:rPr>
      </w:pPr>
    </w:p>
    <w:p>
      <w:pPr>
        <w:ind w:left="4280"/>
        <w:spacing w:after="0"/>
        <w:rPr>
          <w:sz w:val="20"/>
          <w:szCs w:val="20"/>
          <w:color w:val="auto"/>
        </w:rPr>
      </w:pPr>
      <w:r>
        <w:rPr>
          <w:rFonts w:ascii="Arial" w:cs="Arial" w:eastAsia="Arial" w:hAnsi="Arial"/>
          <w:sz w:val="18"/>
          <w:szCs w:val="18"/>
          <w:b w:val="1"/>
          <w:bCs w:val="1"/>
          <w:color w:val="auto"/>
        </w:rPr>
        <w:t>of The Sarbanes-Oxley Act of 2002</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 Filed Pursuant to the Securities Exchange Act of 1934</w:t>
      </w:r>
    </w:p>
    <w:p>
      <w:pPr>
        <w:spacing w:after="0" w:line="229" w:lineRule="exact"/>
        <w:rPr>
          <w:sz w:val="20"/>
          <w:szCs w:val="20"/>
          <w:color w:val="auto"/>
        </w:rPr>
      </w:pPr>
    </w:p>
    <w:p>
      <w:pPr>
        <w:ind w:right="20" w:firstLine="486"/>
        <w:spacing w:after="0" w:line="259" w:lineRule="auto"/>
        <w:rPr>
          <w:sz w:val="20"/>
          <w:szCs w:val="20"/>
          <w:color w:val="auto"/>
        </w:rPr>
      </w:pPr>
      <w:r>
        <w:rPr>
          <w:rFonts w:ascii="Arial" w:cs="Arial" w:eastAsia="Arial" w:hAnsi="Arial"/>
          <w:sz w:val="18"/>
          <w:szCs w:val="18"/>
          <w:color w:val="auto"/>
        </w:rPr>
        <w:t>In connection with the Quarterly Report of Friedman Industries, Incorporated (the “Company”) on Form 10-Q for the period ended September 30, 2023, as filed with the U.S. Securities and Exchange Commission on the date hereof (the “Report”), I, Alex LaRue, Chief Financial Officer – Secretary and Treasurer of the Company, certify, pursuant to 18 U.S.C. Section 1350, as adopted pursuant to Section 906 of the Sarbanes-Oxley Act of 2002, as amended, that:</w:t>
      </w:r>
    </w:p>
    <w:p>
      <w:pPr>
        <w:spacing w:after="0" w:line="187" w:lineRule="exact"/>
        <w:rPr>
          <w:sz w:val="20"/>
          <w:szCs w:val="20"/>
          <w:color w:val="auto"/>
        </w:rPr>
      </w:pPr>
    </w:p>
    <w:p>
      <w:pPr>
        <w:ind w:left="740" w:hanging="246"/>
        <w:spacing w:after="0"/>
        <w:tabs>
          <w:tab w:leader="none" w:pos="7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52" w:lineRule="exact"/>
        <w:rPr>
          <w:rFonts w:ascii="Arial" w:cs="Arial" w:eastAsia="Arial" w:hAnsi="Arial"/>
          <w:sz w:val="18"/>
          <w:szCs w:val="18"/>
          <w:color w:val="auto"/>
        </w:rPr>
      </w:pPr>
    </w:p>
    <w:p>
      <w:pPr>
        <w:ind w:right="40" w:firstLine="494"/>
        <w:spacing w:after="0" w:line="559" w:lineRule="auto"/>
        <w:tabs>
          <w:tab w:leader="none" w:pos="741"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Dated: November 14, 2023</w:t>
      </w:r>
    </w:p>
    <w:p>
      <w:pPr>
        <w:spacing w:after="0" w:line="143" w:lineRule="exact"/>
        <w:rPr>
          <w:sz w:val="20"/>
          <w:szCs w:val="20"/>
          <w:color w:val="auto"/>
        </w:rPr>
      </w:pPr>
    </w:p>
    <w:tbl>
      <w:tblPr>
        <w:tblLayout w:type="fixed"/>
        <w:tblInd w:w="6760" w:type="dxa"/>
        <w:tblCellMar>
          <w:top w:w="0" w:type="dxa"/>
          <w:left w:w="0" w:type="dxa"/>
          <w:bottom w:w="0" w:type="dxa"/>
          <w:right w:w="0" w:type="dxa"/>
        </w:tblCellMar>
      </w:tblP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3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Alex LaRue</w:t>
            </w:r>
          </w:p>
        </w:tc>
      </w:tr>
      <w:tr>
        <w:trPr>
          <w:trHeight w:val="195"/>
        </w:trPr>
        <w:tc>
          <w:tcPr>
            <w:tcW w:w="6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3800" w:type="dxa"/>
            <w:vAlign w:val="bottom"/>
          </w:tcPr>
          <w:p>
            <w:pPr>
              <w:spacing w:after="0" w:line="195" w:lineRule="exact"/>
              <w:rPr>
                <w:sz w:val="20"/>
                <w:szCs w:val="20"/>
                <w:color w:val="auto"/>
              </w:rPr>
            </w:pPr>
            <w:r>
              <w:rPr>
                <w:rFonts w:ascii="Arial" w:cs="Arial" w:eastAsia="Arial" w:hAnsi="Arial"/>
                <w:sz w:val="18"/>
                <w:szCs w:val="18"/>
                <w:color w:val="auto"/>
              </w:rPr>
              <w:t>Alex LaRue</w:t>
            </w:r>
          </w:p>
        </w:tc>
      </w:t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Title:</w:t>
            </w:r>
          </w:p>
        </w:tc>
        <w:tc>
          <w:tcPr>
            <w:tcW w:w="3800" w:type="dxa"/>
            <w:vAlign w:val="bottom"/>
          </w:tcPr>
          <w:p>
            <w:pPr>
              <w:spacing w:after="0"/>
              <w:rPr>
                <w:sz w:val="20"/>
                <w:szCs w:val="20"/>
                <w:color w:val="auto"/>
              </w:rPr>
            </w:pPr>
            <w:r>
              <w:rPr>
                <w:rFonts w:ascii="Arial" w:cs="Arial" w:eastAsia="Arial" w:hAnsi="Arial"/>
                <w:sz w:val="18"/>
                <w:szCs w:val="18"/>
                <w:color w:val="auto"/>
                <w:w w:val="96"/>
              </w:rPr>
              <w:t>Chief Financial Officer – Secretary and Treasurer</w:t>
            </w:r>
          </w:p>
        </w:tc>
      </w:tr>
    </w:tbl>
    <w:p>
      <w:pPr>
        <w:spacing w:after="0" w:line="1" w:lineRule="exact"/>
        <w:rPr>
          <w:sz w:val="20"/>
          <w:szCs w:val="20"/>
          <w:color w:val="auto"/>
        </w:rPr>
      </w:pP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1)"/>
      <w:numFmt w:val="decimal"/>
      <w:start w:val="1"/>
    </w:lvl>
  </w:abstractNum>
  <w:abstractNum w:abstractNumId="3">
    <w:nsid w:val="79E2A9E3"/>
    <w:multiLevelType w:val="hybridMultilevel"/>
    <w:lvl w:ilvl="0">
      <w:lvlJc w:val="left"/>
      <w:lvlText w:val="(%1)"/>
      <w:numFmt w:val="decimal"/>
      <w:start w:val="1"/>
    </w:lvl>
  </w:abstractNum>
  <w:abstractNum w:abstractNumId="4">
    <w:nsid w:val="7545E146"/>
    <w:multiLevelType w:val="hybridMultilevel"/>
    <w:lvl w:ilvl="0">
      <w:lvlJc w:val="left"/>
      <w:lvlText w:val="●"/>
      <w:numFmt w:val="bullet"/>
      <w:start w:val="1"/>
    </w:lvl>
  </w:abstractNum>
  <w:abstractNum w:abstractNumId="5">
    <w:nsid w:val="515F007C"/>
    <w:multiLevelType w:val="hybridMultilevel"/>
    <w:lvl w:ilvl="0">
      <w:lvlJc w:val="left"/>
      <w:lvlText w:val="-"/>
      <w:numFmt w:val="bullet"/>
      <w:start w:val="1"/>
    </w:lvl>
  </w:abstractNum>
  <w:abstractNum w:abstractNumId="6">
    <w:nsid w:val="5BD062C2"/>
    <w:multiLevelType w:val="hybridMultilevel"/>
    <w:lvl w:ilvl="0">
      <w:lvlJc w:val="left"/>
      <w:lvlText w:val="%1"/>
      <w:numFmt w:val="decimal"/>
      <w:start w:val="104"/>
    </w:lvl>
  </w:abstractNum>
  <w:abstractNum w:abstractNumId="7">
    <w:nsid w:val="12200854"/>
    <w:multiLevelType w:val="hybridMultilevel"/>
    <w:lvl w:ilvl="0">
      <w:lvlJc w:val="left"/>
      <w:lvlText w:val="%1."/>
      <w:numFmt w:val="decimal"/>
      <w:start w:val="1"/>
    </w:lvl>
    <w:lvl w:ilvl="1">
      <w:lvlJc w:val="left"/>
      <w:lvlText w:val="%2)"/>
      <w:numFmt w:val="lowerLetter"/>
      <w:start w:val="1"/>
    </w:lvl>
  </w:abstractNum>
  <w:abstractNum w:abstractNumId="8">
    <w:nsid w:val="4DB127F8"/>
    <w:multiLevelType w:val="hybridMultilevel"/>
    <w:lvl w:ilvl="0">
      <w:lvlJc w:val="left"/>
      <w:lvlText w:val="%1."/>
      <w:numFmt w:val="decimal"/>
      <w:start w:val="1"/>
    </w:lvl>
    <w:lvl w:ilvl="1">
      <w:lvlJc w:val="left"/>
      <w:lvlText w:val="%2)"/>
      <w:numFmt w:val="lowerLetter"/>
      <w:start w:val="1"/>
    </w:lvl>
  </w:abstractNum>
  <w:abstractNum w:abstractNumId="9">
    <w:nsid w:val="216231B"/>
    <w:multiLevelType w:val="hybridMultilevel"/>
    <w:lvl w:ilvl="0">
      <w:lvlJc w:val="left"/>
      <w:lvlText w:val="(%1)"/>
      <w:numFmt w:val="decimal"/>
      <w:start w:val="1"/>
    </w:lvl>
  </w:abstractNum>
  <w:abstractNum w:abstractNumId="10">
    <w:nsid w:val="1F16E9E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41" Type="http://schemas.openxmlformats.org/officeDocument/2006/relationships/image" Target="media/image32.png"/><Relationship Id="rId42" Type="http://schemas.openxmlformats.org/officeDocument/2006/relationships/image" Target="media/image33.png"/><Relationship Id="rId43" Type="http://schemas.openxmlformats.org/officeDocument/2006/relationships/image" Target="media/image34.png"/><Relationship Id="rId44" Type="http://schemas.openxmlformats.org/officeDocument/2006/relationships/image" Target="media/image35.png"/><Relationship Id="rId39" Type="http://schemas.openxmlformats.org/officeDocument/2006/relationships/hyperlink" Target="http://www.sec.gov/Archives/edgar/data/39092/000143774916043636/ex3-1.htm" TargetMode="External"/><Relationship Id="rId40" Type="http://schemas.openxmlformats.org/officeDocument/2006/relationships/hyperlink" Target="http://www.sec.gov/Archives/edgar/data/39092/000143774921027176/ex_309205.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2023-11-14T16:40:15Z</dcterms:created>
  <dcterms:modified xsi:type="dcterms:W3CDTF">2023-11-14T16:40:15Z</dcterms:modified>
</cp:coreProperties>
</file>