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frd20240630_10q.htm"/>
      <w:bookmarkStart w:id="1" w:name="ksfrd20240630_10q"/>
      <w:bookmarkEnd w:id="0"/>
      <w:bookmarkEnd w:id="1"/>
      <w:r>
        <w:rPr/>
        <w:t xml:space="preserve">  </w:t>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 xml:space="preserve">UNITED STATES </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 xml:space="preserve">SECURITIES AND EXCHANGE COMMISSION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Washington, D.C. 20549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FORM 10-Q</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10150" w:type="dxa"/>
        <w:jc w:val="left"/>
        <w:tblInd w:w="0" w:type="dxa"/>
        <w:tblLayout w:type="fixed"/>
        <w:tblCellMar>
          <w:top w:w="0" w:type="dxa"/>
          <w:left w:w="0" w:type="dxa"/>
          <w:bottom w:w="0" w:type="dxa"/>
          <w:right w:w="0" w:type="dxa"/>
        </w:tblCellMar>
      </w:tblPr>
      <w:tblGrid>
        <w:gridCol w:w="230"/>
        <w:gridCol w:w="9920"/>
      </w:tblGrid>
      <w:tr>
        <w:trPr/>
        <w:tc>
          <w:tcPr>
            <w:tcW w:w="230" w:type="dxa"/>
            <w:tcBorders/>
            <w:vAlign w:val="center"/>
          </w:tcPr>
          <w:p>
            <w:pPr>
              <w:pStyle w:val="TableContents"/>
              <w:bidi w:val="0"/>
              <w:spacing w:before="0" w:after="0"/>
              <w:ind w:left="0" w:right="0" w:hanging="0"/>
              <w:jc w:val="left"/>
              <w:rPr/>
            </w:pPr>
            <w:r>
              <w:rPr/>
              <w:t>☒</w:t>
            </w:r>
          </w:p>
        </w:tc>
        <w:tc>
          <w:tcPr>
            <w:tcW w:w="992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QUARTERLY REPORT PURSUANT TO SECTION 13 OR 15(d) OF THE SECURITIES EXCHANGE ACT OF 1934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FOR THE QUARTERLY PERIOD ENDED</w:t>
      </w:r>
      <w:r>
        <w:rPr>
          <w:rFonts w:ascii="Times New Roman;Times;serif" w:hAnsi="Times New Roman;Times;serif"/>
          <w:sz w:val="20"/>
        </w:rPr>
        <w:t xml:space="preserve"> </w:t>
      </w:r>
      <w:r>
        <w:rPr>
          <w:rFonts w:ascii="Times New Roman;Times;serif" w:hAnsi="Times New Roman;Times;serif"/>
          <w:b/>
          <w:sz w:val="20"/>
        </w:rPr>
        <w:t>June 30, 2024</w:t>
      </w:r>
      <w:r>
        <w:rPr>
          <w:rFonts w:ascii="Times New Roman;Times;serif" w:hAnsi="Times New Roman;Times;serif"/>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OR </w:t>
      </w:r>
    </w:p>
    <w:p>
      <w:pPr>
        <w:pStyle w:val="TextBody"/>
        <w:bidi w:val="0"/>
        <w:spacing w:before="0" w:after="0"/>
        <w:ind w:left="0" w:right="0" w:hanging="0"/>
        <w:jc w:val="left"/>
        <w:rPr/>
      </w:pPr>
      <w:r>
        <w:rPr/>
        <w:t> </w:t>
      </w:r>
    </w:p>
    <w:tbl>
      <w:tblPr>
        <w:tblW w:w="10135" w:type="dxa"/>
        <w:jc w:val="left"/>
        <w:tblInd w:w="0" w:type="dxa"/>
        <w:tblLayout w:type="fixed"/>
        <w:tblCellMar>
          <w:top w:w="0" w:type="dxa"/>
          <w:left w:w="0" w:type="dxa"/>
          <w:bottom w:w="0" w:type="dxa"/>
          <w:right w:w="0" w:type="dxa"/>
        </w:tblCellMar>
      </w:tblPr>
      <w:tblGrid>
        <w:gridCol w:w="230"/>
        <w:gridCol w:w="9905"/>
      </w:tblGrid>
      <w:tr>
        <w:trPr/>
        <w:tc>
          <w:tcPr>
            <w:tcW w:w="230" w:type="dxa"/>
            <w:tcBorders/>
            <w:vAlign w:val="center"/>
          </w:tcPr>
          <w:p>
            <w:pPr>
              <w:pStyle w:val="TableContents"/>
              <w:bidi w:val="0"/>
              <w:spacing w:before="0" w:after="0"/>
              <w:ind w:left="0" w:right="0" w:hanging="0"/>
              <w:jc w:val="left"/>
              <w:rPr/>
            </w:pPr>
            <w:r>
              <w:rPr/>
              <w:t>☐</w:t>
            </w:r>
          </w:p>
        </w:tc>
        <w:tc>
          <w:tcPr>
            <w:tcW w:w="990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TRANSITION REPORT PURSUANT TO SECTION 13 OR 15(d) OF THE SECURITIES EXCHANGE ACT OF 1934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 xml:space="preserve">FROM THE TRANSITION PERIOD FROM </w:t>
      </w:r>
      <w:r>
        <w:rPr>
          <w:rFonts w:ascii="Times New Roman;Times;serif" w:hAnsi="Times New Roman;Times;serif"/>
          <w:sz w:val="20"/>
          <w:u w:val="single"/>
        </w:rPr>
        <w:t>                    </w:t>
      </w:r>
      <w:r>
        <w:rPr>
          <w:rFonts w:ascii="Times New Roman;Times;serif" w:hAnsi="Times New Roman;Times;serif"/>
          <w:sz w:val="20"/>
        </w:rPr>
        <w:t xml:space="preserve"> </w:t>
      </w:r>
      <w:r>
        <w:rPr>
          <w:rFonts w:ascii="Times New Roman;Times;serif" w:hAnsi="Times New Roman;Times;serif"/>
          <w:b/>
          <w:sz w:val="20"/>
        </w:rPr>
        <w:t xml:space="preserve">TO </w:t>
      </w:r>
      <w:r>
        <w:rPr>
          <w:rFonts w:ascii="Times New Roman;Times;serif" w:hAnsi="Times New Roman;Times;serif"/>
          <w:sz w:val="20"/>
          <w:u w:val="single"/>
        </w:rPr>
        <w:t>                    </w:t>
      </w:r>
      <w:r>
        <w:rPr>
          <w:rFonts w:ascii="Times New Roman;Times;serif" w:hAnsi="Times New Roman;Times;serif"/>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COMMISSION FILE NUMBER 1-7521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48"/>
        </w:rPr>
      </w:pPr>
      <w:r>
        <w:rPr>
          <w:rFonts w:ascii="Times New Roman;Times;serif" w:hAnsi="Times New Roman;Times;serif"/>
          <w:b/>
          <w:sz w:val="48"/>
        </w:rPr>
        <w:t xml:space="preserve">FRIEDMAN INDUSTRIES, INCORPORATED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(Exact name of registrant as specified in its charter)</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4600" w:type="dxa"/>
        <w:jc w:val="left"/>
        <w:tblInd w:w="0" w:type="dxa"/>
        <w:tblLayout w:type="fixed"/>
        <w:tblCellMar>
          <w:top w:w="0" w:type="dxa"/>
          <w:left w:w="0" w:type="dxa"/>
          <w:bottom w:w="0" w:type="dxa"/>
          <w:right w:w="0" w:type="dxa"/>
        </w:tblCellMar>
      </w:tblPr>
      <w:tblGrid>
        <w:gridCol w:w="2645"/>
        <w:gridCol w:w="1955"/>
      </w:tblGrid>
      <w:tr>
        <w:trPr/>
        <w:tc>
          <w:tcPr>
            <w:tcW w:w="2645"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Texas</w:t>
            </w:r>
          </w:p>
        </w:tc>
        <w:tc>
          <w:tcPr>
            <w:tcW w:w="1955"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74-1504405</w:t>
            </w:r>
          </w:p>
        </w:tc>
      </w:tr>
      <w:tr>
        <w:trPr/>
        <w:tc>
          <w:tcPr>
            <w:tcW w:w="2645"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(State or other jurisdiction of</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incorporation or organization)</w:t>
            </w:r>
          </w:p>
        </w:tc>
        <w:tc>
          <w:tcPr>
            <w:tcW w:w="1955"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(I.R.S. Employer</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Identification Number)</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1121 Judson Road, Suite 124, Longview, Texas 75601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(Address of principal executive offices) (Zip Code)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Registrant’s telephone number, including area code (903)758-3431</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Former name, former address and former fiscal year, if changed since last report</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registered pursuant to Section 12(b) of the Act:</w:t>
      </w:r>
    </w:p>
    <w:p>
      <w:pPr>
        <w:pStyle w:val="TextBody"/>
        <w:bidi w:val="0"/>
        <w:spacing w:before="0" w:after="0"/>
        <w:ind w:left="0" w:right="0" w:hanging="0"/>
        <w:jc w:val="left"/>
        <w:rPr/>
      </w:pPr>
      <w:r>
        <w:rPr/>
        <w:t> </w:t>
      </w:r>
    </w:p>
    <w:tbl>
      <w:tblPr>
        <w:tblW w:w="5940" w:type="dxa"/>
        <w:jc w:val="left"/>
        <w:tblInd w:w="0" w:type="dxa"/>
        <w:tblLayout w:type="fixed"/>
        <w:tblCellMar>
          <w:top w:w="0" w:type="dxa"/>
          <w:left w:w="0" w:type="dxa"/>
          <w:bottom w:w="28" w:type="dxa"/>
          <w:right w:w="0" w:type="dxa"/>
        </w:tblCellMar>
      </w:tblPr>
      <w:tblGrid>
        <w:gridCol w:w="2405"/>
        <w:gridCol w:w="60"/>
        <w:gridCol w:w="1415"/>
        <w:gridCol w:w="60"/>
        <w:gridCol w:w="2000"/>
      </w:tblGrid>
      <w:tr>
        <w:trPr/>
        <w:tc>
          <w:tcPr>
            <w:tcW w:w="240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41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Trading Symbol</w:t>
            </w:r>
          </w:p>
        </w:tc>
        <w:tc>
          <w:tcPr>
            <w:tcW w:w="60" w:type="dxa"/>
            <w:tcBorders/>
            <w:tcMar>
              <w:bottom w:w="0" w:type="dxa"/>
            </w:tcMar>
            <w:vAlign w:val="center"/>
          </w:tcPr>
          <w:p>
            <w:pPr>
              <w:pStyle w:val="TableContents"/>
              <w:bidi w:val="0"/>
              <w:spacing w:before="0" w:after="283"/>
              <w:jc w:val="left"/>
              <w:rPr/>
            </w:pPr>
            <w:r>
              <w:rPr/>
              <w:t> </w:t>
            </w:r>
          </w:p>
        </w:tc>
        <w:tc>
          <w:tcPr>
            <w:tcW w:w="200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 of each exchange</w:t>
              <w:br/>
              <w:t>on which registered</w:t>
            </w:r>
          </w:p>
        </w:tc>
      </w:tr>
      <w:tr>
        <w:trPr/>
        <w:tc>
          <w:tcPr>
            <w:tcW w:w="2405"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 $1 Par Value</w:t>
            </w:r>
          </w:p>
        </w:tc>
        <w:tc>
          <w:tcPr>
            <w:tcW w:w="60" w:type="dxa"/>
            <w:tcBorders/>
            <w:tcMar>
              <w:bottom w:w="0" w:type="dxa"/>
            </w:tcMar>
            <w:vAlign w:val="center"/>
          </w:tcPr>
          <w:p>
            <w:pPr>
              <w:pStyle w:val="TableContents"/>
              <w:bidi w:val="0"/>
              <w:spacing w:before="0" w:after="283"/>
              <w:jc w:val="left"/>
              <w:rPr/>
            </w:pPr>
            <w:r>
              <w:rPr/>
              <w:t> </w:t>
            </w:r>
          </w:p>
        </w:tc>
        <w:tc>
          <w:tcPr>
            <w:tcW w:w="1415"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FRD</w:t>
            </w:r>
          </w:p>
        </w:tc>
        <w:tc>
          <w:tcPr>
            <w:tcW w:w="60" w:type="dxa"/>
            <w:tcBorders/>
            <w:tcMar>
              <w:bottom w:w="0" w:type="dxa"/>
            </w:tcMar>
            <w:vAlign w:val="center"/>
          </w:tcPr>
          <w:p>
            <w:pPr>
              <w:pStyle w:val="TableContents"/>
              <w:bidi w:val="0"/>
              <w:spacing w:before="0" w:after="283"/>
              <w:jc w:val="left"/>
              <w:rPr/>
            </w:pPr>
            <w:r>
              <w:rPr/>
              <w:t> </w:t>
            </w:r>
          </w:p>
        </w:tc>
        <w:tc>
          <w:tcPr>
            <w:tcW w:w="200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NYSE American</w:t>
            </w:r>
          </w:p>
        </w:tc>
      </w:tr>
    </w:tbl>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both"/>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0" w:after="0"/>
        <w:ind w:left="0" w:right="0" w:hanging="0"/>
        <w:jc w:val="both"/>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pPr>
      <w:r>
        <w:rPr/>
        <w:t> </w:t>
      </w:r>
    </w:p>
    <w:tbl>
      <w:tblPr>
        <w:tblW w:w="4505" w:type="dxa"/>
        <w:jc w:val="left"/>
        <w:tblInd w:w="0" w:type="dxa"/>
        <w:tblLayout w:type="fixed"/>
        <w:tblCellMar>
          <w:top w:w="0" w:type="dxa"/>
          <w:left w:w="0" w:type="dxa"/>
          <w:bottom w:w="0" w:type="dxa"/>
          <w:right w:w="0" w:type="dxa"/>
        </w:tblCellMar>
      </w:tblPr>
      <w:tblGrid>
        <w:gridCol w:w="1820"/>
        <w:gridCol w:w="230"/>
        <w:gridCol w:w="2225"/>
        <w:gridCol w:w="230"/>
      </w:tblGrid>
      <w:tr>
        <w:trPr/>
        <w:tc>
          <w:tcPr>
            <w:tcW w:w="18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Large accelerated filer</w:t>
            </w:r>
          </w:p>
        </w:tc>
        <w:tc>
          <w:tcPr>
            <w:tcW w:w="230" w:type="dxa"/>
            <w:tcBorders/>
            <w:vAlign w:val="center"/>
          </w:tcPr>
          <w:p>
            <w:pPr>
              <w:pStyle w:val="TableContents"/>
              <w:bidi w:val="0"/>
              <w:spacing w:before="0" w:after="0"/>
              <w:ind w:left="0" w:right="0" w:hanging="0"/>
              <w:jc w:val="left"/>
              <w:rPr/>
            </w:pPr>
            <w:r>
              <w:rPr/>
              <w:t>☐</w:t>
            </w:r>
          </w:p>
        </w:tc>
        <w:tc>
          <w:tcPr>
            <w:tcW w:w="22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Accelerated filer</w:t>
            </w:r>
          </w:p>
        </w:tc>
        <w:tc>
          <w:tcPr>
            <w:tcW w:w="230" w:type="dxa"/>
            <w:tcBorders/>
            <w:vAlign w:val="center"/>
          </w:tcPr>
          <w:p>
            <w:pPr>
              <w:pStyle w:val="TableContents"/>
              <w:bidi w:val="0"/>
              <w:spacing w:before="0" w:after="283"/>
              <w:jc w:val="left"/>
              <w:rPr/>
            </w:pPr>
            <w:r>
              <w:rPr/>
              <w:t>☒</w:t>
            </w:r>
          </w:p>
        </w:tc>
      </w:tr>
      <w:tr>
        <w:trPr/>
        <w:tc>
          <w:tcPr>
            <w:tcW w:w="18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Smaller reporting company</w:t>
            </w:r>
          </w:p>
        </w:tc>
        <w:tc>
          <w:tcPr>
            <w:tcW w:w="230" w:type="dxa"/>
            <w:tcBorders/>
            <w:vAlign w:val="center"/>
          </w:tcPr>
          <w:p>
            <w:pPr>
              <w:pStyle w:val="TableContents"/>
              <w:bidi w:val="0"/>
              <w:spacing w:before="0" w:after="0"/>
              <w:ind w:left="0" w:right="0" w:hanging="0"/>
              <w:jc w:val="left"/>
              <w:rPr/>
            </w:pPr>
            <w:r>
              <w:rPr/>
              <w:t>☒</w:t>
            </w:r>
          </w:p>
        </w:tc>
      </w:tr>
      <w:tr>
        <w:trPr/>
        <w:tc>
          <w:tcPr>
            <w:tcW w:w="18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Emerging growth company</w:t>
            </w:r>
          </w:p>
        </w:tc>
        <w:tc>
          <w:tcPr>
            <w:tcW w:w="230"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(Check one):    Yes  ☐    No   ☒</w:t>
      </w:r>
    </w:p>
    <w:p>
      <w:pPr>
        <w:pStyle w:val="TextBody"/>
        <w:bidi w:val="0"/>
        <w:spacing w:before="0" w:after="0"/>
        <w:ind w:left="0" w:right="0" w:hanging="0"/>
        <w:jc w:val="both"/>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shd w:fill="FFFFFF" w:val="clear"/>
        </w:rPr>
        <w:t>At</w:t>
      </w:r>
      <w:r>
        <w:rPr>
          <w:rFonts w:ascii="Times New Roman;Times;serif" w:hAnsi="Times New Roman;Times;serif"/>
          <w:sz w:val="20"/>
        </w:rPr>
        <w:t xml:space="preserve"> August 8, 2024, the number of shares outstanding of the issuer’s only class of stock was 6,969,695 shares of Common Stock.</w:t>
      </w:r>
    </w:p>
    <w:p>
      <w:pPr>
        <w:pStyle w:val="TextBody"/>
        <w:bidi w:val="0"/>
        <w:spacing w:before="0" w:after="0"/>
        <w:ind w:left="0" w:right="0" w:firstLine="490"/>
        <w:jc w:val="left"/>
        <w:rPr/>
      </w:pPr>
      <w:r>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u w:val="single"/>
        </w:rPr>
      </w:pPr>
      <w:bookmarkStart w:id="2" w:name="toc"/>
      <w:bookmarkEnd w:id="2"/>
      <w:r>
        <w:rPr>
          <w:rFonts w:ascii="Times New Roman;Times;serif" w:hAnsi="Times New Roman;Times;serif"/>
          <w:b/>
          <w:sz w:val="20"/>
          <w:u w:val="single"/>
        </w:rPr>
        <w:t xml:space="preserve">TABLE OF CONTENTS </w:t>
      </w:r>
    </w:p>
    <w:p>
      <w:pPr>
        <w:pStyle w:val="TextBody"/>
        <w:bidi w:val="0"/>
        <w:spacing w:before="0" w:after="0"/>
        <w:ind w:left="0" w:right="0" w:hanging="0"/>
        <w:jc w:val="left"/>
        <w:rPr/>
      </w:pPr>
      <w:r>
        <w:rPr/>
        <w:t> </w:t>
      </w:r>
    </w:p>
    <w:tbl>
      <w:tblPr>
        <w:tblW w:w="8140" w:type="dxa"/>
        <w:jc w:val="left"/>
        <w:tblInd w:w="0" w:type="dxa"/>
        <w:tblLayout w:type="fixed"/>
        <w:tblCellMar>
          <w:top w:w="0" w:type="dxa"/>
          <w:left w:w="0" w:type="dxa"/>
          <w:bottom w:w="0" w:type="dxa"/>
          <w:right w:w="0" w:type="dxa"/>
        </w:tblCellMar>
      </w:tblPr>
      <w:tblGrid>
        <w:gridCol w:w="7880"/>
        <w:gridCol w:w="260"/>
      </w:tblGrid>
      <w:tr>
        <w:trPr/>
        <w:tc>
          <w:tcPr>
            <w:tcW w:w="7880" w:type="dxa"/>
            <w:tcBorders/>
            <w:shd w:fill="CCEEFF" w:val="clear"/>
            <w:vAlign w:val="center"/>
          </w:tcPr>
          <w:p>
            <w:pPr>
              <w:pStyle w:val="TableContents"/>
              <w:bidi w:val="0"/>
              <w:spacing w:before="0" w:after="0"/>
              <w:ind w:left="240" w:right="0" w:hanging="240"/>
              <w:jc w:val="left"/>
              <w:rPr/>
            </w:pPr>
            <w:hyperlink w:anchor="fininfo">
              <w:r>
                <w:rPr>
                  <w:rStyle w:val="InternetLink"/>
                  <w:rFonts w:ascii="Times New Roman;Times;serif" w:hAnsi="Times New Roman;Times;serif"/>
                  <w:sz w:val="20"/>
                </w:rPr>
                <w:t>Part I — FINANCIAL INFORMATION</w:t>
              </w:r>
            </w:hyperlink>
          </w:p>
        </w:tc>
        <w:tc>
          <w:tcPr>
            <w:tcW w:w="260" w:type="dxa"/>
            <w:tcBorders/>
            <w:shd w:fill="CCEEFF" w:val="clear"/>
            <w:vAlign w:val="center"/>
          </w:tcPr>
          <w:p>
            <w:pPr>
              <w:pStyle w:val="TableContents"/>
              <w:bidi w:val="0"/>
              <w:spacing w:before="0" w:after="283"/>
              <w:jc w:val="right"/>
              <w:rPr/>
            </w:pPr>
            <w:hyperlink w:anchor="fininfo">
              <w:r>
                <w:rPr>
                  <w:rStyle w:val="InternetLink"/>
                </w:rPr>
                <w:t>3</w:t>
              </w:r>
            </w:hyperlink>
          </w:p>
        </w:tc>
      </w:tr>
      <w:tr>
        <w:trPr/>
        <w:tc>
          <w:tcPr>
            <w:tcW w:w="7880" w:type="dxa"/>
            <w:tcBorders/>
            <w:shd w:fill="FFFFFF" w:val="clear"/>
            <w:vAlign w:val="center"/>
          </w:tcPr>
          <w:p>
            <w:pPr>
              <w:pStyle w:val="TableContents"/>
              <w:bidi w:val="0"/>
              <w:spacing w:before="0" w:after="0"/>
              <w:ind w:left="720" w:right="0" w:hanging="240"/>
              <w:jc w:val="left"/>
              <w:rPr/>
            </w:pPr>
            <w:hyperlink w:anchor="finstat">
              <w:r>
                <w:rPr>
                  <w:rStyle w:val="InternetLink"/>
                  <w:rFonts w:ascii="Times New Roman;Times;serif" w:hAnsi="Times New Roman;Times;serif"/>
                  <w:sz w:val="20"/>
                </w:rPr>
                <w:t>Item 1. Financial Statements</w:t>
              </w:r>
            </w:hyperlink>
          </w:p>
        </w:tc>
        <w:tc>
          <w:tcPr>
            <w:tcW w:w="260" w:type="dxa"/>
            <w:tcBorders/>
            <w:shd w:fill="FFFFFF" w:val="clear"/>
            <w:vAlign w:val="center"/>
          </w:tcPr>
          <w:p>
            <w:pPr>
              <w:pStyle w:val="TableContents"/>
              <w:bidi w:val="0"/>
              <w:spacing w:before="0" w:after="283"/>
              <w:jc w:val="right"/>
              <w:rPr/>
            </w:pPr>
            <w:hyperlink w:anchor="finstat">
              <w:r>
                <w:rPr>
                  <w:rStyle w:val="InternetLink"/>
                </w:rPr>
                <w:t>3</w:t>
              </w:r>
            </w:hyperlink>
          </w:p>
        </w:tc>
      </w:tr>
      <w:tr>
        <w:trPr/>
        <w:tc>
          <w:tcPr>
            <w:tcW w:w="7880" w:type="dxa"/>
            <w:tcBorders/>
            <w:shd w:fill="CCEEFF" w:val="clear"/>
            <w:vAlign w:val="center"/>
          </w:tcPr>
          <w:p>
            <w:pPr>
              <w:pStyle w:val="TableContents"/>
              <w:bidi w:val="0"/>
              <w:spacing w:before="0" w:after="0"/>
              <w:ind w:left="720" w:right="0" w:hanging="240"/>
              <w:jc w:val="left"/>
              <w:rPr/>
            </w:pPr>
            <w:hyperlink w:anchor="mgmtdis">
              <w:r>
                <w:rPr>
                  <w:rStyle w:val="InternetLink"/>
                  <w:rFonts w:ascii="Times New Roman;Times;serif" w:hAnsi="Times New Roman;Times;serif"/>
                  <w:sz w:val="20"/>
                </w:rPr>
                <w:t>Item 2. Management’s Discussion and Analysis of Financial Condition and Results of Operations</w:t>
              </w:r>
            </w:hyperlink>
          </w:p>
        </w:tc>
        <w:tc>
          <w:tcPr>
            <w:tcW w:w="260" w:type="dxa"/>
            <w:tcBorders/>
            <w:shd w:fill="CCEEFF" w:val="clear"/>
            <w:vAlign w:val="center"/>
          </w:tcPr>
          <w:p>
            <w:pPr>
              <w:pStyle w:val="TableContents"/>
              <w:bidi w:val="0"/>
              <w:spacing w:before="0" w:after="283"/>
              <w:jc w:val="right"/>
              <w:rPr/>
            </w:pPr>
            <w:hyperlink w:anchor="mgmtdis">
              <w:r>
                <w:rPr>
                  <w:rStyle w:val="InternetLink"/>
                </w:rPr>
                <w:t>16</w:t>
              </w:r>
            </w:hyperlink>
          </w:p>
        </w:tc>
      </w:tr>
      <w:tr>
        <w:trPr/>
        <w:tc>
          <w:tcPr>
            <w:tcW w:w="7880" w:type="dxa"/>
            <w:tcBorders/>
            <w:shd w:fill="FFFFFF" w:val="clear"/>
            <w:vAlign w:val="center"/>
          </w:tcPr>
          <w:p>
            <w:pPr>
              <w:pStyle w:val="TableContents"/>
              <w:bidi w:val="0"/>
              <w:spacing w:before="0" w:after="0"/>
              <w:ind w:left="720" w:right="0" w:hanging="240"/>
              <w:jc w:val="left"/>
              <w:rPr/>
            </w:pPr>
            <w:hyperlink w:anchor="quan">
              <w:r>
                <w:rPr>
                  <w:rStyle w:val="InternetLink"/>
                  <w:rFonts w:ascii="Times New Roman;Times;serif" w:hAnsi="Times New Roman;Times;serif"/>
                  <w:sz w:val="20"/>
                </w:rPr>
                <w:t>Item 3. Quantitative and Qualitative Disclosures About Market Risk</w:t>
              </w:r>
            </w:hyperlink>
          </w:p>
        </w:tc>
        <w:tc>
          <w:tcPr>
            <w:tcW w:w="260" w:type="dxa"/>
            <w:tcBorders/>
            <w:shd w:fill="FFFFFF" w:val="clear"/>
            <w:vAlign w:val="center"/>
          </w:tcPr>
          <w:p>
            <w:pPr>
              <w:pStyle w:val="TableContents"/>
              <w:bidi w:val="0"/>
              <w:spacing w:before="0" w:after="283"/>
              <w:jc w:val="right"/>
              <w:rPr/>
            </w:pPr>
            <w:hyperlink w:anchor="quan">
              <w:r>
                <w:rPr>
                  <w:rStyle w:val="InternetLink"/>
                </w:rPr>
                <w:t>19</w:t>
              </w:r>
            </w:hyperlink>
          </w:p>
        </w:tc>
      </w:tr>
      <w:tr>
        <w:trPr/>
        <w:tc>
          <w:tcPr>
            <w:tcW w:w="7880" w:type="dxa"/>
            <w:tcBorders/>
            <w:shd w:fill="CCEEFF" w:val="clear"/>
            <w:vAlign w:val="center"/>
          </w:tcPr>
          <w:p>
            <w:pPr>
              <w:pStyle w:val="TableContents"/>
              <w:bidi w:val="0"/>
              <w:spacing w:before="0" w:after="0"/>
              <w:ind w:left="720" w:right="0" w:hanging="240"/>
              <w:jc w:val="left"/>
              <w:rPr/>
            </w:pPr>
            <w:hyperlink w:anchor="conpro">
              <w:r>
                <w:rPr>
                  <w:rStyle w:val="InternetLink"/>
                  <w:rFonts w:ascii="Times New Roman;Times;serif" w:hAnsi="Times New Roman;Times;serif"/>
                  <w:sz w:val="20"/>
                </w:rPr>
                <w:t>Item 4. Controls and Procedures</w:t>
              </w:r>
            </w:hyperlink>
          </w:p>
        </w:tc>
        <w:tc>
          <w:tcPr>
            <w:tcW w:w="260" w:type="dxa"/>
            <w:tcBorders/>
            <w:shd w:fill="CCEEFF" w:val="clear"/>
            <w:vAlign w:val="center"/>
          </w:tcPr>
          <w:p>
            <w:pPr>
              <w:pStyle w:val="TableContents"/>
              <w:bidi w:val="0"/>
              <w:spacing w:before="0" w:after="283"/>
              <w:jc w:val="right"/>
              <w:rPr/>
            </w:pPr>
            <w:hyperlink w:anchor="conpro">
              <w:r>
                <w:rPr>
                  <w:rStyle w:val="InternetLink"/>
                </w:rPr>
                <w:t>19</w:t>
              </w:r>
            </w:hyperlink>
          </w:p>
        </w:tc>
      </w:tr>
      <w:tr>
        <w:trPr/>
        <w:tc>
          <w:tcPr>
            <w:tcW w:w="7880" w:type="dxa"/>
            <w:tcBorders/>
            <w:shd w:fill="FFFFFF" w:val="clear"/>
            <w:vAlign w:val="center"/>
          </w:tcPr>
          <w:p>
            <w:pPr>
              <w:pStyle w:val="TableContents"/>
              <w:bidi w:val="0"/>
              <w:spacing w:before="0" w:after="0"/>
              <w:ind w:left="240" w:right="0" w:hanging="240"/>
              <w:jc w:val="left"/>
              <w:rPr/>
            </w:pPr>
            <w:hyperlink w:anchor="ptwo">
              <w:r>
                <w:rPr>
                  <w:rStyle w:val="InternetLink"/>
                  <w:rFonts w:ascii="Times New Roman;Times;serif" w:hAnsi="Times New Roman;Times;serif"/>
                  <w:sz w:val="20"/>
                </w:rPr>
                <w:t>Part II — OTHER INFORMATION</w:t>
              </w:r>
            </w:hyperlink>
          </w:p>
        </w:tc>
        <w:tc>
          <w:tcPr>
            <w:tcW w:w="260" w:type="dxa"/>
            <w:tcBorders/>
            <w:shd w:fill="FFFFFF" w:val="clear"/>
            <w:vAlign w:val="center"/>
          </w:tcPr>
          <w:p>
            <w:pPr>
              <w:pStyle w:val="TableContents"/>
              <w:bidi w:val="0"/>
              <w:spacing w:before="0" w:after="283"/>
              <w:jc w:val="right"/>
              <w:rPr/>
            </w:pPr>
            <w:hyperlink w:anchor="ptwo">
              <w:r>
                <w:rPr>
                  <w:rStyle w:val="InternetLink"/>
                </w:rPr>
                <w:t>20</w:t>
              </w:r>
            </w:hyperlink>
          </w:p>
        </w:tc>
      </w:tr>
      <w:tr>
        <w:trPr/>
        <w:tc>
          <w:tcPr>
            <w:tcW w:w="7880" w:type="dxa"/>
            <w:tcBorders/>
            <w:shd w:fill="CCEEFF" w:val="clear"/>
            <w:vAlign w:val="center"/>
          </w:tcPr>
          <w:p>
            <w:pPr>
              <w:pStyle w:val="TableContents"/>
              <w:bidi w:val="0"/>
              <w:spacing w:before="0" w:after="0"/>
              <w:ind w:left="720" w:right="0" w:hanging="240"/>
              <w:jc w:val="left"/>
              <w:rPr/>
            </w:pPr>
            <w:hyperlink w:anchor="I5OI">
              <w:r>
                <w:rPr>
                  <w:rStyle w:val="InternetLink"/>
                  <w:rFonts w:ascii="Times New Roman;Times;serif" w:hAnsi="Times New Roman;Times;serif"/>
                  <w:sz w:val="20"/>
                </w:rPr>
                <w:t>Item 5. Other Information</w:t>
              </w:r>
            </w:hyperlink>
          </w:p>
        </w:tc>
        <w:tc>
          <w:tcPr>
            <w:tcW w:w="260" w:type="dxa"/>
            <w:tcBorders/>
            <w:shd w:fill="CCEEFF" w:val="clear"/>
            <w:vAlign w:val="center"/>
          </w:tcPr>
          <w:p>
            <w:pPr>
              <w:pStyle w:val="TableContents"/>
              <w:bidi w:val="0"/>
              <w:spacing w:before="0" w:after="283"/>
              <w:jc w:val="right"/>
              <w:rPr/>
            </w:pPr>
            <w:hyperlink w:anchor="exes">
              <w:r>
                <w:rPr>
                  <w:rStyle w:val="InternetLink"/>
                </w:rPr>
                <w:t>20</w:t>
              </w:r>
            </w:hyperlink>
          </w:p>
        </w:tc>
      </w:tr>
      <w:tr>
        <w:trPr/>
        <w:tc>
          <w:tcPr>
            <w:tcW w:w="7880" w:type="dxa"/>
            <w:tcBorders/>
            <w:shd w:fill="FFFFFF" w:val="clear"/>
            <w:vAlign w:val="center"/>
          </w:tcPr>
          <w:p>
            <w:pPr>
              <w:pStyle w:val="TableContents"/>
              <w:bidi w:val="0"/>
              <w:spacing w:before="0" w:after="0"/>
              <w:ind w:left="720" w:right="0" w:hanging="240"/>
              <w:jc w:val="left"/>
              <w:rPr/>
            </w:pPr>
            <w:hyperlink w:anchor="exes">
              <w:r>
                <w:rPr>
                  <w:rStyle w:val="InternetLink"/>
                  <w:rFonts w:ascii="Times New Roman;Times;serif" w:hAnsi="Times New Roman;Times;serif"/>
                  <w:sz w:val="20"/>
                </w:rPr>
                <w:t>Item 6. Exhibits</w:t>
              </w:r>
            </w:hyperlink>
          </w:p>
        </w:tc>
        <w:tc>
          <w:tcPr>
            <w:tcW w:w="260" w:type="dxa"/>
            <w:tcBorders/>
            <w:shd w:fill="FFFFFF" w:val="clear"/>
            <w:vAlign w:val="center"/>
          </w:tcPr>
          <w:p>
            <w:pPr>
              <w:pStyle w:val="TableContents"/>
              <w:bidi w:val="0"/>
              <w:spacing w:before="0" w:after="283"/>
              <w:jc w:val="right"/>
              <w:rPr/>
            </w:pPr>
            <w:hyperlink w:anchor="exes">
              <w:r>
                <w:rPr>
                  <w:rStyle w:val="InternetLink"/>
                </w:rPr>
                <w:t>20</w:t>
              </w:r>
            </w:hyperlink>
          </w:p>
        </w:tc>
      </w:tr>
      <w:tr>
        <w:trPr/>
        <w:tc>
          <w:tcPr>
            <w:tcW w:w="7880" w:type="dxa"/>
            <w:tcBorders/>
            <w:shd w:fill="CCEEFF" w:val="clear"/>
            <w:vAlign w:val="center"/>
          </w:tcPr>
          <w:p>
            <w:pPr>
              <w:pStyle w:val="TableContents"/>
              <w:bidi w:val="0"/>
              <w:spacing w:before="0" w:after="0"/>
              <w:ind w:left="240" w:right="0" w:hanging="240"/>
              <w:jc w:val="left"/>
              <w:rPr/>
            </w:pPr>
            <w:hyperlink w:anchor="sigs">
              <w:r>
                <w:rPr>
                  <w:rStyle w:val="InternetLink"/>
                  <w:rFonts w:ascii="Times New Roman;Times;serif" w:hAnsi="Times New Roman;Times;serif"/>
                  <w:sz w:val="20"/>
                </w:rPr>
                <w:t>SIGNATURES</w:t>
              </w:r>
            </w:hyperlink>
          </w:p>
        </w:tc>
        <w:tc>
          <w:tcPr>
            <w:tcW w:w="260" w:type="dxa"/>
            <w:tcBorders/>
            <w:shd w:fill="CCEEFF" w:val="clear"/>
            <w:vAlign w:val="center"/>
          </w:tcPr>
          <w:p>
            <w:pPr>
              <w:pStyle w:val="TableContents"/>
              <w:bidi w:val="0"/>
              <w:spacing w:before="0" w:after="283"/>
              <w:jc w:val="right"/>
              <w:rPr/>
            </w:pPr>
            <w:hyperlink w:anchor="sigs">
              <w:r>
                <w:rPr>
                  <w:rStyle w:val="InternetLink"/>
                </w:rPr>
                <w:t>21</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3" w:name="fininfo"/>
      <w:bookmarkEnd w:id="3"/>
      <w:r>
        <w:rPr>
          <w:rFonts w:ascii="Times New Roman;Times;serif" w:hAnsi="Times New Roman;Times;serif"/>
          <w:b/>
          <w:sz w:val="20"/>
        </w:rPr>
        <w:t xml:space="preserve">Part I — FINANCIAL INFORMATION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bookmarkStart w:id="4" w:name="finstat"/>
      <w:bookmarkEnd w:id="4"/>
      <w:r>
        <w:rPr>
          <w:rFonts w:ascii="Times New Roman;Times;serif" w:hAnsi="Times New Roman;Times;serif"/>
          <w:b/>
          <w:sz w:val="20"/>
        </w:rPr>
        <w:t xml:space="preserve">Item 1. Financial Statements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FRIEDMAN INDUSTRIES, INCORPORATED</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CONDENSED CONSOLIDATED BALANCE SHEETS — UNAUDITED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for share data)</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56"/>
        <w:gridCol w:w="60"/>
        <w:gridCol w:w="169"/>
        <w:gridCol w:w="944"/>
        <w:gridCol w:w="80"/>
        <w:gridCol w:w="60"/>
        <w:gridCol w:w="190"/>
        <w:gridCol w:w="1063"/>
        <w:gridCol w:w="83"/>
      </w:tblGrid>
      <w:tr>
        <w:trPr/>
        <w:tc>
          <w:tcPr>
            <w:tcW w:w="75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JUNE 30, 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MARCH 31, 2024</w:t>
            </w:r>
          </w:p>
        </w:tc>
        <w:tc>
          <w:tcPr>
            <w:tcW w:w="83" w:type="dxa"/>
            <w:tcBorders/>
            <w:shd w:fill="FFFFFF" w:val="clear"/>
            <w:vAlign w:val="center"/>
          </w:tcPr>
          <w:p>
            <w:pPr>
              <w:pStyle w:val="TableContents"/>
              <w:bidi w:val="0"/>
              <w:spacing w:before="0" w:after="283"/>
              <w:jc w:val="left"/>
              <w:rPr/>
            </w:pPr>
            <w:r>
              <w:rPr/>
              <w:t> </w:t>
            </w:r>
          </w:p>
        </w:tc>
      </w:tr>
      <w:tr>
        <w:trPr/>
        <w:tc>
          <w:tcPr>
            <w:tcW w:w="755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5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ind w:left="360" w:right="0" w:hanging="0"/>
              <w:jc w:val="left"/>
              <w:rPr/>
            </w:pPr>
            <w:r>
              <w:rPr/>
              <w:t> </w:t>
            </w:r>
          </w:p>
        </w:tc>
      </w:tr>
      <w:tr>
        <w:trPr/>
        <w:tc>
          <w:tcPr>
            <w:tcW w:w="7556" w:type="dxa"/>
            <w:tcBorders/>
            <w:shd w:fill="CCEEFF" w:val="clear"/>
            <w:vAlign w:val="center"/>
          </w:tcPr>
          <w:p>
            <w:pPr>
              <w:pStyle w:val="TableContents"/>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Cash</w:t>
            </w:r>
          </w:p>
        </w:tc>
        <w:tc>
          <w:tcPr>
            <w:tcW w:w="60" w:type="dxa"/>
            <w:tcBorders/>
            <w:shd w:fill="CCEEFF" w:val="clear"/>
            <w:vAlign w:val="center"/>
          </w:tcPr>
          <w:p>
            <w:pPr>
              <w:pStyle w:val="TableContents"/>
              <w:bidi w:val="0"/>
              <w:spacing w:before="0" w:after="283"/>
              <w:ind w:left="0" w:right="0" w:hanging="0"/>
              <w:jc w:val="left"/>
              <w:rPr/>
            </w:pPr>
            <w:r>
              <w:rPr/>
              <w:t> </w:t>
            </w:r>
          </w:p>
        </w:tc>
        <w:tc>
          <w:tcPr>
            <w:tcW w:w="16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2,891</w:t>
            </w:r>
          </w:p>
        </w:tc>
        <w:tc>
          <w:tcPr>
            <w:tcW w:w="83" w:type="dxa"/>
            <w:tcBorders/>
            <w:shd w:fill="CCEEFF" w:val="clear"/>
            <w:vAlign w:val="center"/>
          </w:tcPr>
          <w:p>
            <w:pPr>
              <w:pStyle w:val="TableContents"/>
              <w:bidi w:val="0"/>
              <w:spacing w:before="0" w:after="283"/>
              <w:ind w:left="360" w:right="0" w:hanging="0"/>
              <w:jc w:val="left"/>
              <w:rPr/>
            </w:pPr>
            <w:r>
              <w:rPr/>
              <w:t> </w:t>
            </w:r>
          </w:p>
        </w:tc>
      </w:tr>
      <w:tr>
        <w:trPr/>
        <w:tc>
          <w:tcPr>
            <w:tcW w:w="7556" w:type="dxa"/>
            <w:tcBorders/>
            <w:shd w:fill="FFFFFF" w:val="clear"/>
            <w:vAlign w:val="center"/>
          </w:tcPr>
          <w:p>
            <w:pPr>
              <w:pStyle w:val="TableContents"/>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Accounts receivable, net of allowances for credit losses and cash discounts of $138 and $97 at June 30, and March 31, 2024, respectively</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9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10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47,329</w:t>
            </w:r>
          </w:p>
        </w:tc>
        <w:tc>
          <w:tcPr>
            <w:tcW w:w="83" w:type="dxa"/>
            <w:tcBorders/>
            <w:shd w:fill="FFFFFF" w:val="clear"/>
            <w:vAlign w:val="center"/>
          </w:tcPr>
          <w:p>
            <w:pPr>
              <w:pStyle w:val="TableContents"/>
              <w:bidi w:val="0"/>
              <w:spacing w:before="0" w:after="283"/>
              <w:ind w:left="360" w:right="0" w:hanging="0"/>
              <w:jc w:val="left"/>
              <w:rPr/>
            </w:pPr>
            <w:r>
              <w:rPr/>
              <w:t> </w:t>
            </w:r>
          </w:p>
        </w:tc>
      </w:tr>
      <w:tr>
        <w:trPr/>
        <w:tc>
          <w:tcPr>
            <w:tcW w:w="7556" w:type="dxa"/>
            <w:tcBorders/>
            <w:shd w:fill="CCEEFF" w:val="clear"/>
            <w:vAlign w:val="center"/>
          </w:tcPr>
          <w:p>
            <w:pPr>
              <w:pStyle w:val="TableContents"/>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Inventories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9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119,802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10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115,804</w:t>
            </w:r>
          </w:p>
        </w:tc>
        <w:tc>
          <w:tcPr>
            <w:tcW w:w="83" w:type="dxa"/>
            <w:tcBorders/>
            <w:shd w:fill="CCEEFF" w:val="clear"/>
            <w:vAlign w:val="center"/>
          </w:tcPr>
          <w:p>
            <w:pPr>
              <w:pStyle w:val="TableContents"/>
              <w:bidi w:val="0"/>
              <w:spacing w:before="0" w:after="283"/>
              <w:jc w:val="left"/>
              <w:rPr/>
            </w:pPr>
            <w:r>
              <w:rPr/>
              <w:t> </w:t>
            </w:r>
          </w:p>
        </w:tc>
      </w:tr>
      <w:tr>
        <w:trPr/>
        <w:tc>
          <w:tcPr>
            <w:tcW w:w="7556" w:type="dxa"/>
            <w:tcBorders/>
            <w:shd w:fill="FFFFFF" w:val="clear"/>
            <w:vAlign w:val="center"/>
          </w:tcPr>
          <w:p>
            <w:pPr>
              <w:pStyle w:val="TableContents"/>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Current portion of derivative assets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w:t>
            </w:r>
          </w:p>
        </w:tc>
        <w:tc>
          <w:tcPr>
            <w:tcW w:w="83" w:type="dxa"/>
            <w:tcBorders/>
            <w:shd w:fill="FFFFFF" w:val="clear"/>
            <w:vAlign w:val="center"/>
          </w:tcPr>
          <w:p>
            <w:pPr>
              <w:pStyle w:val="TableContents"/>
              <w:bidi w:val="0"/>
              <w:spacing w:before="0" w:after="283"/>
              <w:ind w:left="360" w:right="0" w:hanging="0"/>
              <w:jc w:val="left"/>
              <w:rPr/>
            </w:pPr>
            <w:r>
              <w:rPr/>
              <w:t> </w:t>
            </w:r>
          </w:p>
        </w:tc>
      </w:tr>
      <w:tr>
        <w:trPr/>
        <w:tc>
          <w:tcPr>
            <w:tcW w:w="7556" w:type="dxa"/>
            <w:tcBorders/>
            <w:shd w:fill="CCEEFF" w:val="clear"/>
            <w:vAlign w:val="center"/>
          </w:tcPr>
          <w:p>
            <w:pPr>
              <w:pStyle w:val="TableContents"/>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Other current assets</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3,966</w:t>
            </w:r>
          </w:p>
        </w:tc>
        <w:tc>
          <w:tcPr>
            <w:tcW w:w="83" w:type="dxa"/>
            <w:tcBorders/>
            <w:shd w:fill="CCEEFF" w:val="clear"/>
            <w:vAlign w:val="center"/>
          </w:tcPr>
          <w:p>
            <w:pPr>
              <w:pStyle w:val="TableContents"/>
              <w:bidi w:val="0"/>
              <w:spacing w:before="0" w:after="283"/>
              <w:ind w:left="900" w:right="0" w:hanging="0"/>
              <w:jc w:val="left"/>
              <w:rPr/>
            </w:pPr>
            <w:r>
              <w:rPr/>
              <w:t> </w:t>
            </w:r>
          </w:p>
        </w:tc>
      </w:tr>
      <w:tr>
        <w:trPr/>
        <w:tc>
          <w:tcPr>
            <w:tcW w:w="7556" w:type="dxa"/>
            <w:tcBorders/>
            <w:shd w:fill="FFFFFF" w:val="clear"/>
            <w:vAlign w:val="center"/>
          </w:tcPr>
          <w:p>
            <w:pPr>
              <w:pStyle w:val="TableContents"/>
              <w:bidi w:val="0"/>
              <w:spacing w:before="0" w:after="0"/>
              <w:ind w:left="1800" w:right="0" w:hanging="0"/>
              <w:jc w:val="left"/>
              <w:rPr>
                <w:rFonts w:ascii="Times New Roman;Times;serif" w:hAnsi="Times New Roman;Times;serif"/>
                <w:sz w:val="20"/>
              </w:rPr>
            </w:pPr>
            <w:r>
              <w:rPr>
                <w:rFonts w:ascii="Times New Roman;Times;serif" w:hAnsi="Times New Roman;Times;serif"/>
                <w:sz w:val="20"/>
              </w:rPr>
              <w:t>TOTAL CURRENT ASSETS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9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162,416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10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170,064</w:t>
            </w:r>
          </w:p>
        </w:tc>
        <w:tc>
          <w:tcPr>
            <w:tcW w:w="83" w:type="dxa"/>
            <w:tcBorders/>
            <w:shd w:fill="FFFFFF" w:val="clear"/>
            <w:vAlign w:val="center"/>
          </w:tcPr>
          <w:p>
            <w:pPr>
              <w:pStyle w:val="TableContents"/>
              <w:bidi w:val="0"/>
              <w:spacing w:before="0" w:after="283"/>
              <w:jc w:val="left"/>
              <w:rPr/>
            </w:pPr>
            <w:r>
              <w:rPr/>
              <w:t> </w:t>
            </w:r>
          </w:p>
        </w:tc>
      </w:tr>
      <w:tr>
        <w:trPr/>
        <w:tc>
          <w:tcPr>
            <w:tcW w:w="7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PLANT AND EQUIPMENT: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360" w:right="0" w:hanging="0"/>
              <w:jc w:val="left"/>
              <w:rPr/>
            </w:pPr>
            <w:r>
              <w:rPr/>
              <w:t> </w:t>
            </w:r>
          </w:p>
        </w:tc>
      </w:tr>
      <w:tr>
        <w:trPr/>
        <w:tc>
          <w:tcPr>
            <w:tcW w:w="7556" w:type="dxa"/>
            <w:tcBorders/>
            <w:shd w:fill="FFFFFF" w:val="clear"/>
            <w:vAlign w:val="center"/>
          </w:tcPr>
          <w:p>
            <w:pPr>
              <w:pStyle w:val="TableContents"/>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Land</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9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10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1,670</w:t>
            </w:r>
          </w:p>
        </w:tc>
        <w:tc>
          <w:tcPr>
            <w:tcW w:w="83" w:type="dxa"/>
            <w:tcBorders/>
            <w:shd w:fill="FFFFFF" w:val="clear"/>
            <w:vAlign w:val="center"/>
          </w:tcPr>
          <w:p>
            <w:pPr>
              <w:pStyle w:val="TableContents"/>
              <w:bidi w:val="0"/>
              <w:spacing w:before="0" w:after="283"/>
              <w:ind w:left="360" w:right="0" w:hanging="0"/>
              <w:jc w:val="left"/>
              <w:rPr/>
            </w:pPr>
            <w:r>
              <w:rPr/>
              <w:t> </w:t>
            </w:r>
          </w:p>
        </w:tc>
      </w:tr>
      <w:tr>
        <w:trPr/>
        <w:tc>
          <w:tcPr>
            <w:tcW w:w="7556" w:type="dxa"/>
            <w:tcBorders/>
            <w:shd w:fill="CCEEFF" w:val="clear"/>
            <w:vAlign w:val="center"/>
          </w:tcPr>
          <w:p>
            <w:pPr>
              <w:pStyle w:val="TableContents"/>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Buildings and yard improvements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9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10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30,900</w:t>
            </w:r>
          </w:p>
        </w:tc>
        <w:tc>
          <w:tcPr>
            <w:tcW w:w="83" w:type="dxa"/>
            <w:tcBorders/>
            <w:shd w:fill="CCEEFF" w:val="clear"/>
            <w:vAlign w:val="center"/>
          </w:tcPr>
          <w:p>
            <w:pPr>
              <w:pStyle w:val="TableContents"/>
              <w:bidi w:val="0"/>
              <w:spacing w:before="0" w:after="283"/>
              <w:ind w:left="360" w:right="0" w:hanging="0"/>
              <w:jc w:val="left"/>
              <w:rPr/>
            </w:pPr>
            <w:r>
              <w:rPr/>
              <w:t> </w:t>
            </w:r>
          </w:p>
        </w:tc>
      </w:tr>
      <w:tr>
        <w:trPr/>
        <w:tc>
          <w:tcPr>
            <w:tcW w:w="7556" w:type="dxa"/>
            <w:tcBorders/>
            <w:shd w:fill="FFFFFF" w:val="clear"/>
            <w:vAlign w:val="center"/>
          </w:tcPr>
          <w:p>
            <w:pPr>
              <w:pStyle w:val="TableContents"/>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Machinery and equipment</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9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54,280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10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53,607</w:t>
            </w:r>
          </w:p>
        </w:tc>
        <w:tc>
          <w:tcPr>
            <w:tcW w:w="83" w:type="dxa"/>
            <w:tcBorders/>
            <w:shd w:fill="FFFFFF" w:val="clear"/>
            <w:vAlign w:val="center"/>
          </w:tcPr>
          <w:p>
            <w:pPr>
              <w:pStyle w:val="TableContents"/>
              <w:bidi w:val="0"/>
              <w:spacing w:before="0" w:after="283"/>
              <w:ind w:left="360" w:right="0" w:hanging="0"/>
              <w:jc w:val="left"/>
              <w:rPr/>
            </w:pPr>
            <w:r>
              <w:rPr/>
              <w:t> </w:t>
            </w:r>
          </w:p>
        </w:tc>
      </w:tr>
      <w:tr>
        <w:trPr/>
        <w:tc>
          <w:tcPr>
            <w:tcW w:w="7556" w:type="dxa"/>
            <w:tcBorders/>
            <w:shd w:fill="CCEEFF" w:val="clear"/>
            <w:vAlign w:val="center"/>
          </w:tcPr>
          <w:p>
            <w:pPr>
              <w:pStyle w:val="TableContents"/>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Construction in process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9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10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1,977</w:t>
            </w:r>
          </w:p>
        </w:tc>
        <w:tc>
          <w:tcPr>
            <w:tcW w:w="83" w:type="dxa"/>
            <w:tcBorders/>
            <w:shd w:fill="CCEEFF" w:val="clear"/>
            <w:vAlign w:val="center"/>
          </w:tcPr>
          <w:p>
            <w:pPr>
              <w:pStyle w:val="TableContents"/>
              <w:bidi w:val="0"/>
              <w:spacing w:before="0" w:after="283"/>
              <w:ind w:left="360" w:right="0" w:hanging="0"/>
              <w:jc w:val="left"/>
              <w:rPr/>
            </w:pPr>
            <w:r>
              <w:rPr/>
              <w:t> </w:t>
            </w:r>
          </w:p>
        </w:tc>
      </w:tr>
      <w:tr>
        <w:trPr/>
        <w:tc>
          <w:tcPr>
            <w:tcW w:w="7556" w:type="dxa"/>
            <w:tcBorders/>
            <w:shd w:fill="FFFFFF" w:val="clear"/>
            <w:vAlign w:val="center"/>
          </w:tcPr>
          <w:p>
            <w:pPr>
              <w:pStyle w:val="TableContents"/>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Less accumulated depreciation</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(32,145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9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(31,396</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5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9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57,043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10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56,758</w:t>
            </w:r>
          </w:p>
        </w:tc>
        <w:tc>
          <w:tcPr>
            <w:tcW w:w="83" w:type="dxa"/>
            <w:tcBorders/>
            <w:shd w:fill="CCEEFF" w:val="clear"/>
            <w:vAlign w:val="center"/>
          </w:tcPr>
          <w:p>
            <w:pPr>
              <w:pStyle w:val="TableContents"/>
              <w:bidi w:val="0"/>
              <w:spacing w:before="0" w:after="283"/>
              <w:jc w:val="left"/>
              <w:rPr/>
            </w:pPr>
            <w:r>
              <w:rPr/>
              <w:t> </w:t>
            </w:r>
          </w:p>
        </w:tc>
      </w:tr>
      <w:tr>
        <w:trPr/>
        <w:tc>
          <w:tcPr>
            <w:tcW w:w="75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ind w:left="360" w:right="0" w:hanging="0"/>
              <w:jc w:val="left"/>
              <w:rPr/>
            </w:pPr>
            <w:r>
              <w:rPr/>
              <w:t> </w:t>
            </w:r>
          </w:p>
        </w:tc>
      </w:tr>
      <w:tr>
        <w:trPr/>
        <w:tc>
          <w:tcPr>
            <w:tcW w:w="7556" w:type="dxa"/>
            <w:tcBorders/>
            <w:shd w:fill="CCEEFF" w:val="clear"/>
            <w:vAlign w:val="center"/>
          </w:tcPr>
          <w:p>
            <w:pPr>
              <w:pStyle w:val="TableContents"/>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Cash value of officers’ life insurance and other assets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9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10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356</w:t>
            </w:r>
          </w:p>
        </w:tc>
        <w:tc>
          <w:tcPr>
            <w:tcW w:w="83" w:type="dxa"/>
            <w:tcBorders/>
            <w:shd w:fill="CCEEFF" w:val="clear"/>
            <w:vAlign w:val="center"/>
          </w:tcPr>
          <w:p>
            <w:pPr>
              <w:pStyle w:val="TableContents"/>
              <w:bidi w:val="0"/>
              <w:spacing w:before="0" w:after="283"/>
              <w:jc w:val="left"/>
              <w:rPr/>
            </w:pPr>
            <w:r>
              <w:rPr/>
              <w:t> </w:t>
            </w:r>
          </w:p>
        </w:tc>
      </w:tr>
      <w:tr>
        <w:trPr/>
        <w:tc>
          <w:tcPr>
            <w:tcW w:w="7556" w:type="dxa"/>
            <w:tcBorders/>
            <w:shd w:fill="FFFFFF" w:val="clear"/>
            <w:vAlign w:val="center"/>
          </w:tcPr>
          <w:p>
            <w:pPr>
              <w:pStyle w:val="TableContents"/>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Operating lease right-of-use asset</w:t>
            </w:r>
          </w:p>
        </w:tc>
        <w:tc>
          <w:tcPr>
            <w:tcW w:w="60" w:type="dxa"/>
            <w:tcBorders/>
            <w:shd w:fill="FFFFFF" w:val="clear"/>
            <w:vAlign w:val="center"/>
          </w:tcPr>
          <w:p>
            <w:pPr>
              <w:pStyle w:val="TableContents"/>
              <w:bidi w:val="0"/>
              <w:spacing w:before="0" w:after="283"/>
              <w:ind w:left="0" w:right="0" w:hanging="0"/>
              <w:jc w:val="left"/>
              <w:rPr/>
            </w:pPr>
            <w:r>
              <w:rPr/>
              <w:t> </w:t>
            </w:r>
          </w:p>
        </w:tc>
        <w:tc>
          <w:tcPr>
            <w:tcW w:w="16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44"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2,998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63"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2,841</w:t>
            </w:r>
          </w:p>
        </w:tc>
        <w:tc>
          <w:tcPr>
            <w:tcW w:w="83" w:type="dxa"/>
            <w:tcBorders/>
            <w:shd w:fill="FFFFFF" w:val="clear"/>
            <w:vAlign w:val="center"/>
          </w:tcPr>
          <w:p>
            <w:pPr>
              <w:pStyle w:val="TableContents"/>
              <w:bidi w:val="0"/>
              <w:spacing w:before="0" w:after="283"/>
              <w:ind w:left="900" w:right="0" w:hanging="0"/>
              <w:jc w:val="left"/>
              <w:rPr/>
            </w:pPr>
            <w:r>
              <w:rPr/>
              <w:t> </w:t>
            </w:r>
          </w:p>
        </w:tc>
      </w:tr>
      <w:tr>
        <w:trPr/>
        <w:tc>
          <w:tcPr>
            <w:tcW w:w="7556" w:type="dxa"/>
            <w:tcBorders/>
            <w:shd w:fill="CCEEFF" w:val="clear"/>
            <w:vAlign w:val="center"/>
          </w:tcPr>
          <w:p>
            <w:pPr>
              <w:pStyle w:val="TableContents"/>
              <w:bidi w:val="0"/>
              <w:spacing w:before="0" w:after="0"/>
              <w:ind w:left="1800" w:right="0" w:hanging="0"/>
              <w:jc w:val="left"/>
              <w:rPr>
                <w:rFonts w:ascii="Times New Roman;Times;serif" w:hAnsi="Times New Roman;Times;serif"/>
                <w:sz w:val="20"/>
              </w:rPr>
            </w:pPr>
            <w:r>
              <w:rPr>
                <w:rFonts w:ascii="Times New Roman;Times;serif" w:hAnsi="Times New Roman;Times;serif"/>
                <w:sz w:val="20"/>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6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222,790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230,019</w:t>
            </w:r>
          </w:p>
        </w:tc>
        <w:tc>
          <w:tcPr>
            <w:tcW w:w="83" w:type="dxa"/>
            <w:tcBorders/>
            <w:shd w:fill="CCEEFF" w:val="clear"/>
            <w:vAlign w:val="center"/>
          </w:tcPr>
          <w:p>
            <w:pPr>
              <w:pStyle w:val="TableContents"/>
              <w:bidi w:val="0"/>
              <w:spacing w:before="0" w:after="283"/>
              <w:jc w:val="left"/>
              <w:rPr/>
            </w:pPr>
            <w:r>
              <w:rPr/>
              <w:t> </w:t>
            </w:r>
          </w:p>
        </w:tc>
      </w:tr>
      <w:tr>
        <w:trPr/>
        <w:tc>
          <w:tcPr>
            <w:tcW w:w="755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360" w:right="0" w:hanging="0"/>
              <w:jc w:val="left"/>
              <w:rPr/>
            </w:pPr>
            <w:r>
              <w:rPr/>
              <w:t> </w:t>
            </w:r>
          </w:p>
        </w:tc>
      </w:tr>
      <w:tr>
        <w:trPr/>
        <w:tc>
          <w:tcPr>
            <w:tcW w:w="7556" w:type="dxa"/>
            <w:tcBorders/>
            <w:shd w:fill="FFFFFF" w:val="clear"/>
            <w:vAlign w:val="center"/>
          </w:tcPr>
          <w:p>
            <w:pPr>
              <w:pStyle w:val="TableContents"/>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Accounts payable and accrued expenses</w:t>
            </w:r>
          </w:p>
        </w:tc>
        <w:tc>
          <w:tcPr>
            <w:tcW w:w="60" w:type="dxa"/>
            <w:tcBorders/>
            <w:shd w:fill="FFFFFF" w:val="clear"/>
            <w:vAlign w:val="center"/>
          </w:tcPr>
          <w:p>
            <w:pPr>
              <w:pStyle w:val="TableContents"/>
              <w:bidi w:val="0"/>
              <w:spacing w:before="0" w:after="283"/>
              <w:ind w:left="0" w:right="0" w:hanging="0"/>
              <w:jc w:val="left"/>
              <w:rPr/>
            </w:pPr>
            <w:r>
              <w:rPr/>
              <w:t> </w:t>
            </w:r>
          </w:p>
        </w:tc>
        <w:tc>
          <w:tcPr>
            <w:tcW w:w="16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34,403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43,886</w:t>
            </w:r>
          </w:p>
        </w:tc>
        <w:tc>
          <w:tcPr>
            <w:tcW w:w="83" w:type="dxa"/>
            <w:tcBorders/>
            <w:shd w:fill="FFFFFF" w:val="clear"/>
            <w:vAlign w:val="center"/>
          </w:tcPr>
          <w:p>
            <w:pPr>
              <w:pStyle w:val="TableContents"/>
              <w:bidi w:val="0"/>
              <w:spacing w:before="0" w:after="283"/>
              <w:jc w:val="left"/>
              <w:rPr/>
            </w:pPr>
            <w:r>
              <w:rPr/>
              <w:t> </w:t>
            </w:r>
          </w:p>
        </w:tc>
      </w:tr>
      <w:tr>
        <w:trPr/>
        <w:tc>
          <w:tcPr>
            <w:tcW w:w="7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 payable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2,213</w:t>
            </w:r>
          </w:p>
        </w:tc>
        <w:tc>
          <w:tcPr>
            <w:tcW w:w="83" w:type="dxa"/>
            <w:tcBorders/>
            <w:shd w:fill="CCEEFF" w:val="clear"/>
            <w:vAlign w:val="center"/>
          </w:tcPr>
          <w:p>
            <w:pPr>
              <w:pStyle w:val="TableContents"/>
              <w:bidi w:val="0"/>
              <w:spacing w:before="0" w:after="283"/>
              <w:ind w:left="360" w:right="0" w:hanging="0"/>
              <w:jc w:val="left"/>
              <w:rPr/>
            </w:pPr>
            <w:r>
              <w:rPr/>
              <w:t> </w:t>
            </w:r>
          </w:p>
        </w:tc>
      </w:tr>
      <w:tr>
        <w:trPr/>
        <w:tc>
          <w:tcPr>
            <w:tcW w:w="7556" w:type="dxa"/>
            <w:tcBorders/>
            <w:shd w:fill="FFFFFF" w:val="clear"/>
            <w:vAlign w:val="center"/>
          </w:tcPr>
          <w:p>
            <w:pPr>
              <w:pStyle w:val="TableContents"/>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Dividends payable</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9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10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w:t>
            </w:r>
          </w:p>
        </w:tc>
        <w:tc>
          <w:tcPr>
            <w:tcW w:w="83" w:type="dxa"/>
            <w:tcBorders/>
            <w:shd w:fill="FFFFFF" w:val="clear"/>
            <w:vAlign w:val="center"/>
          </w:tcPr>
          <w:p>
            <w:pPr>
              <w:pStyle w:val="TableContents"/>
              <w:bidi w:val="0"/>
              <w:spacing w:before="0" w:after="283"/>
              <w:ind w:left="360" w:right="0" w:hanging="0"/>
              <w:jc w:val="left"/>
              <w:rPr/>
            </w:pPr>
            <w:r>
              <w:rPr/>
              <w:t> </w:t>
            </w:r>
          </w:p>
        </w:tc>
      </w:tr>
      <w:tr>
        <w:trPr/>
        <w:tc>
          <w:tcPr>
            <w:tcW w:w="7556" w:type="dxa"/>
            <w:tcBorders/>
            <w:shd w:fill="CCEEFF" w:val="clear"/>
            <w:vAlign w:val="center"/>
          </w:tcPr>
          <w:p>
            <w:pPr>
              <w:pStyle w:val="TableContents"/>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Employee compensation and related expenses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9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10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5,989</w:t>
            </w:r>
          </w:p>
        </w:tc>
        <w:tc>
          <w:tcPr>
            <w:tcW w:w="83" w:type="dxa"/>
            <w:tcBorders/>
            <w:shd w:fill="CCEEFF" w:val="clear"/>
            <w:vAlign w:val="center"/>
          </w:tcPr>
          <w:p>
            <w:pPr>
              <w:pStyle w:val="TableContents"/>
              <w:bidi w:val="0"/>
              <w:spacing w:before="0" w:after="283"/>
              <w:ind w:left="360" w:right="0" w:hanging="0"/>
              <w:jc w:val="left"/>
              <w:rPr/>
            </w:pPr>
            <w:r>
              <w:rPr/>
              <w:t> </w:t>
            </w:r>
          </w:p>
        </w:tc>
      </w:tr>
      <w:tr>
        <w:trPr/>
        <w:tc>
          <w:tcPr>
            <w:tcW w:w="7556" w:type="dxa"/>
            <w:tcBorders/>
            <w:shd w:fill="FFFFFF" w:val="clear"/>
            <w:vAlign w:val="center"/>
          </w:tcPr>
          <w:p>
            <w:pPr>
              <w:pStyle w:val="TableContents"/>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Current portion of financing lease</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9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10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7556" w:type="dxa"/>
            <w:tcBorders/>
            <w:shd w:fill="CCEEFF" w:val="clear"/>
            <w:vAlign w:val="center"/>
          </w:tcPr>
          <w:p>
            <w:pPr>
              <w:pStyle w:val="TableContents"/>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Current portion of derivative liability</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944"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1063"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1,686</w:t>
            </w:r>
          </w:p>
        </w:tc>
        <w:tc>
          <w:tcPr>
            <w:tcW w:w="83" w:type="dxa"/>
            <w:tcBorders/>
            <w:shd w:fill="CCEEFF" w:val="clear"/>
            <w:vAlign w:val="center"/>
          </w:tcPr>
          <w:p>
            <w:pPr>
              <w:pStyle w:val="TableContents"/>
              <w:bidi w:val="0"/>
              <w:spacing w:before="0" w:after="283"/>
              <w:ind w:left="900" w:right="0" w:hanging="0"/>
              <w:jc w:val="left"/>
              <w:rPr/>
            </w:pPr>
            <w:r>
              <w:rPr/>
              <w:t> </w:t>
            </w:r>
          </w:p>
        </w:tc>
      </w:tr>
      <w:tr>
        <w:trPr/>
        <w:tc>
          <w:tcPr>
            <w:tcW w:w="7556" w:type="dxa"/>
            <w:tcBorders/>
            <w:shd w:fill="FFFFFF" w:val="clear"/>
            <w:vAlign w:val="center"/>
          </w:tcPr>
          <w:p>
            <w:pPr>
              <w:pStyle w:val="TableContents"/>
              <w:bidi w:val="0"/>
              <w:spacing w:before="0" w:after="0"/>
              <w:ind w:left="180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60" w:type="dxa"/>
            <w:tcBorders/>
            <w:shd w:fill="FFFFFF" w:val="clear"/>
            <w:vAlign w:val="center"/>
          </w:tcPr>
          <w:p>
            <w:pPr>
              <w:pStyle w:val="TableContents"/>
              <w:bidi w:val="0"/>
              <w:spacing w:before="0" w:after="283"/>
              <w:jc w:val="left"/>
              <w:rPr/>
            </w:pPr>
            <w:r>
              <w:rPr/>
              <w:t> </w:t>
            </w:r>
          </w:p>
        </w:tc>
        <w:tc>
          <w:tcPr>
            <w:tcW w:w="169" w:type="dxa"/>
            <w:tcBorders>
              <w:top w:val="single" w:sz="2" w:space="0" w:color="000000"/>
            </w:tcBorders>
            <w:shd w:fill="FFFFFF" w:val="clear"/>
            <w:tcMar>
              <w:top w:w="28" w:type="dxa"/>
            </w:tcMar>
            <w:vAlign w:val="center"/>
          </w:tcPr>
          <w:p>
            <w:pPr>
              <w:pStyle w:val="TableContents"/>
              <w:bidi w:val="0"/>
              <w:spacing w:before="0" w:after="283"/>
              <w:ind w:left="0" w:right="0" w:hanging="0"/>
              <w:jc w:val="left"/>
              <w:rPr/>
            </w:pPr>
            <w:r>
              <w:rPr/>
              <w:t> </w:t>
            </w:r>
          </w:p>
        </w:tc>
        <w:tc>
          <w:tcPr>
            <w:tcW w:w="944" w:type="dxa"/>
            <w:tcBorders>
              <w:top w:val="single" w:sz="2" w:space="0" w:color="000000"/>
            </w:tcBorders>
            <w:shd w:fill="FFFFFF" w:val="clear"/>
            <w:tcMar>
              <w:top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38,800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top w:val="single" w:sz="2" w:space="0" w:color="000000"/>
            </w:tcBorders>
            <w:shd w:fill="FFFFFF" w:val="clear"/>
            <w:tcMar>
              <w:top w:w="28" w:type="dxa"/>
            </w:tcMar>
            <w:vAlign w:val="center"/>
          </w:tcPr>
          <w:p>
            <w:pPr>
              <w:pStyle w:val="TableContents"/>
              <w:bidi w:val="0"/>
              <w:spacing w:before="0" w:after="283"/>
              <w:ind w:left="0" w:right="0" w:hanging="0"/>
              <w:jc w:val="left"/>
              <w:rPr/>
            </w:pPr>
            <w:r>
              <w:rPr/>
              <w:t> </w:t>
            </w:r>
          </w:p>
        </w:tc>
        <w:tc>
          <w:tcPr>
            <w:tcW w:w="1063" w:type="dxa"/>
            <w:tcBorders>
              <w:top w:val="single" w:sz="2" w:space="0" w:color="000000"/>
            </w:tcBorders>
            <w:shd w:fill="FFFFFF" w:val="clear"/>
            <w:tcMar>
              <w:top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54,107</w:t>
            </w:r>
          </w:p>
        </w:tc>
        <w:tc>
          <w:tcPr>
            <w:tcW w:w="83" w:type="dxa"/>
            <w:tcBorders/>
            <w:shd w:fill="FFFFFF" w:val="clear"/>
            <w:vAlign w:val="center"/>
          </w:tcPr>
          <w:p>
            <w:pPr>
              <w:pStyle w:val="TableContents"/>
              <w:bidi w:val="0"/>
              <w:spacing w:before="0" w:after="283"/>
              <w:jc w:val="left"/>
              <w:rPr/>
            </w:pPr>
            <w:r>
              <w:rPr/>
              <w:t> </w:t>
            </w:r>
          </w:p>
        </w:tc>
      </w:tr>
      <w:tr>
        <w:trPr/>
        <w:tc>
          <w:tcPr>
            <w:tcW w:w="7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POSTRETIREMENT BENEFITS OTHER THAN PENSIONS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9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10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w:t>
            </w:r>
          </w:p>
        </w:tc>
        <w:tc>
          <w:tcPr>
            <w:tcW w:w="83" w:type="dxa"/>
            <w:tcBorders/>
            <w:shd w:fill="CCEEFF" w:val="clear"/>
            <w:vAlign w:val="center"/>
          </w:tcPr>
          <w:p>
            <w:pPr>
              <w:pStyle w:val="TableContents"/>
              <w:bidi w:val="0"/>
              <w:spacing w:before="0" w:after="283"/>
              <w:jc w:val="left"/>
              <w:rPr/>
            </w:pPr>
            <w:r>
              <w:rPr/>
              <w:t> </w:t>
            </w:r>
          </w:p>
        </w:tc>
      </w:tr>
      <w:tr>
        <w:trPr/>
        <w:tc>
          <w:tcPr>
            <w:tcW w:w="75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 LIABILITY</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9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10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5,257</w:t>
            </w:r>
          </w:p>
        </w:tc>
        <w:tc>
          <w:tcPr>
            <w:tcW w:w="83" w:type="dxa"/>
            <w:tcBorders/>
            <w:shd w:fill="FFFFFF" w:val="clear"/>
            <w:vAlign w:val="center"/>
          </w:tcPr>
          <w:p>
            <w:pPr>
              <w:pStyle w:val="TableContents"/>
              <w:bidi w:val="0"/>
              <w:spacing w:before="0" w:after="283"/>
              <w:jc w:val="left"/>
              <w:rPr/>
            </w:pPr>
            <w:r>
              <w:rPr/>
              <w:t> </w:t>
            </w:r>
          </w:p>
        </w:tc>
      </w:tr>
      <w:tr>
        <w:trPr/>
        <w:tc>
          <w:tcPr>
            <w:tcW w:w="7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NON-CURRENT LEASE LIABILITIES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9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10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2,782</w:t>
            </w:r>
          </w:p>
        </w:tc>
        <w:tc>
          <w:tcPr>
            <w:tcW w:w="83" w:type="dxa"/>
            <w:tcBorders/>
            <w:shd w:fill="CCEEFF" w:val="clear"/>
            <w:vAlign w:val="center"/>
          </w:tcPr>
          <w:p>
            <w:pPr>
              <w:pStyle w:val="TableContents"/>
              <w:bidi w:val="0"/>
              <w:spacing w:before="0" w:after="283"/>
              <w:jc w:val="left"/>
              <w:rPr/>
            </w:pPr>
            <w:r>
              <w:rPr/>
              <w:t> </w:t>
            </w:r>
          </w:p>
        </w:tc>
      </w:tr>
      <w:tr>
        <w:trPr/>
        <w:tc>
          <w:tcPr>
            <w:tcW w:w="75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 BASED LENDING FACILITY</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9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46,087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10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40,293</w:t>
            </w:r>
          </w:p>
        </w:tc>
        <w:tc>
          <w:tcPr>
            <w:tcW w:w="83" w:type="dxa"/>
            <w:tcBorders/>
            <w:shd w:fill="FFFFFF" w:val="clear"/>
            <w:vAlign w:val="center"/>
          </w:tcPr>
          <w:p>
            <w:pPr>
              <w:pStyle w:val="TableContents"/>
              <w:bidi w:val="0"/>
              <w:spacing w:before="0" w:after="283"/>
              <w:ind w:left="900" w:right="0" w:hanging="0"/>
              <w:jc w:val="left"/>
              <w:rPr/>
            </w:pPr>
            <w:r>
              <w:rPr/>
              <w:t> </w:t>
            </w:r>
          </w:p>
        </w:tc>
      </w:tr>
      <w:tr>
        <w:trPr/>
        <w:tc>
          <w:tcPr>
            <w:tcW w:w="7556" w:type="dxa"/>
            <w:tcBorders/>
            <w:shd w:fill="CCEEFF" w:val="clear"/>
            <w:vAlign w:val="center"/>
          </w:tcPr>
          <w:p>
            <w:pPr>
              <w:pStyle w:val="TableContents"/>
              <w:bidi w:val="0"/>
              <w:spacing w:before="0" w:after="0"/>
              <w:ind w:left="1800" w:right="0" w:hanging="0"/>
              <w:jc w:val="left"/>
              <w:rPr>
                <w:rFonts w:ascii="Times New Roman;Times;serif" w:hAnsi="Times New Roman;Times;serif"/>
                <w:sz w:val="20"/>
              </w:rPr>
            </w:pPr>
            <w:r>
              <w:rPr>
                <w:rFonts w:ascii="Times New Roman;Times;serif" w:hAnsi="Times New Roman;Times;serif"/>
                <w:sz w:val="20"/>
              </w:rPr>
              <w:t>TOTAL LIABILITIES</w:t>
            </w:r>
          </w:p>
        </w:tc>
        <w:tc>
          <w:tcPr>
            <w:tcW w:w="60" w:type="dxa"/>
            <w:tcBorders/>
            <w:shd w:fill="CCEEFF" w:val="clear"/>
            <w:vAlign w:val="center"/>
          </w:tcPr>
          <w:p>
            <w:pPr>
              <w:pStyle w:val="TableContents"/>
              <w:bidi w:val="0"/>
              <w:spacing w:before="0" w:after="283"/>
              <w:jc w:val="left"/>
              <w:rPr/>
            </w:pPr>
            <w:r>
              <w:rPr/>
              <w:t> </w:t>
            </w:r>
          </w:p>
        </w:tc>
        <w:tc>
          <w:tcPr>
            <w:tcW w:w="169"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left"/>
              <w:rPr/>
            </w:pPr>
            <w:r>
              <w:rPr/>
              <w:t> </w:t>
            </w:r>
          </w:p>
        </w:tc>
        <w:tc>
          <w:tcPr>
            <w:tcW w:w="944"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93,103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left"/>
              <w:rPr/>
            </w:pPr>
            <w:r>
              <w:rPr/>
              <w:t> </w:t>
            </w:r>
          </w:p>
        </w:tc>
        <w:tc>
          <w:tcPr>
            <w:tcW w:w="1063"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102,544</w:t>
            </w:r>
          </w:p>
        </w:tc>
        <w:tc>
          <w:tcPr>
            <w:tcW w:w="83" w:type="dxa"/>
            <w:tcBorders/>
            <w:shd w:fill="CCEEFF" w:val="clear"/>
            <w:vAlign w:val="center"/>
          </w:tcPr>
          <w:p>
            <w:pPr>
              <w:pStyle w:val="TableContents"/>
              <w:bidi w:val="0"/>
              <w:spacing w:before="0" w:after="283"/>
              <w:jc w:val="left"/>
              <w:rPr/>
            </w:pPr>
            <w:r>
              <w:rPr/>
              <w:t> </w:t>
            </w:r>
          </w:p>
        </w:tc>
      </w:tr>
      <w:tr>
        <w:trPr/>
        <w:tc>
          <w:tcPr>
            <w:tcW w:w="75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360" w:right="0" w:hanging="0"/>
              <w:jc w:val="left"/>
              <w:rPr/>
            </w:pPr>
            <w:r>
              <w:rPr/>
              <w:t> </w:t>
            </w:r>
          </w:p>
        </w:tc>
      </w:tr>
      <w:tr>
        <w:trPr/>
        <w:tc>
          <w:tcPr>
            <w:tcW w:w="7556" w:type="dxa"/>
            <w:tcBorders/>
            <w:shd w:fill="FFFFFF" w:val="clear"/>
            <w:vAlign w:val="center"/>
          </w:tcPr>
          <w:p>
            <w:pPr>
              <w:pStyle w:val="TableContents"/>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Common stock, par value $1: Authorized shares — 10,000,000; Issued shares — 8,873,203 shares at June 30, and March 31, 2024</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9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10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8,873</w:t>
            </w:r>
          </w:p>
        </w:tc>
        <w:tc>
          <w:tcPr>
            <w:tcW w:w="83" w:type="dxa"/>
            <w:tcBorders/>
            <w:shd w:fill="FFFFFF" w:val="clear"/>
            <w:vAlign w:val="center"/>
          </w:tcPr>
          <w:p>
            <w:pPr>
              <w:pStyle w:val="TableContents"/>
              <w:bidi w:val="0"/>
              <w:spacing w:before="0" w:after="283"/>
              <w:ind w:left="360" w:right="0" w:hanging="0"/>
              <w:jc w:val="left"/>
              <w:rPr/>
            </w:pPr>
            <w:r>
              <w:rPr/>
              <w:t> </w:t>
            </w:r>
          </w:p>
        </w:tc>
      </w:tr>
      <w:tr>
        <w:trPr/>
        <w:tc>
          <w:tcPr>
            <w:tcW w:w="7556" w:type="dxa"/>
            <w:tcBorders/>
            <w:shd w:fill="CCEEFF" w:val="clear"/>
            <w:vAlign w:val="center"/>
          </w:tcPr>
          <w:p>
            <w:pPr>
              <w:pStyle w:val="TableContents"/>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9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35,294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10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35,247</w:t>
            </w:r>
          </w:p>
        </w:tc>
        <w:tc>
          <w:tcPr>
            <w:tcW w:w="83" w:type="dxa"/>
            <w:tcBorders/>
            <w:shd w:fill="CCEEFF" w:val="clear"/>
            <w:vAlign w:val="center"/>
          </w:tcPr>
          <w:p>
            <w:pPr>
              <w:pStyle w:val="TableContents"/>
              <w:bidi w:val="0"/>
              <w:spacing w:before="0" w:after="283"/>
              <w:ind w:left="360" w:right="0" w:hanging="0"/>
              <w:jc w:val="left"/>
              <w:rPr/>
            </w:pPr>
            <w:r>
              <w:rPr/>
              <w:t> </w:t>
            </w:r>
          </w:p>
        </w:tc>
      </w:tr>
      <w:tr>
        <w:trPr/>
        <w:tc>
          <w:tcPr>
            <w:tcW w:w="7556" w:type="dxa"/>
            <w:tcBorders/>
            <w:shd w:fill="FFFFFF" w:val="clear"/>
            <w:vAlign w:val="center"/>
          </w:tcPr>
          <w:p>
            <w:pPr>
              <w:pStyle w:val="TableContents"/>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Treasury stock at cost (1,903,508 shares and 1,896,892 shares at June 30, and March 31, 2024, respectively)</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9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(13,052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10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(12,929</w:t>
            </w:r>
          </w:p>
        </w:tc>
        <w:tc>
          <w:tcPr>
            <w:tcW w:w="83" w:type="dxa"/>
            <w:tcBorders/>
            <w:shd w:fill="FFFFFF" w:val="clear"/>
            <w:vAlign w:val="center"/>
          </w:tcPr>
          <w:p>
            <w:pPr>
              <w:pStyle w:val="TableContents"/>
              <w:bidi w:val="0"/>
              <w:spacing w:before="0" w:after="283"/>
              <w:ind w:left="360" w:right="0" w:hanging="0"/>
              <w:jc w:val="left"/>
              <w:rPr>
                <w:rFonts w:ascii="Times New Roman;Times;serif" w:hAnsi="Times New Roman;Times;serif"/>
                <w:sz w:val="20"/>
              </w:rPr>
            </w:pPr>
            <w:r>
              <w:rPr>
                <w:rFonts w:ascii="Times New Roman;Times;serif" w:hAnsi="Times New Roman;Times;serif"/>
                <w:sz w:val="20"/>
              </w:rPr>
              <w:t>)</w:t>
            </w:r>
          </w:p>
        </w:tc>
      </w:tr>
      <w:tr>
        <w:trPr/>
        <w:tc>
          <w:tcPr>
            <w:tcW w:w="7556" w:type="dxa"/>
            <w:tcBorders/>
            <w:shd w:fill="CCEEFF" w:val="clear"/>
            <w:vAlign w:val="center"/>
          </w:tcPr>
          <w:p>
            <w:pPr>
              <w:pStyle w:val="TableContents"/>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Retained earnings</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98,572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96,284</w:t>
            </w:r>
          </w:p>
        </w:tc>
        <w:tc>
          <w:tcPr>
            <w:tcW w:w="83" w:type="dxa"/>
            <w:tcBorders/>
            <w:shd w:fill="CCEEFF" w:val="clear"/>
            <w:vAlign w:val="center"/>
          </w:tcPr>
          <w:p>
            <w:pPr>
              <w:pStyle w:val="TableContents"/>
              <w:bidi w:val="0"/>
              <w:spacing w:before="0" w:after="283"/>
              <w:ind w:left="900" w:right="0" w:hanging="0"/>
              <w:jc w:val="left"/>
              <w:rPr/>
            </w:pPr>
            <w:r>
              <w:rPr/>
              <w:t> </w:t>
            </w:r>
          </w:p>
        </w:tc>
      </w:tr>
      <w:tr>
        <w:trPr/>
        <w:tc>
          <w:tcPr>
            <w:tcW w:w="7556" w:type="dxa"/>
            <w:tcBorders/>
            <w:shd w:fill="FFFFFF" w:val="clear"/>
            <w:vAlign w:val="center"/>
          </w:tcPr>
          <w:p>
            <w:pPr>
              <w:pStyle w:val="TableContents"/>
              <w:bidi w:val="0"/>
              <w:spacing w:before="0" w:after="0"/>
              <w:ind w:left="180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129,687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127,475</w:t>
            </w:r>
          </w:p>
        </w:tc>
        <w:tc>
          <w:tcPr>
            <w:tcW w:w="83" w:type="dxa"/>
            <w:tcBorders/>
            <w:shd w:fill="FFFFFF" w:val="clear"/>
            <w:vAlign w:val="center"/>
          </w:tcPr>
          <w:p>
            <w:pPr>
              <w:pStyle w:val="TableContents"/>
              <w:bidi w:val="0"/>
              <w:spacing w:before="0" w:after="283"/>
              <w:ind w:left="900" w:right="0" w:hanging="0"/>
              <w:jc w:val="left"/>
              <w:rPr/>
            </w:pPr>
            <w:r>
              <w:rPr/>
              <w:t> </w:t>
            </w:r>
          </w:p>
        </w:tc>
      </w:tr>
      <w:tr>
        <w:trPr/>
        <w:tc>
          <w:tcPr>
            <w:tcW w:w="7556" w:type="dxa"/>
            <w:tcBorders/>
            <w:shd w:fill="CCEEFF" w:val="clear"/>
            <w:vAlign w:val="center"/>
          </w:tcPr>
          <w:p>
            <w:pPr>
              <w:pStyle w:val="TableContents"/>
              <w:bidi w:val="0"/>
              <w:spacing w:before="0" w:after="0"/>
              <w:ind w:left="180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60" w:type="dxa"/>
            <w:tcBorders/>
            <w:shd w:fill="CCEEFF" w:val="clear"/>
            <w:vAlign w:val="center"/>
          </w:tcPr>
          <w:p>
            <w:pPr>
              <w:pStyle w:val="TableContents"/>
              <w:bidi w:val="0"/>
              <w:spacing w:before="0" w:after="283"/>
              <w:ind w:left="0" w:right="0" w:hanging="0"/>
              <w:jc w:val="left"/>
              <w:rPr/>
            </w:pPr>
            <w:r>
              <w:rPr/>
              <w:t> </w:t>
            </w:r>
          </w:p>
        </w:tc>
        <w:tc>
          <w:tcPr>
            <w:tcW w:w="16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222,790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230,019</w:t>
            </w:r>
          </w:p>
        </w:tc>
        <w:tc>
          <w:tcPr>
            <w:tcW w:w="8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accompanying notes are an integral part of these financial statements.</w:t>
      </w:r>
    </w:p>
    <w:p>
      <w:pPr>
        <w:pStyle w:val="TextBody"/>
        <w:bidi w:val="0"/>
        <w:spacing w:before="0" w:after="0"/>
        <w:ind w:left="0" w:right="0" w:firstLine="36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FRIEDMAN INDUSTRIES, INCORPORATED</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CONDENSED CONSOLIDATED STATEMENTS OF OPERATIONS</w:t>
      </w:r>
      <w:r>
        <w:rPr>
          <w:rFonts w:ascii="Times New Roman;Times;serif" w:hAnsi="Times New Roman;Times;serif"/>
          <w:sz w:val="20"/>
        </w:rPr>
        <w:t xml:space="preserve"> — </w:t>
      </w:r>
      <w:r>
        <w:rPr>
          <w:rFonts w:ascii="Times New Roman;Times;serif" w:hAnsi="Times New Roman;Times;serif"/>
          <w:b/>
          <w:sz w:val="20"/>
        </w:rPr>
        <w:t xml:space="preserve">UNAUDITED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0"/>
        <w:ind w:left="0" w:right="0" w:hanging="0"/>
        <w:jc w:val="center"/>
        <w:rPr/>
      </w:pPr>
      <w:r>
        <w:rPr/>
        <w:t> </w:t>
      </w:r>
    </w:p>
    <w:tbl>
      <w:tblPr>
        <w:tblW w:w="5953" w:type="dxa"/>
        <w:jc w:val="left"/>
        <w:tblInd w:w="0" w:type="dxa"/>
        <w:tblLayout w:type="fixed"/>
        <w:tblCellMar>
          <w:top w:w="0" w:type="dxa"/>
          <w:left w:w="0" w:type="dxa"/>
          <w:bottom w:w="0" w:type="dxa"/>
          <w:right w:w="0" w:type="dxa"/>
        </w:tblCellMar>
      </w:tblPr>
      <w:tblGrid>
        <w:gridCol w:w="3530"/>
        <w:gridCol w:w="60"/>
        <w:gridCol w:w="160"/>
        <w:gridCol w:w="892"/>
        <w:gridCol w:w="102"/>
        <w:gridCol w:w="77"/>
        <w:gridCol w:w="160"/>
        <w:gridCol w:w="892"/>
        <w:gridCol w:w="80"/>
      </w:tblGrid>
      <w:tr>
        <w:trPr/>
        <w:tc>
          <w:tcPr>
            <w:tcW w:w="3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83"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8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80" w:type="dxa"/>
            <w:tcBorders/>
            <w:shd w:fill="FFFF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10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105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114,551</w:t>
            </w:r>
          </w:p>
        </w:tc>
        <w:tc>
          <w:tcPr>
            <w:tcW w:w="10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137,298</w:t>
            </w:r>
          </w:p>
        </w:tc>
        <w:tc>
          <w:tcPr>
            <w:tcW w:w="80"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Costs and expenses: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materials sold</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8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96,414</w:t>
            </w:r>
          </w:p>
        </w:tc>
        <w:tc>
          <w:tcPr>
            <w:tcW w:w="10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8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108,203</w:t>
            </w:r>
          </w:p>
        </w:tc>
        <w:tc>
          <w:tcPr>
            <w:tcW w:w="80"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Processing and warehousing expense</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8,178</w:t>
            </w:r>
          </w:p>
        </w:tc>
        <w:tc>
          <w:tcPr>
            <w:tcW w:w="10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6,606</w:t>
            </w:r>
          </w:p>
        </w:tc>
        <w:tc>
          <w:tcPr>
            <w:tcW w:w="80"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Delivery expense</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6,051</w:t>
            </w:r>
          </w:p>
        </w:tc>
        <w:tc>
          <w:tcPr>
            <w:tcW w:w="10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5,446</w:t>
            </w:r>
          </w:p>
        </w:tc>
        <w:tc>
          <w:tcPr>
            <w:tcW w:w="80"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8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4,511</w:t>
            </w:r>
          </w:p>
        </w:tc>
        <w:tc>
          <w:tcPr>
            <w:tcW w:w="10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8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5,937</w:t>
            </w:r>
          </w:p>
        </w:tc>
        <w:tc>
          <w:tcPr>
            <w:tcW w:w="80"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Depreciation and amortization</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2"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795</w:t>
            </w:r>
          </w:p>
        </w:tc>
        <w:tc>
          <w:tcPr>
            <w:tcW w:w="10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2"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749</w:t>
            </w:r>
          </w:p>
        </w:tc>
        <w:tc>
          <w:tcPr>
            <w:tcW w:w="80"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115,949</w:t>
            </w:r>
          </w:p>
        </w:tc>
        <w:tc>
          <w:tcPr>
            <w:tcW w:w="10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126,941</w:t>
            </w:r>
          </w:p>
        </w:tc>
        <w:tc>
          <w:tcPr>
            <w:tcW w:w="80"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(LOSS) FROM OPERATIONS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8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(1,398</w:t>
            </w:r>
          </w:p>
        </w:tc>
        <w:tc>
          <w:tcPr>
            <w:tcW w:w="10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8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10,357</w:t>
            </w:r>
          </w:p>
        </w:tc>
        <w:tc>
          <w:tcPr>
            <w:tcW w:w="80"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economic hedges of risk</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8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5,375</w:t>
            </w:r>
          </w:p>
        </w:tc>
        <w:tc>
          <w:tcPr>
            <w:tcW w:w="10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8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w:t>
            </w:r>
          </w:p>
        </w:tc>
        <w:tc>
          <w:tcPr>
            <w:tcW w:w="80"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8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(681</w:t>
            </w:r>
          </w:p>
        </w:tc>
        <w:tc>
          <w:tcPr>
            <w:tcW w:w="10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8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3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10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80"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BEFORE INCOME TAXES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8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3,299</w:t>
            </w:r>
          </w:p>
        </w:tc>
        <w:tc>
          <w:tcPr>
            <w:tcW w:w="10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8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10,253</w:t>
            </w:r>
          </w:p>
        </w:tc>
        <w:tc>
          <w:tcPr>
            <w:tcW w:w="80"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(benefit from) income taxes: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8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742</w:t>
            </w:r>
          </w:p>
        </w:tc>
        <w:tc>
          <w:tcPr>
            <w:tcW w:w="10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8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2,580</w:t>
            </w:r>
          </w:p>
        </w:tc>
        <w:tc>
          <w:tcPr>
            <w:tcW w:w="80"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0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732</w:t>
            </w:r>
          </w:p>
        </w:tc>
        <w:tc>
          <w:tcPr>
            <w:tcW w:w="10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2,563</w:t>
            </w:r>
          </w:p>
        </w:tc>
        <w:tc>
          <w:tcPr>
            <w:tcW w:w="80"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w:t>
            </w:r>
          </w:p>
        </w:tc>
        <w:tc>
          <w:tcPr>
            <w:tcW w:w="60" w:type="dxa"/>
            <w:tcBorders/>
            <w:shd w:fill="FFFF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2,567</w:t>
            </w:r>
          </w:p>
        </w:tc>
        <w:tc>
          <w:tcPr>
            <w:tcW w:w="10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7,690</w:t>
            </w:r>
          </w:p>
        </w:tc>
        <w:tc>
          <w:tcPr>
            <w:tcW w:w="80"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 per share:</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FFFFFF" w:val="clear"/>
            <w:vAlign w:val="center"/>
          </w:tcPr>
          <w:p>
            <w:pPr>
              <w:pStyle w:val="TableContents"/>
              <w:bidi w:val="0"/>
              <w:spacing w:before="0" w:after="283"/>
              <w:ind w:left="0" w:right="0" w:hanging="0"/>
              <w:jc w:val="left"/>
              <w:rPr/>
            </w:pPr>
            <w:r>
              <w:rPr/>
              <w:t> </w:t>
            </w:r>
          </w:p>
        </w:tc>
        <w:tc>
          <w:tcPr>
            <w:tcW w:w="16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0.37</w:t>
            </w:r>
          </w:p>
        </w:tc>
        <w:tc>
          <w:tcPr>
            <w:tcW w:w="10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16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w:t>
            </w:r>
          </w:p>
        </w:tc>
        <w:tc>
          <w:tcPr>
            <w:tcW w:w="80"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0.37</w:t>
            </w:r>
          </w:p>
        </w:tc>
        <w:tc>
          <w:tcPr>
            <w:tcW w:w="10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w:t>
            </w:r>
          </w:p>
        </w:tc>
        <w:tc>
          <w:tcPr>
            <w:tcW w:w="80"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dividends declared per common share</w:t>
            </w:r>
          </w:p>
        </w:tc>
        <w:tc>
          <w:tcPr>
            <w:tcW w:w="60" w:type="dxa"/>
            <w:tcBorders/>
            <w:shd w:fill="FFFFFF" w:val="clear"/>
            <w:vAlign w:val="center"/>
          </w:tcPr>
          <w:p>
            <w:pPr>
              <w:pStyle w:val="TableContents"/>
              <w:bidi w:val="0"/>
              <w:spacing w:before="0" w:after="283"/>
              <w:ind w:left="0" w:right="0" w:hanging="0"/>
              <w:jc w:val="left"/>
              <w:rPr/>
            </w:pPr>
            <w:r>
              <w:rPr/>
              <w:t> </w:t>
            </w:r>
          </w:p>
        </w:tc>
        <w:tc>
          <w:tcPr>
            <w:tcW w:w="16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0.04</w:t>
            </w:r>
          </w:p>
        </w:tc>
        <w:tc>
          <w:tcPr>
            <w:tcW w:w="10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16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0.02</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CONDENSED CONSOLIDATED STATEMENTS OF COMPREHENSIVE INCOME — UNAUDITED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pPr>
      <w:r>
        <w:rPr/>
        <w:t> </w:t>
      </w:r>
    </w:p>
    <w:tbl>
      <w:tblPr>
        <w:tblW w:w="4854" w:type="dxa"/>
        <w:jc w:val="left"/>
        <w:tblInd w:w="0" w:type="dxa"/>
        <w:tblLayout w:type="fixed"/>
        <w:tblCellMar>
          <w:top w:w="0" w:type="dxa"/>
          <w:left w:w="0" w:type="dxa"/>
          <w:bottom w:w="0" w:type="dxa"/>
          <w:right w:w="0" w:type="dxa"/>
        </w:tblCellMar>
      </w:tblPr>
      <w:tblGrid>
        <w:gridCol w:w="2450"/>
        <w:gridCol w:w="60"/>
        <w:gridCol w:w="213"/>
        <w:gridCol w:w="827"/>
        <w:gridCol w:w="102"/>
        <w:gridCol w:w="102"/>
        <w:gridCol w:w="213"/>
        <w:gridCol w:w="827"/>
        <w:gridCol w:w="60"/>
      </w:tblGrid>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84"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8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w:t>
            </w:r>
          </w:p>
        </w:tc>
        <w:tc>
          <w:tcPr>
            <w:tcW w:w="60" w:type="dxa"/>
            <w:tcBorders/>
            <w:shd w:fill="CCEEFF" w:val="clear"/>
            <w:vAlign w:val="center"/>
          </w:tcPr>
          <w:p>
            <w:pPr>
              <w:pStyle w:val="TableContents"/>
              <w:bidi w:val="0"/>
              <w:spacing w:before="0" w:after="283"/>
              <w:ind w:left="0" w:right="0" w:hanging="0"/>
              <w:jc w:val="left"/>
              <w:rPr/>
            </w:pPr>
            <w:r>
              <w:rPr/>
              <w:t> </w:t>
            </w:r>
          </w:p>
        </w:tc>
        <w:tc>
          <w:tcPr>
            <w:tcW w:w="21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2,567</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21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7,690</w:t>
            </w:r>
          </w:p>
        </w:tc>
        <w:tc>
          <w:tcPr>
            <w:tcW w:w="60"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 hedges, net of tax</w:t>
            </w:r>
          </w:p>
        </w:tc>
        <w:tc>
          <w:tcPr>
            <w:tcW w:w="60" w:type="dxa"/>
            <w:tcBorders/>
            <w:shd w:fill="CCEEFF" w:val="clear"/>
            <w:vAlign w:val="center"/>
          </w:tcPr>
          <w:p>
            <w:pPr>
              <w:pStyle w:val="TableContents"/>
              <w:bidi w:val="0"/>
              <w:spacing w:before="0" w:after="283"/>
              <w:jc w:val="left"/>
              <w:rPr/>
            </w:pPr>
            <w:r>
              <w:rPr/>
              <w:t> </w:t>
            </w:r>
          </w:p>
        </w:tc>
        <w:tc>
          <w:tcPr>
            <w:tcW w:w="21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1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317</w:t>
            </w:r>
          </w:p>
        </w:tc>
        <w:tc>
          <w:tcPr>
            <w:tcW w:w="60"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317</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Comprehensive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21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2,567</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21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8,007</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accompanying notes are an integral part of these financial statements.</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FRIEDMAN INDUSTRIES, INCORPORATED</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CONDENSED CONSOLIDATED STATEMENTS OF CASH FLOWS — UNAUDITED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962"/>
        <w:gridCol w:w="60"/>
        <w:gridCol w:w="203"/>
        <w:gridCol w:w="1233"/>
        <w:gridCol w:w="130"/>
        <w:gridCol w:w="97"/>
        <w:gridCol w:w="203"/>
        <w:gridCol w:w="1233"/>
        <w:gridCol w:w="84"/>
      </w:tblGrid>
      <w:tr>
        <w:trPr/>
        <w:tc>
          <w:tcPr>
            <w:tcW w:w="696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99"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THREE MONTHS ENDED JUNE 30,</w:t>
            </w:r>
          </w:p>
        </w:tc>
        <w:tc>
          <w:tcPr>
            <w:tcW w:w="84" w:type="dxa"/>
            <w:tcBorders/>
            <w:shd w:fill="FFFFFF" w:val="clear"/>
            <w:vAlign w:val="center"/>
          </w:tcPr>
          <w:p>
            <w:pPr>
              <w:pStyle w:val="TableContents"/>
              <w:bidi w:val="0"/>
              <w:spacing w:before="0" w:after="283"/>
              <w:jc w:val="left"/>
              <w:rPr/>
            </w:pPr>
            <w:r>
              <w:rPr/>
              <w:t> </w:t>
            </w:r>
          </w:p>
        </w:tc>
      </w:tr>
      <w:tr>
        <w:trPr/>
        <w:tc>
          <w:tcPr>
            <w:tcW w:w="696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3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2024</w:t>
            </w:r>
          </w:p>
        </w:tc>
        <w:tc>
          <w:tcPr>
            <w:tcW w:w="13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143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2023</w:t>
            </w:r>
          </w:p>
        </w:tc>
        <w:tc>
          <w:tcPr>
            <w:tcW w:w="84" w:type="dxa"/>
            <w:tcBorders/>
            <w:shd w:fill="FFFFFF" w:val="clear"/>
            <w:vAlign w:val="center"/>
          </w:tcPr>
          <w:p>
            <w:pPr>
              <w:pStyle w:val="TableContents"/>
              <w:bidi w:val="0"/>
              <w:spacing w:before="0" w:after="283"/>
              <w:jc w:val="left"/>
              <w:rPr/>
            </w:pPr>
            <w:r>
              <w:rPr/>
              <w:t> </w:t>
            </w:r>
          </w:p>
        </w:tc>
      </w:tr>
      <w:tr>
        <w:trPr/>
        <w:tc>
          <w:tcPr>
            <w:tcW w:w="69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ACTIVITIES</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r>
      <w:tr>
        <w:trPr/>
        <w:tc>
          <w:tcPr>
            <w:tcW w:w="6962" w:type="dxa"/>
            <w:tcBorders/>
            <w:shd w:fill="FFFFFF" w:val="clear"/>
            <w:vAlign w:val="center"/>
          </w:tcPr>
          <w:p>
            <w:pPr>
              <w:pStyle w:val="TableContents"/>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Net earnings</w:t>
            </w:r>
          </w:p>
        </w:tc>
        <w:tc>
          <w:tcPr>
            <w:tcW w:w="60" w:type="dxa"/>
            <w:tcBorders/>
            <w:shd w:fill="FFFFFF" w:val="clear"/>
            <w:vAlign w:val="center"/>
          </w:tcPr>
          <w:p>
            <w:pPr>
              <w:pStyle w:val="TableContents"/>
              <w:bidi w:val="0"/>
              <w:spacing w:before="0" w:after="283"/>
              <w:ind w:left="0" w:right="0" w:hanging="0"/>
              <w:jc w:val="left"/>
              <w:rPr/>
            </w:pPr>
            <w:r>
              <w:rPr/>
              <w:t> </w:t>
            </w:r>
          </w:p>
        </w:tc>
        <w:tc>
          <w:tcPr>
            <w:tcW w:w="20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2,567</w:t>
            </w:r>
          </w:p>
        </w:tc>
        <w:tc>
          <w:tcPr>
            <w:tcW w:w="13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20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7,690</w:t>
            </w:r>
          </w:p>
        </w:tc>
        <w:tc>
          <w:tcPr>
            <w:tcW w:w="84" w:type="dxa"/>
            <w:tcBorders/>
            <w:shd w:fill="FFFFFF" w:val="clear"/>
            <w:vAlign w:val="center"/>
          </w:tcPr>
          <w:p>
            <w:pPr>
              <w:pStyle w:val="TableContents"/>
              <w:bidi w:val="0"/>
              <w:spacing w:before="0" w:after="283"/>
              <w:jc w:val="left"/>
              <w:rPr/>
            </w:pPr>
            <w:r>
              <w:rPr/>
              <w:t> </w:t>
            </w:r>
          </w:p>
        </w:tc>
      </w:tr>
      <w:tr>
        <w:trPr/>
        <w:tc>
          <w:tcPr>
            <w:tcW w:w="6962" w:type="dxa"/>
            <w:tcBorders/>
            <w:shd w:fill="CCEEFF" w:val="clear"/>
            <w:vAlign w:val="center"/>
          </w:tcPr>
          <w:p>
            <w:pPr>
              <w:pStyle w:val="TableContents"/>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Adjustments to reconcile net earnings to cash used in operating activities:</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r>
      <w:tr>
        <w:trPr/>
        <w:tc>
          <w:tcPr>
            <w:tcW w:w="6962" w:type="dxa"/>
            <w:tcBorders/>
            <w:shd w:fill="FFFFFF" w:val="clear"/>
            <w:vAlign w:val="center"/>
          </w:tcPr>
          <w:p>
            <w:pPr>
              <w:pStyle w:val="TableContents"/>
              <w:bidi w:val="0"/>
              <w:spacing w:before="0" w:after="0"/>
              <w:ind w:left="108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12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795</w:t>
            </w:r>
          </w:p>
        </w:tc>
        <w:tc>
          <w:tcPr>
            <w:tcW w:w="13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12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771</w:t>
            </w:r>
          </w:p>
        </w:tc>
        <w:tc>
          <w:tcPr>
            <w:tcW w:w="84" w:type="dxa"/>
            <w:tcBorders/>
            <w:shd w:fill="FFFFFF" w:val="clear"/>
            <w:vAlign w:val="center"/>
          </w:tcPr>
          <w:p>
            <w:pPr>
              <w:pStyle w:val="TableContents"/>
              <w:bidi w:val="0"/>
              <w:spacing w:before="0" w:after="283"/>
              <w:jc w:val="left"/>
              <w:rPr/>
            </w:pPr>
            <w:r>
              <w:rPr/>
              <w:t> </w:t>
            </w:r>
          </w:p>
        </w:tc>
      </w:tr>
      <w:tr>
        <w:trPr/>
        <w:tc>
          <w:tcPr>
            <w:tcW w:w="6962" w:type="dxa"/>
            <w:tcBorders/>
            <w:shd w:fill="CCEEFF" w:val="clear"/>
            <w:vAlign w:val="center"/>
          </w:tcPr>
          <w:p>
            <w:pPr>
              <w:pStyle w:val="TableContents"/>
              <w:bidi w:val="0"/>
              <w:spacing w:before="0" w:after="0"/>
              <w:ind w:left="1080" w:right="0" w:hanging="0"/>
              <w:jc w:val="left"/>
              <w:rPr>
                <w:rFonts w:ascii="Times New Roman;Times;serif" w:hAnsi="Times New Roman;Times;serif"/>
                <w:sz w:val="20"/>
              </w:rPr>
            </w:pPr>
            <w:r>
              <w:rPr>
                <w:rFonts w:ascii="Times New Roman;Times;serif" w:hAnsi="Times New Roman;Times;serif"/>
                <w:sz w:val="20"/>
              </w:rPr>
              <w:t>Deferred taxes</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12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12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8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962" w:type="dxa"/>
            <w:tcBorders/>
            <w:shd w:fill="FFFFFF" w:val="clear"/>
            <w:vAlign w:val="center"/>
          </w:tcPr>
          <w:p>
            <w:pPr>
              <w:pStyle w:val="TableContents"/>
              <w:bidi w:val="0"/>
              <w:spacing w:before="0" w:after="0"/>
              <w:ind w:left="1080" w:right="0" w:hanging="0"/>
              <w:jc w:val="left"/>
              <w:rPr>
                <w:rFonts w:ascii="Times New Roman;Times;serif" w:hAnsi="Times New Roman;Times;serif"/>
                <w:sz w:val="20"/>
              </w:rPr>
            </w:pPr>
            <w:r>
              <w:rPr>
                <w:rFonts w:ascii="Times New Roman;Times;serif" w:hAnsi="Times New Roman;Times;serif"/>
                <w:sz w:val="20"/>
              </w:rPr>
              <w:t>Compensation expense for restricted stock</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12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p>
        </w:tc>
        <w:tc>
          <w:tcPr>
            <w:tcW w:w="13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12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w:t>
            </w:r>
          </w:p>
        </w:tc>
        <w:tc>
          <w:tcPr>
            <w:tcW w:w="84" w:type="dxa"/>
            <w:tcBorders/>
            <w:shd w:fill="FFFFFF" w:val="clear"/>
            <w:vAlign w:val="center"/>
          </w:tcPr>
          <w:p>
            <w:pPr>
              <w:pStyle w:val="TableContents"/>
              <w:bidi w:val="0"/>
              <w:spacing w:before="0" w:after="283"/>
              <w:jc w:val="left"/>
              <w:rPr/>
            </w:pPr>
            <w:r>
              <w:rPr/>
              <w:t> </w:t>
            </w:r>
          </w:p>
        </w:tc>
      </w:tr>
      <w:tr>
        <w:trPr/>
        <w:tc>
          <w:tcPr>
            <w:tcW w:w="6962" w:type="dxa"/>
            <w:tcBorders/>
            <w:shd w:fill="CCEEFF" w:val="clear"/>
            <w:vAlign w:val="center"/>
          </w:tcPr>
          <w:p>
            <w:pPr>
              <w:pStyle w:val="TableContents"/>
              <w:bidi w:val="0"/>
              <w:spacing w:before="0" w:after="0"/>
              <w:ind w:left="1080" w:right="0" w:hanging="0"/>
              <w:jc w:val="left"/>
              <w:rPr>
                <w:rFonts w:ascii="Times New Roman;Times;serif" w:hAnsi="Times New Roman;Times;serif"/>
                <w:sz w:val="20"/>
              </w:rPr>
            </w:pPr>
            <w:r>
              <w:rPr>
                <w:rFonts w:ascii="Times New Roman;Times;serif" w:hAnsi="Times New Roman;Times;serif"/>
                <w:sz w:val="20"/>
              </w:rPr>
              <w:t>Change in postretirement benefits</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12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13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12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4" w:type="dxa"/>
            <w:tcBorders/>
            <w:shd w:fill="CCEEFF" w:val="clear"/>
            <w:vAlign w:val="center"/>
          </w:tcPr>
          <w:p>
            <w:pPr>
              <w:pStyle w:val="TableContents"/>
              <w:bidi w:val="0"/>
              <w:spacing w:before="0" w:after="283"/>
              <w:jc w:val="left"/>
              <w:rPr/>
            </w:pPr>
            <w:r>
              <w:rPr/>
              <w:t> </w:t>
            </w:r>
          </w:p>
        </w:tc>
      </w:tr>
      <w:tr>
        <w:trPr/>
        <w:tc>
          <w:tcPr>
            <w:tcW w:w="6962" w:type="dxa"/>
            <w:tcBorders/>
            <w:shd w:fill="FFFFFF" w:val="clear"/>
            <w:vAlign w:val="center"/>
          </w:tcPr>
          <w:p>
            <w:pPr>
              <w:pStyle w:val="TableContents"/>
              <w:bidi w:val="0"/>
              <w:spacing w:before="0" w:after="0"/>
              <w:ind w:left="0" w:right="0" w:firstLine="1080"/>
              <w:jc w:val="left"/>
              <w:rPr>
                <w:rFonts w:ascii="Times New Roman;Times;serif" w:hAnsi="Times New Roman;Times;serif"/>
                <w:sz w:val="20"/>
              </w:rPr>
            </w:pPr>
            <w:r>
              <w:rPr>
                <w:rFonts w:ascii="Times New Roman;Times;serif" w:hAnsi="Times New Roman;Times;serif"/>
                <w:sz w:val="20"/>
              </w:rPr>
              <w:t>Gain recognized on open derivatives not designated for hedge accounting</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(1,608</w:t>
            </w:r>
          </w:p>
        </w:tc>
        <w:tc>
          <w:tcPr>
            <w:tcW w:w="1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(956</w:t>
            </w:r>
          </w:p>
        </w:tc>
        <w:tc>
          <w:tcPr>
            <w:tcW w:w="8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9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realized gain on derivatives</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w:t>
            </w:r>
          </w:p>
        </w:tc>
        <w:tc>
          <w:tcPr>
            <w:tcW w:w="13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418</w:t>
            </w:r>
          </w:p>
        </w:tc>
        <w:tc>
          <w:tcPr>
            <w:tcW w:w="84" w:type="dxa"/>
            <w:tcBorders/>
            <w:shd w:fill="CCEEFF" w:val="clear"/>
            <w:vAlign w:val="center"/>
          </w:tcPr>
          <w:p>
            <w:pPr>
              <w:pStyle w:val="TableContents"/>
              <w:bidi w:val="0"/>
              <w:spacing w:before="0" w:after="283"/>
              <w:jc w:val="left"/>
              <w:rPr/>
            </w:pPr>
            <w:r>
              <w:rPr/>
              <w:t> </w:t>
            </w:r>
          </w:p>
        </w:tc>
      </w:tr>
      <w:tr>
        <w:trPr/>
        <w:tc>
          <w:tcPr>
            <w:tcW w:w="6962" w:type="dxa"/>
            <w:tcBorders/>
            <w:shd w:fill="FFFFFF" w:val="clear"/>
            <w:vAlign w:val="center"/>
          </w:tcPr>
          <w:p>
            <w:pPr>
              <w:pStyle w:val="TableContents"/>
              <w:bidi w:val="0"/>
              <w:spacing w:before="0" w:after="0"/>
              <w:ind w:left="0" w:right="0" w:firstLine="1080"/>
              <w:jc w:val="left"/>
              <w:rPr>
                <w:rFonts w:ascii="Times New Roman;Times;serif" w:hAnsi="Times New Roman;Times;serif"/>
                <w:sz w:val="20"/>
              </w:rPr>
            </w:pPr>
            <w:r>
              <w:rPr>
                <w:rFonts w:ascii="Times New Roman;Times;serif" w:hAnsi="Times New Roman;Times;serif"/>
                <w:sz w:val="20"/>
              </w:rPr>
              <w:t>Right-of-use asset</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c>
          <w:tcPr>
            <w:tcW w:w="1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pPr>
            <w:r>
              <w:rPr/>
              <w:t>—</w:t>
            </w:r>
          </w:p>
        </w:tc>
        <w:tc>
          <w:tcPr>
            <w:tcW w:w="84" w:type="dxa"/>
            <w:tcBorders/>
            <w:shd w:fill="FFFFFF" w:val="clear"/>
            <w:vAlign w:val="center"/>
          </w:tcPr>
          <w:p>
            <w:pPr>
              <w:pStyle w:val="TableContents"/>
              <w:bidi w:val="0"/>
              <w:spacing w:before="0" w:after="283"/>
              <w:jc w:val="left"/>
              <w:rPr/>
            </w:pPr>
            <w:r>
              <w:rPr/>
              <w:t> </w:t>
            </w:r>
          </w:p>
        </w:tc>
      </w:tr>
      <w:tr>
        <w:trPr/>
        <w:tc>
          <w:tcPr>
            <w:tcW w:w="6962" w:type="dxa"/>
            <w:tcBorders/>
            <w:shd w:fill="CCEEFF" w:val="clear"/>
            <w:vAlign w:val="center"/>
          </w:tcPr>
          <w:p>
            <w:pPr>
              <w:pStyle w:val="TableContents"/>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Decrease (increase) in operating assets:</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r>
      <w:tr>
        <w:trPr/>
        <w:tc>
          <w:tcPr>
            <w:tcW w:w="6962" w:type="dxa"/>
            <w:tcBorders/>
            <w:shd w:fill="FFFFFF" w:val="clear"/>
            <w:vAlign w:val="center"/>
          </w:tcPr>
          <w:p>
            <w:pPr>
              <w:pStyle w:val="TableContents"/>
              <w:bidi w:val="0"/>
              <w:spacing w:before="0" w:after="0"/>
              <w:ind w:left="1080" w:right="0" w:hanging="0"/>
              <w:jc w:val="left"/>
              <w:rPr>
                <w:rFonts w:ascii="Times New Roman;Times;serif" w:hAnsi="Times New Roman;Times;serif"/>
                <w:sz w:val="20"/>
              </w:rPr>
            </w:pPr>
            <w:r>
              <w:rPr>
                <w:rFonts w:ascii="Times New Roman;Times;serif" w:hAnsi="Times New Roman;Times;serif"/>
                <w:sz w:val="20"/>
              </w:rPr>
              <w:t>Accounts receivable</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12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9,574</w:t>
            </w:r>
          </w:p>
        </w:tc>
        <w:tc>
          <w:tcPr>
            <w:tcW w:w="13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12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2,592</w:t>
            </w:r>
          </w:p>
        </w:tc>
        <w:tc>
          <w:tcPr>
            <w:tcW w:w="84" w:type="dxa"/>
            <w:tcBorders/>
            <w:shd w:fill="FFFFFF" w:val="clear"/>
            <w:vAlign w:val="center"/>
          </w:tcPr>
          <w:p>
            <w:pPr>
              <w:pStyle w:val="TableContents"/>
              <w:bidi w:val="0"/>
              <w:spacing w:before="0" w:after="283"/>
              <w:jc w:val="left"/>
              <w:rPr/>
            </w:pPr>
            <w:r>
              <w:rPr/>
              <w:t> </w:t>
            </w:r>
          </w:p>
        </w:tc>
      </w:tr>
      <w:tr>
        <w:trPr/>
        <w:tc>
          <w:tcPr>
            <w:tcW w:w="6962" w:type="dxa"/>
            <w:tcBorders/>
            <w:shd w:fill="CCEEFF" w:val="clear"/>
            <w:vAlign w:val="center"/>
          </w:tcPr>
          <w:p>
            <w:pPr>
              <w:pStyle w:val="TableContents"/>
              <w:bidi w:val="0"/>
              <w:spacing w:before="0" w:after="0"/>
              <w:ind w:left="1080" w:right="0" w:hanging="0"/>
              <w:jc w:val="left"/>
              <w:rPr>
                <w:rFonts w:ascii="Times New Roman;Times;serif" w:hAnsi="Times New Roman;Times;serif"/>
                <w:sz w:val="20"/>
              </w:rPr>
            </w:pPr>
            <w:r>
              <w:rPr>
                <w:rFonts w:ascii="Times New Roman;Times;serif" w:hAnsi="Times New Roman;Times;serif"/>
                <w:sz w:val="20"/>
              </w:rPr>
              <w:t>Inventories</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12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(3,998</w:t>
            </w:r>
          </w:p>
        </w:tc>
        <w:tc>
          <w:tcPr>
            <w:tcW w:w="1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12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(14,900</w:t>
            </w:r>
          </w:p>
        </w:tc>
        <w:tc>
          <w:tcPr>
            <w:tcW w:w="8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962" w:type="dxa"/>
            <w:tcBorders/>
            <w:shd w:fill="FFFFFF" w:val="clear"/>
            <w:vAlign w:val="center"/>
          </w:tcPr>
          <w:p>
            <w:pPr>
              <w:pStyle w:val="TableContents"/>
              <w:bidi w:val="0"/>
              <w:spacing w:before="0" w:after="0"/>
              <w:ind w:left="1080" w:right="0" w:hanging="0"/>
              <w:jc w:val="left"/>
              <w:rPr>
                <w:rFonts w:ascii="Times New Roman;Times;serif" w:hAnsi="Times New Roman;Times;serif"/>
                <w:sz w:val="20"/>
              </w:rPr>
            </w:pPr>
            <w:r>
              <w:rPr>
                <w:rFonts w:ascii="Times New Roman;Times;serif" w:hAnsi="Times New Roman;Times;serif"/>
                <w:sz w:val="20"/>
              </w:rPr>
              <w:t>Other current assets</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12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w:t>
            </w:r>
          </w:p>
        </w:tc>
        <w:tc>
          <w:tcPr>
            <w:tcW w:w="13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12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553</w:t>
            </w:r>
          </w:p>
        </w:tc>
        <w:tc>
          <w:tcPr>
            <w:tcW w:w="84" w:type="dxa"/>
            <w:tcBorders/>
            <w:shd w:fill="FFFFFF" w:val="clear"/>
            <w:vAlign w:val="center"/>
          </w:tcPr>
          <w:p>
            <w:pPr>
              <w:pStyle w:val="TableContents"/>
              <w:bidi w:val="0"/>
              <w:spacing w:before="0" w:after="283"/>
              <w:jc w:val="left"/>
              <w:rPr/>
            </w:pPr>
            <w:r>
              <w:rPr/>
              <w:t> </w:t>
            </w:r>
          </w:p>
        </w:tc>
      </w:tr>
      <w:tr>
        <w:trPr/>
        <w:tc>
          <w:tcPr>
            <w:tcW w:w="6962" w:type="dxa"/>
            <w:tcBorders/>
            <w:shd w:fill="CCEEFF" w:val="clear"/>
            <w:vAlign w:val="center"/>
          </w:tcPr>
          <w:p>
            <w:pPr>
              <w:pStyle w:val="TableContents"/>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Decrease (increase) in operating liabilities:</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r>
      <w:tr>
        <w:trPr/>
        <w:tc>
          <w:tcPr>
            <w:tcW w:w="6962" w:type="dxa"/>
            <w:tcBorders/>
            <w:shd w:fill="FFFFFF" w:val="clear"/>
            <w:vAlign w:val="center"/>
          </w:tcPr>
          <w:p>
            <w:pPr>
              <w:pStyle w:val="TableContents"/>
              <w:bidi w:val="0"/>
              <w:spacing w:before="0" w:after="0"/>
              <w:ind w:left="1080" w:right="0" w:hanging="0"/>
              <w:jc w:val="left"/>
              <w:rPr>
                <w:rFonts w:ascii="Times New Roman;Times;serif" w:hAnsi="Times New Roman;Times;serif"/>
                <w:sz w:val="20"/>
              </w:rPr>
            </w:pPr>
            <w:r>
              <w:rPr>
                <w:rFonts w:ascii="Times New Roman;Times;serif" w:hAnsi="Times New Roman;Times;serif"/>
                <w:sz w:val="20"/>
              </w:rPr>
              <w:t>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12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(9,533</w:t>
            </w:r>
          </w:p>
        </w:tc>
        <w:tc>
          <w:tcPr>
            <w:tcW w:w="1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12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(851</w:t>
            </w:r>
          </w:p>
        </w:tc>
        <w:tc>
          <w:tcPr>
            <w:tcW w:w="8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962" w:type="dxa"/>
            <w:tcBorders/>
            <w:shd w:fill="CCEEFF" w:val="clear"/>
            <w:vAlign w:val="center"/>
          </w:tcPr>
          <w:p>
            <w:pPr>
              <w:pStyle w:val="TableContents"/>
              <w:bidi w:val="0"/>
              <w:spacing w:before="0" w:after="0"/>
              <w:ind w:left="1080" w:right="0" w:hanging="0"/>
              <w:jc w:val="left"/>
              <w:rPr>
                <w:rFonts w:ascii="Times New Roman;Times;serif" w:hAnsi="Times New Roman;Times;serif"/>
                <w:sz w:val="20"/>
              </w:rPr>
            </w:pPr>
            <w:r>
              <w:rPr>
                <w:rFonts w:ascii="Times New Roman;Times;serif" w:hAnsi="Times New Roman;Times;serif"/>
                <w:sz w:val="20"/>
              </w:rPr>
              <w:t>Income taxes payable</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12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610</w:t>
            </w:r>
          </w:p>
        </w:tc>
        <w:tc>
          <w:tcPr>
            <w:tcW w:w="13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12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2,057</w:t>
            </w:r>
          </w:p>
        </w:tc>
        <w:tc>
          <w:tcPr>
            <w:tcW w:w="84" w:type="dxa"/>
            <w:tcBorders/>
            <w:shd w:fill="CCEEFF" w:val="clear"/>
            <w:vAlign w:val="center"/>
          </w:tcPr>
          <w:p>
            <w:pPr>
              <w:pStyle w:val="TableContents"/>
              <w:bidi w:val="0"/>
              <w:spacing w:before="0" w:after="283"/>
              <w:jc w:val="left"/>
              <w:rPr/>
            </w:pPr>
            <w:r>
              <w:rPr/>
              <w:t> </w:t>
            </w:r>
          </w:p>
        </w:tc>
      </w:tr>
      <w:tr>
        <w:trPr/>
        <w:tc>
          <w:tcPr>
            <w:tcW w:w="6962" w:type="dxa"/>
            <w:tcBorders/>
            <w:shd w:fill="FFFFFF" w:val="clear"/>
            <w:vAlign w:val="center"/>
          </w:tcPr>
          <w:p>
            <w:pPr>
              <w:pStyle w:val="TableContents"/>
              <w:bidi w:val="0"/>
              <w:spacing w:before="0" w:after="0"/>
              <w:ind w:left="1080" w:right="0" w:hanging="0"/>
              <w:jc w:val="left"/>
              <w:rPr>
                <w:rFonts w:ascii="Times New Roman;Times;serif" w:hAnsi="Times New Roman;Times;serif"/>
                <w:sz w:val="20"/>
              </w:rPr>
            </w:pPr>
            <w:r>
              <w:rPr>
                <w:rFonts w:ascii="Times New Roman;Times;serif" w:hAnsi="Times New Roman;Times;serif"/>
                <w:sz w:val="20"/>
              </w:rPr>
              <w:t>Contribution to retirement plan</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1233" w:type="dxa"/>
            <w:tcBorders/>
            <w:shd w:fill="FFFFFF" w:val="clear"/>
            <w:vAlign w:val="center"/>
          </w:tcPr>
          <w:p>
            <w:pPr>
              <w:pStyle w:val="TableContents"/>
              <w:bidi w:val="0"/>
              <w:spacing w:before="0" w:after="283"/>
              <w:ind w:left="0" w:right="0" w:hanging="0"/>
              <w:jc w:val="right"/>
              <w:rPr/>
            </w:pPr>
            <w:r>
              <w:rPr/>
              <w:t>—</w:t>
            </w:r>
          </w:p>
        </w:tc>
        <w:tc>
          <w:tcPr>
            <w:tcW w:w="13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12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w:t>
            </w:r>
          </w:p>
        </w:tc>
        <w:tc>
          <w:tcPr>
            <w:tcW w:w="8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962" w:type="dxa"/>
            <w:tcBorders/>
            <w:shd w:fill="CCEEFF" w:val="clear"/>
            <w:vAlign w:val="center"/>
          </w:tcPr>
          <w:p>
            <w:pPr>
              <w:pStyle w:val="TableContents"/>
              <w:bidi w:val="0"/>
              <w:spacing w:before="0" w:after="0"/>
              <w:ind w:left="1080" w:right="0" w:hanging="0"/>
              <w:jc w:val="left"/>
              <w:rPr>
                <w:rFonts w:ascii="Times New Roman;Times;serif" w:hAnsi="Times New Roman;Times;serif"/>
                <w:sz w:val="20"/>
              </w:rPr>
            </w:pPr>
            <w:r>
              <w:rPr>
                <w:rFonts w:ascii="Times New Roman;Times;serif" w:hAnsi="Times New Roman;Times;serif"/>
                <w:sz w:val="20"/>
              </w:rPr>
              <w:t>Employee compensation and related expenses</w:t>
            </w:r>
          </w:p>
        </w:tc>
        <w:tc>
          <w:tcPr>
            <w:tcW w:w="60" w:type="dxa"/>
            <w:tcBorders/>
            <w:shd w:fill="CCEEFF" w:val="clear"/>
            <w:vAlign w:val="center"/>
          </w:tcPr>
          <w:p>
            <w:pPr>
              <w:pStyle w:val="TableContents"/>
              <w:bidi w:val="0"/>
              <w:spacing w:before="0" w:after="283"/>
              <w:jc w:val="left"/>
              <w:rPr/>
            </w:pPr>
            <w:r>
              <w:rPr/>
              <w:t> </w:t>
            </w:r>
          </w:p>
        </w:tc>
        <w:tc>
          <w:tcPr>
            <w:tcW w:w="2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(4,737</w:t>
            </w:r>
          </w:p>
        </w:tc>
        <w:tc>
          <w:tcPr>
            <w:tcW w:w="1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 w:type="dxa"/>
            <w:tcBorders/>
            <w:shd w:fill="CCEEFF" w:val="clear"/>
            <w:vAlign w:val="center"/>
          </w:tcPr>
          <w:p>
            <w:pPr>
              <w:pStyle w:val="TableContents"/>
              <w:bidi w:val="0"/>
              <w:spacing w:before="0" w:after="283"/>
              <w:jc w:val="left"/>
              <w:rPr/>
            </w:pPr>
            <w:r>
              <w:rPr/>
              <w:t> </w:t>
            </w:r>
          </w:p>
        </w:tc>
        <w:tc>
          <w:tcPr>
            <w:tcW w:w="2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(1,670</w:t>
            </w:r>
          </w:p>
        </w:tc>
        <w:tc>
          <w:tcPr>
            <w:tcW w:w="8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962"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(6,059</w:t>
            </w:r>
          </w:p>
        </w:tc>
        <w:tc>
          <w:tcPr>
            <w:tcW w:w="1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(4,583</w:t>
            </w:r>
          </w:p>
        </w:tc>
        <w:tc>
          <w:tcPr>
            <w:tcW w:w="8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9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INVESTING ACTIVITIES</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r>
      <w:tr>
        <w:trPr/>
        <w:tc>
          <w:tcPr>
            <w:tcW w:w="6962" w:type="dxa"/>
            <w:tcBorders/>
            <w:shd w:fill="FFFFFF" w:val="clear"/>
            <w:vAlign w:val="center"/>
          </w:tcPr>
          <w:p>
            <w:pPr>
              <w:pStyle w:val="TableContents"/>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Purchase of property, plant and equipment</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12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(1,054</w:t>
            </w:r>
          </w:p>
        </w:tc>
        <w:tc>
          <w:tcPr>
            <w:tcW w:w="1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12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w:t>
            </w:r>
          </w:p>
        </w:tc>
        <w:tc>
          <w:tcPr>
            <w:tcW w:w="8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962" w:type="dxa"/>
            <w:tcBorders/>
            <w:shd w:fill="CCEEFF" w:val="clear"/>
            <w:vAlign w:val="center"/>
          </w:tcPr>
          <w:p>
            <w:pPr>
              <w:pStyle w:val="TableContents"/>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Increase in cash surrender value of officers’ life insurance</w:t>
            </w:r>
          </w:p>
        </w:tc>
        <w:tc>
          <w:tcPr>
            <w:tcW w:w="60" w:type="dxa"/>
            <w:tcBorders/>
            <w:shd w:fill="CCEEFF" w:val="clear"/>
            <w:vAlign w:val="center"/>
          </w:tcPr>
          <w:p>
            <w:pPr>
              <w:pStyle w:val="TableContents"/>
              <w:bidi w:val="0"/>
              <w:spacing w:before="0" w:after="283"/>
              <w:jc w:val="left"/>
              <w:rPr/>
            </w:pPr>
            <w:r>
              <w:rPr/>
              <w:t> </w:t>
            </w:r>
          </w:p>
        </w:tc>
        <w:tc>
          <w:tcPr>
            <w:tcW w:w="2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1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 w:type="dxa"/>
            <w:tcBorders/>
            <w:shd w:fill="CCEEFF" w:val="clear"/>
            <w:vAlign w:val="center"/>
          </w:tcPr>
          <w:p>
            <w:pPr>
              <w:pStyle w:val="TableContents"/>
              <w:bidi w:val="0"/>
              <w:spacing w:before="0" w:after="283"/>
              <w:jc w:val="left"/>
              <w:rPr/>
            </w:pPr>
            <w:r>
              <w:rPr/>
              <w:t> </w:t>
            </w:r>
          </w:p>
        </w:tc>
        <w:tc>
          <w:tcPr>
            <w:tcW w:w="2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962" w:type="dxa"/>
            <w:tcBorders/>
            <w:shd w:fill="FFFFFF" w:val="clear"/>
            <w:vAlign w:val="center"/>
          </w:tcPr>
          <w:p>
            <w:pPr>
              <w:pStyle w:val="TableContents"/>
              <w:bidi w:val="0"/>
              <w:spacing w:before="0" w:after="0"/>
              <w:ind w:left="108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12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(1,057</w:t>
            </w:r>
          </w:p>
        </w:tc>
        <w:tc>
          <w:tcPr>
            <w:tcW w:w="1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12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(452</w:t>
            </w:r>
          </w:p>
        </w:tc>
        <w:tc>
          <w:tcPr>
            <w:tcW w:w="8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9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ACTIVITIES</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r>
      <w:tr>
        <w:trPr/>
        <w:tc>
          <w:tcPr>
            <w:tcW w:w="6962" w:type="dxa"/>
            <w:tcBorders/>
            <w:shd w:fill="FFFFFF" w:val="clear"/>
            <w:vAlign w:val="center"/>
          </w:tcPr>
          <w:p>
            <w:pPr>
              <w:pStyle w:val="TableContents"/>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Cash dividends paid</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12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w:t>
            </w:r>
          </w:p>
        </w:tc>
        <w:tc>
          <w:tcPr>
            <w:tcW w:w="1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12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w:t>
            </w:r>
          </w:p>
        </w:tc>
        <w:tc>
          <w:tcPr>
            <w:tcW w:w="8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962" w:type="dxa"/>
            <w:tcBorders/>
            <w:shd w:fill="CCEEFF" w:val="clear"/>
            <w:vAlign w:val="center"/>
          </w:tcPr>
          <w:p>
            <w:pPr>
              <w:pStyle w:val="TableContents"/>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Cash paid for principal portion of finance lease</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12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1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12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8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962" w:type="dxa"/>
            <w:tcBorders/>
            <w:shd w:fill="FFFFFF" w:val="clear"/>
            <w:vAlign w:val="center"/>
          </w:tcPr>
          <w:p>
            <w:pPr>
              <w:pStyle w:val="TableContents"/>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Cash paid for share repurchases</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(123</w:t>
            </w:r>
          </w:p>
        </w:tc>
        <w:tc>
          <w:tcPr>
            <w:tcW w:w="1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pPr>
            <w:r>
              <w:rPr/>
              <w:t>—</w:t>
            </w:r>
          </w:p>
        </w:tc>
        <w:tc>
          <w:tcPr>
            <w:tcW w:w="84" w:type="dxa"/>
            <w:tcBorders/>
            <w:shd w:fill="FFFFFF" w:val="clear"/>
            <w:vAlign w:val="center"/>
          </w:tcPr>
          <w:p>
            <w:pPr>
              <w:pStyle w:val="TableContents"/>
              <w:bidi w:val="0"/>
              <w:spacing w:before="0" w:after="283"/>
              <w:jc w:val="left"/>
              <w:rPr/>
            </w:pPr>
            <w:r>
              <w:rPr/>
              <w:t> </w:t>
            </w:r>
          </w:p>
        </w:tc>
      </w:tr>
      <w:tr>
        <w:trPr/>
        <w:tc>
          <w:tcPr>
            <w:tcW w:w="69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Borrowings on asset based lending facility</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123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198,871</w:t>
            </w:r>
          </w:p>
        </w:tc>
        <w:tc>
          <w:tcPr>
            <w:tcW w:w="13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204,312</w:t>
            </w:r>
          </w:p>
        </w:tc>
        <w:tc>
          <w:tcPr>
            <w:tcW w:w="84" w:type="dxa"/>
            <w:tcBorders/>
            <w:shd w:fill="CCEEFF" w:val="clear"/>
            <w:vAlign w:val="center"/>
          </w:tcPr>
          <w:p>
            <w:pPr>
              <w:pStyle w:val="TableContents"/>
              <w:bidi w:val="0"/>
              <w:spacing w:before="0" w:after="283"/>
              <w:jc w:val="left"/>
              <w:rPr/>
            </w:pPr>
            <w:r>
              <w:rPr/>
              <w:t> </w:t>
            </w:r>
          </w:p>
        </w:tc>
      </w:tr>
      <w:tr>
        <w:trPr/>
        <w:tc>
          <w:tcPr>
            <w:tcW w:w="6962" w:type="dxa"/>
            <w:tcBorders/>
            <w:shd w:fill="FFFFFF" w:val="clear"/>
            <w:vAlign w:val="center"/>
          </w:tcPr>
          <w:p>
            <w:pPr>
              <w:pStyle w:val="TableContents"/>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Repayments on asset based lending facility</w:t>
            </w:r>
          </w:p>
        </w:tc>
        <w:tc>
          <w:tcPr>
            <w:tcW w:w="60" w:type="dxa"/>
            <w:tcBorders/>
            <w:shd w:fill="FFFFFF" w:val="clear"/>
            <w:vAlign w:val="center"/>
          </w:tcPr>
          <w:p>
            <w:pPr>
              <w:pStyle w:val="TableContents"/>
              <w:bidi w:val="0"/>
              <w:spacing w:before="0" w:after="283"/>
              <w:ind w:left="0" w:right="0" w:hanging="0"/>
              <w:jc w:val="left"/>
              <w:rPr/>
            </w:pPr>
            <w:r>
              <w:rPr/>
              <w:t> </w:t>
            </w:r>
          </w:p>
        </w:tc>
        <w:tc>
          <w:tcPr>
            <w:tcW w:w="20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233"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(193,077</w:t>
            </w:r>
          </w:p>
        </w:tc>
        <w:tc>
          <w:tcPr>
            <w:tcW w:w="1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 w:type="dxa"/>
            <w:tcBorders/>
            <w:shd w:fill="FFFFFF" w:val="clear"/>
            <w:vAlign w:val="center"/>
          </w:tcPr>
          <w:p>
            <w:pPr>
              <w:pStyle w:val="TableContents"/>
              <w:bidi w:val="0"/>
              <w:spacing w:before="0" w:after="283"/>
              <w:ind w:left="0" w:right="0" w:hanging="0"/>
              <w:jc w:val="left"/>
              <w:rPr/>
            </w:pPr>
            <w:r>
              <w:rPr/>
              <w:t> </w:t>
            </w:r>
          </w:p>
        </w:tc>
        <w:tc>
          <w:tcPr>
            <w:tcW w:w="20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233"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(198,131</w:t>
            </w:r>
          </w:p>
        </w:tc>
        <w:tc>
          <w:tcPr>
            <w:tcW w:w="8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962" w:type="dxa"/>
            <w:tcBorders/>
            <w:shd w:fill="CCEEFF" w:val="clear"/>
            <w:vAlign w:val="center"/>
          </w:tcPr>
          <w:p>
            <w:pPr>
              <w:pStyle w:val="TableContents"/>
              <w:bidi w:val="0"/>
              <w:spacing w:before="0" w:after="0"/>
              <w:ind w:left="1080" w:right="0" w:hanging="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2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5,365</w:t>
            </w:r>
          </w:p>
        </w:tc>
        <w:tc>
          <w:tcPr>
            <w:tcW w:w="13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6,007</w:t>
            </w:r>
          </w:p>
        </w:tc>
        <w:tc>
          <w:tcPr>
            <w:tcW w:w="84" w:type="dxa"/>
            <w:tcBorders/>
            <w:shd w:fill="CCEEFF" w:val="clear"/>
            <w:vAlign w:val="center"/>
          </w:tcPr>
          <w:p>
            <w:pPr>
              <w:pStyle w:val="TableContents"/>
              <w:bidi w:val="0"/>
              <w:spacing w:before="0" w:after="283"/>
              <w:jc w:val="left"/>
              <w:rPr/>
            </w:pPr>
            <w:r>
              <w:rPr/>
              <w:t> </w:t>
            </w:r>
          </w:p>
        </w:tc>
      </w:tr>
      <w:tr>
        <w:trPr/>
        <w:tc>
          <w:tcPr>
            <w:tcW w:w="6962"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(DECREASE) IN CASH AND RESTRICED CASH</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12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(1,751</w:t>
            </w:r>
          </w:p>
        </w:tc>
        <w:tc>
          <w:tcPr>
            <w:tcW w:w="1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12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972</w:t>
            </w:r>
          </w:p>
        </w:tc>
        <w:tc>
          <w:tcPr>
            <w:tcW w:w="84" w:type="dxa"/>
            <w:tcBorders/>
            <w:shd w:fill="FFFFFF" w:val="clear"/>
            <w:vAlign w:val="center"/>
          </w:tcPr>
          <w:p>
            <w:pPr>
              <w:pStyle w:val="TableContents"/>
              <w:bidi w:val="0"/>
              <w:spacing w:before="0" w:after="283"/>
              <w:jc w:val="left"/>
              <w:rPr/>
            </w:pPr>
            <w:r>
              <w:rPr/>
              <w:t> </w:t>
            </w:r>
          </w:p>
        </w:tc>
      </w:tr>
      <w:tr>
        <w:trPr/>
        <w:tc>
          <w:tcPr>
            <w:tcW w:w="69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RESTRICTED CASH AT BEGINNING OF PERIOD</w:t>
            </w:r>
          </w:p>
        </w:tc>
        <w:tc>
          <w:tcPr>
            <w:tcW w:w="60" w:type="dxa"/>
            <w:tcBorders/>
            <w:shd w:fill="CCEEFF" w:val="clear"/>
            <w:vAlign w:val="center"/>
          </w:tcPr>
          <w:p>
            <w:pPr>
              <w:pStyle w:val="TableContents"/>
              <w:bidi w:val="0"/>
              <w:spacing w:before="0" w:after="283"/>
              <w:jc w:val="left"/>
              <w:rPr/>
            </w:pPr>
            <w:r>
              <w:rPr/>
              <w:t> </w:t>
            </w:r>
          </w:p>
        </w:tc>
        <w:tc>
          <w:tcPr>
            <w:tcW w:w="2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5,897</w:t>
            </w:r>
          </w:p>
        </w:tc>
        <w:tc>
          <w:tcPr>
            <w:tcW w:w="13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5,386</w:t>
            </w:r>
          </w:p>
        </w:tc>
        <w:tc>
          <w:tcPr>
            <w:tcW w:w="84" w:type="dxa"/>
            <w:tcBorders/>
            <w:shd w:fill="CCEEFF" w:val="clear"/>
            <w:vAlign w:val="center"/>
          </w:tcPr>
          <w:p>
            <w:pPr>
              <w:pStyle w:val="TableContents"/>
              <w:bidi w:val="0"/>
              <w:spacing w:before="0" w:after="283"/>
              <w:jc w:val="left"/>
              <w:rPr/>
            </w:pPr>
            <w:r>
              <w:rPr/>
              <w:t> </w:t>
            </w:r>
          </w:p>
        </w:tc>
      </w:tr>
      <w:tr>
        <w:trPr/>
        <w:tc>
          <w:tcPr>
            <w:tcW w:w="6962"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RESTRICTED CASH AT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20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3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4,146</w:t>
            </w:r>
          </w:p>
        </w:tc>
        <w:tc>
          <w:tcPr>
            <w:tcW w:w="13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20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3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6,358</w:t>
            </w:r>
          </w:p>
        </w:tc>
        <w:tc>
          <w:tcPr>
            <w:tcW w:w="8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Company did not have any restricted cash at June 30, 2024. Cash and restricted cash at March 31, 2024 included approximately $3.0 million of cash required to collateralize open derivative positions with this amount reported in "Other current assets" on the Company's consolidated balance sheet at March 31, 2024.</w:t>
      </w:r>
    </w:p>
    <w:p>
      <w:pPr>
        <w:pStyle w:val="TextBody"/>
        <w:bidi w:val="0"/>
        <w:spacing w:before="0" w:after="0"/>
        <w:ind w:left="0" w:right="0" w:firstLine="490"/>
        <w:jc w:val="both"/>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accompanying notes are an integral part of these financial statements.</w:t>
      </w:r>
    </w:p>
    <w:p>
      <w:pPr>
        <w:pStyle w:val="TextBody"/>
        <w:bidi w:val="0"/>
        <w:spacing w:before="0" w:after="0"/>
        <w:ind w:left="0" w:right="0" w:firstLine="360"/>
        <w:jc w:val="left"/>
        <w:rPr/>
      </w:pPr>
      <w:r>
        <w:rPr/>
        <w:t> </w:t>
      </w:r>
    </w:p>
    <w:p>
      <w:pPr>
        <w:pStyle w:val="TextBody"/>
        <w:bidi w:val="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FRIEDMAN INDUSTRIES, INCORPORATED</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CONDENSED NOTES TO QUARTERLY REPORT — UNAUDITED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NOTE A — BASIS OF PRESENTATION</w:t>
      </w:r>
    </w:p>
    <w:p>
      <w:pPr>
        <w:pStyle w:val="TextBody"/>
        <w:bidi w:val="0"/>
        <w:spacing w:before="0" w:after="0"/>
        <w:ind w:left="0" w:right="0" w:hanging="0"/>
        <w:jc w:val="left"/>
        <w:rPr/>
      </w:pPr>
      <w:r>
        <w:rPr/>
        <w:t> </w:t>
      </w:r>
    </w:p>
    <w:p>
      <w:pPr>
        <w:pStyle w:val="TextBody"/>
        <w:bidi w:val="0"/>
        <w:spacing w:before="0" w:after="0"/>
        <w:ind w:left="0" w:right="0" w:firstLine="490"/>
        <w:jc w:val="both"/>
        <w:rPr/>
      </w:pPr>
      <w:r>
        <w:rPr>
          <w:rFonts w:ascii="Times New Roman;Times;serif" w:hAnsi="Times New Roman;Times;serif"/>
          <w:sz w:val="20"/>
        </w:rPr>
        <w:t xml:space="preserve">The accompanying unaudited, condensed consolidated financial statements have been prepared in accordance with the instructions to Form </w:t>
      </w:r>
      <w:r>
        <w:rPr>
          <w:rStyle w:val="Emphasis"/>
          <w:rFonts w:ascii="Times New Roman;Times;serif" w:hAnsi="Times New Roman;Times;serif"/>
          <w:sz w:val="20"/>
        </w:rPr>
        <w:t>10</w:t>
      </w:r>
      <w:r>
        <w:rPr>
          <w:rFonts w:ascii="Times New Roman;Times;serif" w:hAnsi="Times New Roman;Times;serif"/>
          <w:sz w:val="20"/>
        </w:rPr>
        <w:t xml:space="preserve">-Q and do </w:t>
      </w:r>
      <w:r>
        <w:rPr>
          <w:rStyle w:val="Emphasis"/>
          <w:rFonts w:ascii="Times New Roman;Times;serif" w:hAnsi="Times New Roman;Times;serif"/>
          <w:sz w:val="20"/>
        </w:rPr>
        <w:t>not</w:t>
      </w:r>
      <w:r>
        <w:rPr>
          <w:rFonts w:ascii="Times New Roman;Times;serif" w:hAnsi="Times New Roman;Times;serif"/>
          <w:sz w:val="20"/>
        </w:rPr>
        <w:t xml:space="preserve"> include all of the information and footnotes required by U.S. generally accepted accounting principles for complete financial statements. In the opinion of management, all adjustments (consisting of normal recurring accruals) considered necessary for a fair presentation have been included. For further information, refer to the consolidated financial statements and footnotes of Friedman Industries, Incorporated (the “Company”) included in its annual report on Form </w:t>
      </w:r>
      <w:r>
        <w:rPr>
          <w:rStyle w:val="Emphasis"/>
          <w:rFonts w:ascii="Times New Roman;Times;serif" w:hAnsi="Times New Roman;Times;serif"/>
          <w:sz w:val="20"/>
        </w:rPr>
        <w:t>10</w:t>
      </w:r>
      <w:r>
        <w:rPr>
          <w:rFonts w:ascii="Times New Roman;Times;serif" w:hAnsi="Times New Roman;Times;serif"/>
          <w:sz w:val="20"/>
        </w:rPr>
        <w:t xml:space="preserve">-K for the year ended </w:t>
      </w:r>
      <w:r>
        <w:rPr>
          <w:rStyle w:val="Emphasis"/>
          <w:rFonts w:ascii="Times New Roman;Times;serif" w:hAnsi="Times New Roman;Times;serif"/>
          <w:sz w:val="20"/>
        </w:rPr>
        <w:t>March 31, 2024</w:t>
      </w:r>
      <w:r>
        <w:rPr>
          <w:rFonts w:ascii="Times New Roman;Times;serif" w:hAnsi="Times New Roman;Times;serif"/>
          <w:sz w:val="20"/>
        </w:rPr>
        <w:t>.</w:t>
      </w:r>
    </w:p>
    <w:p>
      <w:pPr>
        <w:pStyle w:val="TextBody"/>
        <w:bidi w:val="0"/>
        <w:spacing w:before="0" w:after="0"/>
        <w:ind w:left="0" w:right="0" w:firstLine="490"/>
        <w:jc w:val="both"/>
        <w:rPr/>
      </w:pPr>
      <w:r>
        <w:rPr/>
        <w:t> </w:t>
      </w:r>
    </w:p>
    <w:p>
      <w:pPr>
        <w:pStyle w:val="TextBody"/>
        <w:bidi w:val="0"/>
        <w:spacing w:before="0" w:after="0"/>
        <w:ind w:left="0" w:right="0" w:firstLine="310"/>
        <w:jc w:val="both"/>
        <w:rPr>
          <w:rFonts w:ascii="Times New Roman;Times;serif" w:hAnsi="Times New Roman;Times;serif"/>
          <w:i/>
          <w:sz w:val="20"/>
        </w:rPr>
      </w:pPr>
      <w:r>
        <w:rPr>
          <w:rFonts w:ascii="Times New Roman;Times;serif" w:hAnsi="Times New Roman;Times;serif"/>
          <w:i/>
          <w:sz w:val="20"/>
        </w:rPr>
        <w:t>Reclassifications</w:t>
      </w:r>
    </w:p>
    <w:p>
      <w:pPr>
        <w:pStyle w:val="TextBody"/>
        <w:bidi w:val="0"/>
        <w:spacing w:before="0" w:after="0"/>
        <w:ind w:left="0" w:right="0" w:firstLine="310"/>
        <w:jc w:val="both"/>
        <w:rPr/>
      </w:pPr>
      <w:r>
        <w:rPr/>
        <w:t> </w:t>
      </w:r>
    </w:p>
    <w:p>
      <w:pPr>
        <w:pStyle w:val="TextBody"/>
        <w:bidi w:val="0"/>
        <w:spacing w:before="0" w:after="0"/>
        <w:ind w:left="0" w:right="0" w:firstLine="490"/>
        <w:jc w:val="both"/>
        <w:rPr/>
      </w:pPr>
      <w:r>
        <w:rPr>
          <w:rFonts w:ascii="Times New Roman;Times;serif" w:hAnsi="Times New Roman;Times;serif"/>
          <w:sz w:val="20"/>
        </w:rPr>
        <w:t xml:space="preserve">The consolidated financial statements for the previous year </w:t>
      </w:r>
      <w:r>
        <w:rPr>
          <w:rStyle w:val="Emphasis"/>
          <w:rFonts w:ascii="Times New Roman;Times;serif" w:hAnsi="Times New Roman;Times;serif"/>
          <w:sz w:val="20"/>
        </w:rPr>
        <w:t xml:space="preserve">may </w:t>
      </w:r>
      <w:r>
        <w:rPr>
          <w:rFonts w:ascii="Times New Roman;Times;serif" w:hAnsi="Times New Roman;Times;serif"/>
          <w:sz w:val="20"/>
        </w:rPr>
        <w:t xml:space="preserve">include certain reclassifications to conform to the current presentation. To conform with the current year presentation, “Cost of products sold” on the consolidated statements of operations was broken down into </w:t>
      </w:r>
      <w:r>
        <w:rPr>
          <w:rStyle w:val="Emphasis"/>
          <w:rFonts w:ascii="Times New Roman;Times;serif" w:hAnsi="Times New Roman;Times;serif"/>
          <w:sz w:val="20"/>
        </w:rPr>
        <w:t>four</w:t>
      </w:r>
      <w:r>
        <w:rPr>
          <w:rFonts w:ascii="Times New Roman;Times;serif" w:hAnsi="Times New Roman;Times;serif"/>
          <w:sz w:val="20"/>
        </w:rPr>
        <w:t xml:space="preserve"> separate line items: "Cost of materials sold", "Processing and warehousing expense", "Delivery expense" and "Depreciation and Amortization". The Company believes this increased level of detail provides financial statement users with a better understanding of the Company's expenses. "Cost of materials sold" represent the delivered cost of inventory sold. "Processing and warehousing expense" represents the operating costs at our processing facilities. "Delivery expense" represents the costs of delivering products to customers. The amount the Company charged customers for delivery of products is reported within "Net sales" on the consolidated statements of operations. These reclassifications had </w:t>
      </w:r>
      <w:r>
        <w:rPr>
          <w:rStyle w:val="Emphasis"/>
          <w:rFonts w:ascii="Times New Roman;Times;serif" w:hAnsi="Times New Roman;Times;serif"/>
          <w:sz w:val="20"/>
        </w:rPr>
        <w:t>no</w:t>
      </w:r>
      <w:r>
        <w:rPr>
          <w:rFonts w:ascii="Times New Roman;Times;serif" w:hAnsi="Times New Roman;Times;serif"/>
          <w:sz w:val="20"/>
        </w:rPr>
        <w:t xml:space="preserve"> impact on previously reported net earnings or stockholders' equity.</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NOTE B — INVENTORIES</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Company operates in two segments: the flat-roll segment and the tubular segment. Both flat-roll segment and tubular segment inventories consist of raw material and finished goods. Cost for substantially all of the Company's inventory is determined using the average cost method. All inventories are valued at the lower of cost or net realizable value. Flat-roll raw material inventory consists of steel coils the Company will process into sheet and plate. Flat-roll finished goods consists of processed sheet and plate inventory. Tubular raw material inventory consists of hot-rolled steel coils that the Company will manufacture into pipe. Tubular finished goods inventory consists of pipe the Company has manufactured.</w:t>
      </w:r>
    </w:p>
    <w:p>
      <w:pPr>
        <w:pStyle w:val="TextBody"/>
        <w:bidi w:val="0"/>
        <w:spacing w:before="0" w:after="0"/>
        <w:ind w:left="0" w:right="0" w:hanging="0"/>
        <w:jc w:val="left"/>
        <w:rPr/>
      </w:pPr>
      <w:r>
        <w:rPr/>
        <w:t> </w:t>
      </w:r>
    </w:p>
    <w:p>
      <w:pPr>
        <w:pStyle w:val="TextBody"/>
        <w:bidi w:val="0"/>
        <w:spacing w:before="0" w:after="0"/>
        <w:ind w:left="0" w:right="0" w:firstLine="490"/>
        <w:jc w:val="left"/>
        <w:rPr>
          <w:rFonts w:ascii="Times New Roman;Times;serif" w:hAnsi="Times New Roman;Times;serif"/>
          <w:sz w:val="20"/>
        </w:rPr>
      </w:pPr>
      <w:r>
        <w:rPr>
          <w:rFonts w:ascii="Times New Roman;Times;serif" w:hAnsi="Times New Roman;Times;serif"/>
          <w:sz w:val="20"/>
        </w:rPr>
        <w:t>A summary of inventory values by product group follows (in thousands):</w:t>
      </w:r>
    </w:p>
    <w:p>
      <w:pPr>
        <w:pStyle w:val="TextBody"/>
        <w:bidi w:val="0"/>
        <w:spacing w:before="0" w:after="0"/>
        <w:ind w:left="0" w:right="0" w:hanging="0"/>
        <w:jc w:val="left"/>
        <w:rPr/>
      </w:pPr>
      <w:r>
        <w:rPr/>
        <w:t> </w:t>
      </w:r>
    </w:p>
    <w:tbl>
      <w:tblPr>
        <w:tblW w:w="4768" w:type="dxa"/>
        <w:jc w:val="left"/>
        <w:tblInd w:w="0" w:type="dxa"/>
        <w:tblLayout w:type="fixed"/>
        <w:tblCellMar>
          <w:top w:w="0" w:type="dxa"/>
          <w:left w:w="0" w:type="dxa"/>
          <w:bottom w:w="0" w:type="dxa"/>
          <w:right w:w="0" w:type="dxa"/>
        </w:tblCellMar>
      </w:tblPr>
      <w:tblGrid>
        <w:gridCol w:w="2000"/>
        <w:gridCol w:w="60"/>
        <w:gridCol w:w="181"/>
        <w:gridCol w:w="1008"/>
        <w:gridCol w:w="60"/>
        <w:gridCol w:w="60"/>
        <w:gridCol w:w="204"/>
        <w:gridCol w:w="1135"/>
        <w:gridCol w:w="60"/>
      </w:tblGrid>
      <w:tr>
        <w:trPr/>
        <w:tc>
          <w:tcPr>
            <w:tcW w:w="20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June 30, 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March 31, 2024</w:t>
            </w:r>
          </w:p>
        </w:tc>
        <w:tc>
          <w:tcPr>
            <w:tcW w:w="60" w:type="dxa"/>
            <w:tcBorders/>
            <w:shd w:fill="FFFFFF" w:val="clear"/>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Flat-Roll raw material</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89,847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85,483</w:t>
            </w:r>
          </w:p>
        </w:tc>
        <w:tc>
          <w:tcPr>
            <w:tcW w:w="60" w:type="dxa"/>
            <w:tcBorders/>
            <w:shd w:fill="CCEEFF" w:val="clear"/>
            <w:vAlign w:val="center"/>
          </w:tcPr>
          <w:p>
            <w:pPr>
              <w:pStyle w:val="TableContents"/>
              <w:bidi w:val="0"/>
              <w:spacing w:before="0" w:after="283"/>
              <w:jc w:val="left"/>
              <w:rPr/>
            </w:pPr>
            <w:r>
              <w:rPr/>
              <w:t> </w:t>
            </w:r>
          </w:p>
        </w:tc>
      </w:tr>
      <w:tr>
        <w:trPr/>
        <w:tc>
          <w:tcPr>
            <w:tcW w:w="200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Flat-Roll finished goods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11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17,030</w:t>
            </w:r>
          </w:p>
        </w:tc>
        <w:tc>
          <w:tcPr>
            <w:tcW w:w="60" w:type="dxa"/>
            <w:tcBorders/>
            <w:shd w:fill="FFFFFF" w:val="clear"/>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Tubular raw material</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11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4,185</w:t>
            </w:r>
          </w:p>
        </w:tc>
        <w:tc>
          <w:tcPr>
            <w:tcW w:w="60" w:type="dxa"/>
            <w:tcBorders/>
            <w:shd w:fill="CCEEFF" w:val="clear"/>
            <w:vAlign w:val="center"/>
          </w:tcPr>
          <w:p>
            <w:pPr>
              <w:pStyle w:val="TableContents"/>
              <w:bidi w:val="0"/>
              <w:spacing w:before="0" w:after="283"/>
              <w:jc w:val="left"/>
              <w:rPr/>
            </w:pPr>
            <w:r>
              <w:rPr/>
              <w:t> </w:t>
            </w:r>
          </w:p>
        </w:tc>
      </w:tr>
      <w:tr>
        <w:trPr/>
        <w:tc>
          <w:tcPr>
            <w:tcW w:w="200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Tubular finished goods</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9,106</w:t>
            </w:r>
          </w:p>
        </w:tc>
        <w:tc>
          <w:tcPr>
            <w:tcW w:w="60" w:type="dxa"/>
            <w:tcBorders/>
            <w:shd w:fill="FFFFFF" w:val="clear"/>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119,802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115,804</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490"/>
        <w:jc w:val="both"/>
        <w:rPr/>
      </w:pPr>
      <w:r>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NOTE C – DEBT</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r>
        <w:rPr>
          <w:rFonts w:ascii="Times New Roman;Times;serif" w:hAnsi="Times New Roman;Times;serif"/>
          <w:sz w:val="20"/>
        </w:rPr>
        <w:t xml:space="preserve">The Company has a $150 million asset-based lending facility ("ABL Facility") in place with JPMorgan Chase Bank, N.A. as the arranging agent and BMO Harris Bank, N.A. as a </w:t>
      </w:r>
      <w:r>
        <w:rPr>
          <w:rStyle w:val="Emphasis"/>
          <w:rFonts w:ascii="Times New Roman;Times;serif" w:hAnsi="Times New Roman;Times;serif"/>
          <w:sz w:val="20"/>
        </w:rPr>
        <w:t>one</w:t>
      </w:r>
      <w:r>
        <w:rPr>
          <w:rFonts w:ascii="Times New Roman;Times;serif" w:hAnsi="Times New Roman;Times;serif"/>
          <w:sz w:val="20"/>
        </w:rPr>
        <w:t>-</w:t>
      </w:r>
      <w:r>
        <w:rPr>
          <w:rStyle w:val="Emphasis"/>
          <w:rFonts w:ascii="Times New Roman;Times;serif" w:hAnsi="Times New Roman;Times;serif"/>
          <w:sz w:val="20"/>
        </w:rPr>
        <w:t>third</w:t>
      </w:r>
      <w:r>
        <w:rPr>
          <w:rFonts w:ascii="Times New Roman;Times;serif" w:hAnsi="Times New Roman;Times;serif"/>
          <w:sz w:val="20"/>
        </w:rPr>
        <w:t xml:space="preserve"> syndicated participant. The ABL Facility matures on </w:t>
      </w:r>
      <w:r>
        <w:rPr>
          <w:rStyle w:val="Emphasis"/>
          <w:rFonts w:ascii="Times New Roman;Times;serif" w:hAnsi="Times New Roman;Times;serif"/>
          <w:sz w:val="20"/>
        </w:rPr>
        <w:t xml:space="preserve">May 19, 2026 </w:t>
      </w:r>
      <w:r>
        <w:rPr>
          <w:rFonts w:ascii="Times New Roman;Times;serif" w:hAnsi="Times New Roman;Times;serif"/>
          <w:sz w:val="20"/>
        </w:rPr>
        <w:t>and is secured by substantially all of the assets of the Company. The</w:t>
        <w:br/>
        <w:t xml:space="preserve">Company can elect borrowings on a floating rate basis or a term basis. Floating rate borrowings accrue interest at a rate equal to the prime rate minus 1% per annum. Term rate borrowings accrue interest at a rate equal to the SOFR rate applicable to the selected term plus 1.8% per annum. Availability of funds under the ABL Facility is subject to a borrowing base calculation determined as the sum of (a) 90% of eligible accounts receivable, plus (b) the product of 85% multiplied by the net orderly liquidating value percentage identified in the most recent inventory appraisal multiplied by eligible inventory. The ABL Facility contains a springing financial covenant whereby the financial covenant is only tested when availability falls below the greater of 15% of the revolving commitment or $22.5 million. The financial covenant restricts the Company from allowing its fixed charge coverage ratio to be, as of the end of any calendar month, less than 1.10 to </w:t>
      </w:r>
      <w:r>
        <w:rPr>
          <w:rStyle w:val="Emphasis"/>
          <w:rFonts w:ascii="Times New Roman;Times;serif" w:hAnsi="Times New Roman;Times;serif"/>
          <w:sz w:val="20"/>
        </w:rPr>
        <w:t>1.00</w:t>
      </w:r>
      <w:r>
        <w:rPr>
          <w:rFonts w:ascii="Times New Roman;Times;serif" w:hAnsi="Times New Roman;Times;serif"/>
          <w:sz w:val="20"/>
        </w:rPr>
        <w:t xml:space="preserve"> for the trailing </w:t>
      </w:r>
      <w:r>
        <w:rPr>
          <w:rStyle w:val="Emphasis"/>
          <w:rFonts w:ascii="Times New Roman;Times;serif" w:hAnsi="Times New Roman;Times;serif"/>
          <w:sz w:val="20"/>
        </w:rPr>
        <w:t>twelve</w:t>
      </w:r>
      <w:r>
        <w:rPr>
          <w:rFonts w:ascii="Times New Roman;Times;serif" w:hAnsi="Times New Roman;Times;serif"/>
          <w:sz w:val="20"/>
        </w:rPr>
        <w:t xml:space="preserve">-month period then ending. The fixed charge coverage ratio is calculated as the ratio of (a) EBITDA, as defined in the ABL Facility, minus unfinanced capital expenditures to (b) cash interest expense plus scheduled principal payments on indebtedness plus taxes paid in cash plus restricted payments paid in cash plus capital lease obligation payments plus cash contributions to any employee pension benefit plans. The ABL Facility contains other representations and warranties and affirmative and negative covenants that are usual and customary. If certain conditions precedent are satisfied, the ABL facility </w:t>
      </w:r>
      <w:r>
        <w:rPr>
          <w:rStyle w:val="Emphasis"/>
          <w:rFonts w:ascii="Times New Roman;Times;serif" w:hAnsi="Times New Roman;Times;serif"/>
          <w:sz w:val="20"/>
        </w:rPr>
        <w:t xml:space="preserve">may </w:t>
      </w:r>
      <w:r>
        <w:rPr>
          <w:rFonts w:ascii="Times New Roman;Times;serif" w:hAnsi="Times New Roman;Times;serif"/>
          <w:sz w:val="20"/>
        </w:rPr>
        <w:t>be increased by up to an aggregate of $25 million, in minimum increments of $5 million. At </w:t>
      </w:r>
      <w:r>
        <w:rPr>
          <w:rStyle w:val="Emphasis"/>
          <w:rFonts w:ascii="Times New Roman;Times;serif" w:hAnsi="Times New Roman;Times;serif"/>
          <w:sz w:val="20"/>
        </w:rPr>
        <w:t xml:space="preserve"> June 30, 2024</w:t>
      </w:r>
      <w:r>
        <w:rPr>
          <w:rFonts w:ascii="Times New Roman;Times;serif" w:hAnsi="Times New Roman;Times;serif"/>
          <w:sz w:val="20"/>
        </w:rPr>
        <w:t>, the Company had a balance of approximately $46.1 million under the ABL Facility with an applicable interest rate of 7.5%. At </w:t>
      </w:r>
      <w:r>
        <w:rPr>
          <w:rStyle w:val="Emphasis"/>
          <w:rFonts w:ascii="Times New Roman;Times;serif" w:hAnsi="Times New Roman;Times;serif"/>
          <w:sz w:val="20"/>
        </w:rPr>
        <w:t xml:space="preserve"> June 30, 2024</w:t>
      </w:r>
      <w:r>
        <w:rPr>
          <w:rFonts w:ascii="Times New Roman;Times;serif" w:hAnsi="Times New Roman;Times;serif"/>
          <w:sz w:val="20"/>
        </w:rPr>
        <w:t>, the Company's applicable borrowing base calculation supported access to approximately $112.4 million of the ABL Facility.</w:t>
      </w:r>
    </w:p>
    <w:p>
      <w:pPr>
        <w:pStyle w:val="TextBody"/>
        <w:bidi w:val="0"/>
        <w:spacing w:before="0" w:after="0"/>
        <w:ind w:left="0" w:right="0" w:firstLine="490"/>
        <w:jc w:val="both"/>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Company incurred debt issuance costs of approximately $0.4 million in connection with the ABL Facility. The Company recorded these debt issuance costs as non-current other assets and is amortizing these costs on an equal monthly basis over the remaining term of the ABL facility.</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t> </w:t>
      </w:r>
      <w:r>
        <w:rPr>
          <w:rFonts w:ascii="Times New Roman;Times;serif" w:hAnsi="Times New Roman;Times;serif"/>
          <w:sz w:val="20"/>
        </w:rPr>
        <w:t>NOTE D — LEASES</w:t>
      </w:r>
    </w:p>
    <w:p>
      <w:pPr>
        <w:pStyle w:val="TextBody"/>
        <w:bidi w:val="0"/>
        <w:spacing w:before="0" w:after="0"/>
        <w:ind w:left="0" w:right="0" w:hanging="0"/>
        <w:jc w:val="left"/>
        <w:rPr/>
      </w:pPr>
      <w:r>
        <w:rPr/>
        <w:t> </w:t>
      </w:r>
    </w:p>
    <w:p>
      <w:pPr>
        <w:pStyle w:val="TextBody"/>
        <w:bidi w:val="0"/>
        <w:spacing w:before="0" w:after="0"/>
        <w:ind w:left="0" w:right="0" w:firstLine="490"/>
        <w:jc w:val="both"/>
        <w:rPr/>
      </w:pPr>
      <w:r>
        <w:rPr>
          <w:rFonts w:ascii="Times New Roman;Times;serif" w:hAnsi="Times New Roman;Times;serif"/>
          <w:sz w:val="20"/>
        </w:rPr>
        <w:t xml:space="preserve">The Company has an operating lease for the Granite City, IL facility with an expiration date of </w:t>
      </w:r>
      <w:r>
        <w:rPr>
          <w:rStyle w:val="Emphasis"/>
          <w:rFonts w:ascii="Times New Roman;Times;serif" w:hAnsi="Times New Roman;Times;serif"/>
          <w:sz w:val="20"/>
        </w:rPr>
        <w:t xml:space="preserve">August 31, 2028 </w:t>
      </w:r>
      <w:r>
        <w:rPr>
          <w:rFonts w:ascii="Times New Roman;Times;serif" w:hAnsi="Times New Roman;Times;serif"/>
          <w:sz w:val="20"/>
        </w:rPr>
        <w:t xml:space="preserve">with optional renewal provisions for up to </w:t>
      </w:r>
      <w:r>
        <w:rPr>
          <w:rStyle w:val="Emphasis"/>
          <w:rFonts w:ascii="Times New Roman;Times;serif" w:hAnsi="Times New Roman;Times;serif"/>
          <w:sz w:val="20"/>
        </w:rPr>
        <w:t>4</w:t>
      </w:r>
      <w:r>
        <w:rPr>
          <w:rFonts w:ascii="Times New Roman;Times;serif" w:hAnsi="Times New Roman;Times;serif"/>
          <w:sz w:val="20"/>
        </w:rPr>
        <w:t xml:space="preserve"> renewal terms of five years each. The lease calls for monthly rental payments that adjust on an annual basis. The monthly rental payment in place at </w:t>
      </w:r>
      <w:r>
        <w:rPr>
          <w:rStyle w:val="Emphasis"/>
          <w:rFonts w:ascii="Times New Roman;Times;serif" w:hAnsi="Times New Roman;Times;serif"/>
          <w:sz w:val="20"/>
        </w:rPr>
        <w:t xml:space="preserve">June 30, 2024 </w:t>
      </w:r>
      <w:r>
        <w:rPr>
          <w:rFonts w:ascii="Times New Roman;Times;serif" w:hAnsi="Times New Roman;Times;serif"/>
          <w:sz w:val="20"/>
        </w:rPr>
        <w:t xml:space="preserve">and remaining in place until adjustment in </w:t>
      </w:r>
      <w:r>
        <w:rPr>
          <w:rStyle w:val="Emphasis"/>
          <w:rFonts w:ascii="Times New Roman;Times;serif" w:hAnsi="Times New Roman;Times;serif"/>
          <w:sz w:val="20"/>
        </w:rPr>
        <w:t xml:space="preserve">September 2024 </w:t>
      </w:r>
      <w:r>
        <w:rPr>
          <w:rFonts w:ascii="Times New Roman;Times;serif" w:hAnsi="Times New Roman;Times;serif"/>
          <w:sz w:val="20"/>
        </w:rPr>
        <w:t xml:space="preserve">is approximately $13,000 per month. The anticipated execution of renewal options for this lease is included in the ROU asset and lease liability calculation. The Company has an operating lease for administrative office space in The Woodlands, TX with an expiration date of </w:t>
      </w:r>
      <w:r>
        <w:rPr>
          <w:rStyle w:val="Emphasis"/>
          <w:rFonts w:ascii="Times New Roman;Times;serif" w:hAnsi="Times New Roman;Times;serif"/>
          <w:sz w:val="20"/>
        </w:rPr>
        <w:t xml:space="preserve">February 28, 2029 </w:t>
      </w:r>
      <w:r>
        <w:rPr>
          <w:rFonts w:ascii="Times New Roman;Times;serif" w:hAnsi="Times New Roman;Times;serif"/>
          <w:sz w:val="20"/>
        </w:rPr>
        <w:t xml:space="preserve">and a renewal option for </w:t>
      </w:r>
      <w:r>
        <w:rPr>
          <w:rStyle w:val="Emphasis"/>
          <w:rFonts w:ascii="Times New Roman;Times;serif" w:hAnsi="Times New Roman;Times;serif"/>
          <w:sz w:val="20"/>
        </w:rPr>
        <w:t>one</w:t>
      </w:r>
      <w:r>
        <w:rPr>
          <w:rFonts w:ascii="Times New Roman;Times;serif" w:hAnsi="Times New Roman;Times;serif"/>
          <w:sz w:val="20"/>
        </w:rPr>
        <w:t xml:space="preserve"> additional 60 month term. The lease calls for monthly rental payments that adjust on an annual basis. The monthly rental payment in place at </w:t>
      </w:r>
      <w:r>
        <w:rPr>
          <w:rStyle w:val="Emphasis"/>
          <w:rFonts w:ascii="Times New Roman;Times;serif" w:hAnsi="Times New Roman;Times;serif"/>
          <w:sz w:val="20"/>
        </w:rPr>
        <w:t xml:space="preserve">June 30, 2024 </w:t>
      </w:r>
      <w:r>
        <w:rPr>
          <w:rFonts w:ascii="Times New Roman;Times;serif" w:hAnsi="Times New Roman;Times;serif"/>
          <w:sz w:val="20"/>
        </w:rPr>
        <w:t xml:space="preserve">and remaining in place until adjustment in </w:t>
      </w:r>
      <w:r>
        <w:rPr>
          <w:rStyle w:val="Emphasis"/>
          <w:rFonts w:ascii="Times New Roman;Times;serif" w:hAnsi="Times New Roman;Times;serif"/>
          <w:sz w:val="20"/>
        </w:rPr>
        <w:t xml:space="preserve">March 2025 </w:t>
      </w:r>
      <w:r>
        <w:rPr>
          <w:rFonts w:ascii="Times New Roman;Times;serif" w:hAnsi="Times New Roman;Times;serif"/>
          <w:sz w:val="20"/>
        </w:rPr>
        <w:t xml:space="preserve">is approximately $11,000 per month. The Company’s lease of its office space in Longview, Texas is the only other operating lease included in the Company's ROU assets and lease liabilities. This lease was renewed in </w:t>
      </w:r>
      <w:r>
        <w:rPr>
          <w:rStyle w:val="Emphasis"/>
          <w:rFonts w:ascii="Times New Roman;Times;serif" w:hAnsi="Times New Roman;Times;serif"/>
          <w:sz w:val="20"/>
        </w:rPr>
        <w:t xml:space="preserve">April 2024 </w:t>
      </w:r>
      <w:r>
        <w:rPr>
          <w:rFonts w:ascii="Times New Roman;Times;serif" w:hAnsi="Times New Roman;Times;serif"/>
          <w:sz w:val="20"/>
        </w:rPr>
        <w:t xml:space="preserve">for a 36 month term expiring on </w:t>
      </w:r>
      <w:r>
        <w:rPr>
          <w:rStyle w:val="Emphasis"/>
          <w:rFonts w:ascii="Times New Roman;Times;serif" w:hAnsi="Times New Roman;Times;serif"/>
          <w:sz w:val="20"/>
        </w:rPr>
        <w:t xml:space="preserve">April 30, 2027 </w:t>
      </w:r>
      <w:r>
        <w:rPr>
          <w:rFonts w:ascii="Times New Roman;Times;serif" w:hAnsi="Times New Roman;Times;serif"/>
          <w:sz w:val="20"/>
        </w:rPr>
        <w:t>with monthly rental payments of approximately $5,000. The Company’s other operating leases for items such as IT equipment and storage space are either short-term in nature or immaterial.</w:t>
      </w:r>
    </w:p>
    <w:p>
      <w:pPr>
        <w:pStyle w:val="TextBody"/>
        <w:bidi w:val="0"/>
        <w:spacing w:before="0" w:after="0"/>
        <w:ind w:left="0" w:right="0" w:hanging="0"/>
        <w:jc w:val="left"/>
        <w:rPr/>
      </w:pPr>
      <w:r>
        <w:rPr/>
        <w:t> </w:t>
      </w:r>
    </w:p>
    <w:p>
      <w:pPr>
        <w:pStyle w:val="TextBody"/>
        <w:bidi w:val="0"/>
        <w:spacing w:before="0" w:after="0"/>
        <w:ind w:left="0" w:right="0" w:firstLine="490"/>
        <w:jc w:val="both"/>
        <w:rPr/>
      </w:pPr>
      <w:r>
        <w:rPr>
          <w:rFonts w:ascii="Times New Roman;Times;serif" w:hAnsi="Times New Roman;Times;serif"/>
          <w:sz w:val="20"/>
        </w:rPr>
        <w:t xml:space="preserve">In </w:t>
      </w:r>
      <w:r>
        <w:rPr>
          <w:rStyle w:val="Emphasis"/>
          <w:rFonts w:ascii="Times New Roman;Times;serif" w:hAnsi="Times New Roman;Times;serif"/>
          <w:sz w:val="20"/>
        </w:rPr>
        <w:t xml:space="preserve">October 2019, </w:t>
      </w:r>
      <w:r>
        <w:rPr>
          <w:rFonts w:ascii="Times New Roman;Times;serif" w:hAnsi="Times New Roman;Times;serif"/>
          <w:sz w:val="20"/>
        </w:rPr>
        <w:t>the Company acquired equipment under a 5-year finance lease arrangement with a financed amount of approximately $0.5 million and a monthly payment of approximately $9,000.</w:t>
      </w:r>
    </w:p>
    <w:p>
      <w:pPr>
        <w:pStyle w:val="TextBody"/>
        <w:bidi w:val="0"/>
        <w:spacing w:before="0" w:after="0"/>
        <w:ind w:left="0" w:right="0" w:hanging="0"/>
        <w:jc w:val="left"/>
        <w:rPr/>
      </w:pPr>
      <w:r>
        <w:rPr/>
        <w:t> </w:t>
      </w:r>
    </w:p>
    <w:p>
      <w:pPr>
        <w:pStyle w:val="TextBody"/>
        <w:bidi w:val="0"/>
        <w:spacing w:before="0" w:after="0"/>
        <w:ind w:left="0" w:right="0" w:firstLine="490"/>
        <w:jc w:val="both"/>
        <w:rPr/>
      </w:pPr>
      <w:r>
        <w:rPr>
          <w:rFonts w:ascii="Times New Roman;Times;serif" w:hAnsi="Times New Roman;Times;serif"/>
          <w:sz w:val="20"/>
        </w:rPr>
        <w:t xml:space="preserve">The components of expense related to leases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June 30, 2024</w:t>
      </w:r>
      <w:r>
        <w:rPr>
          <w:rFonts w:ascii="Times New Roman;Times;serif" w:hAnsi="Times New Roman;Times;serif"/>
          <w:sz w:val="20"/>
        </w:rPr>
        <w:t xml:space="preserve"> and </w:t>
      </w:r>
      <w:r>
        <w:rPr>
          <w:rStyle w:val="Emphasis"/>
          <w:rFonts w:ascii="Times New Roman;Times;serif" w:hAnsi="Times New Roman;Times;serif"/>
          <w:sz w:val="20"/>
        </w:rPr>
        <w:t>2023</w:t>
      </w:r>
      <w:r>
        <w:rPr>
          <w:rFonts w:ascii="Times New Roman;Times;serif" w:hAnsi="Times New Roman;Times;serif"/>
          <w:sz w:val="20"/>
        </w:rPr>
        <w:t xml:space="preserve"> are as follows (in thousands):</w:t>
      </w:r>
    </w:p>
    <w:p>
      <w:pPr>
        <w:pStyle w:val="TextBody"/>
        <w:bidi w:val="0"/>
        <w:spacing w:before="0" w:after="0"/>
        <w:ind w:left="0" w:right="0" w:firstLine="490"/>
        <w:jc w:val="both"/>
        <w:rPr/>
      </w:pPr>
      <w:r>
        <w:rPr/>
        <w:t> </w:t>
      </w:r>
    </w:p>
    <w:tbl>
      <w:tblPr>
        <w:tblW w:w="5316" w:type="dxa"/>
        <w:jc w:val="left"/>
        <w:tblInd w:w="0" w:type="dxa"/>
        <w:tblLayout w:type="fixed"/>
        <w:tblCellMar>
          <w:top w:w="0" w:type="dxa"/>
          <w:left w:w="0" w:type="dxa"/>
          <w:bottom w:w="0" w:type="dxa"/>
          <w:right w:w="0" w:type="dxa"/>
        </w:tblCellMar>
      </w:tblPr>
      <w:tblGrid>
        <w:gridCol w:w="3440"/>
        <w:gridCol w:w="60"/>
        <w:gridCol w:w="255"/>
        <w:gridCol w:w="532"/>
        <w:gridCol w:w="122"/>
        <w:gridCol w:w="122"/>
        <w:gridCol w:w="255"/>
        <w:gridCol w:w="470"/>
        <w:gridCol w:w="60"/>
      </w:tblGrid>
      <w:tr>
        <w:trPr/>
        <w:tc>
          <w:tcPr>
            <w:tcW w:w="34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6"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60" w:type="dxa"/>
            <w:tcBorders/>
            <w:shd w:fill="FFFFFF" w:val="cle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122"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 – amortization of ROU asset</w:t>
            </w:r>
          </w:p>
        </w:tc>
        <w:tc>
          <w:tcPr>
            <w:tcW w:w="60" w:type="dxa"/>
            <w:tcBorders/>
            <w:shd w:fill="CCEEFF" w:val="clear"/>
            <w:vAlign w:val="center"/>
          </w:tcPr>
          <w:p>
            <w:pPr>
              <w:pStyle w:val="TableContents"/>
              <w:bidi w:val="0"/>
              <w:spacing w:before="0" w:after="283"/>
              <w:ind w:left="0" w:right="0" w:hanging="0"/>
              <w:jc w:val="left"/>
              <w:rPr/>
            </w:pPr>
            <w:r>
              <w:rPr/>
              <w:t> </w:t>
            </w:r>
          </w:p>
        </w:tc>
        <w:tc>
          <w:tcPr>
            <w:tcW w:w="25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122"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25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60" w:type="dxa"/>
            <w:tcBorders/>
            <w:shd w:fill="CCEEFF" w:val="cle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 – interest on lease liability</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ind w:left="0" w:right="0" w:hanging="0"/>
              <w:jc w:val="left"/>
              <w:rPr/>
            </w:pPr>
            <w:r>
              <w:rPr/>
              <w:t> </w:t>
            </w:r>
          </w:p>
        </w:tc>
        <w:tc>
          <w:tcPr>
            <w:tcW w:w="532" w:type="dxa"/>
            <w:tcBorders/>
            <w:shd w:fill="FFFFFF" w:val="clear"/>
            <w:vAlign w:val="center"/>
          </w:tcPr>
          <w:p>
            <w:pPr>
              <w:pStyle w:val="TableContents"/>
              <w:bidi w:val="0"/>
              <w:spacing w:before="0" w:after="283"/>
              <w:ind w:left="0" w:right="0" w:hanging="0"/>
              <w:jc w:val="right"/>
              <w:rPr/>
            </w:pPr>
            <w:r>
              <w:rPr/>
              <w:t>—</w:t>
            </w:r>
          </w:p>
        </w:tc>
        <w:tc>
          <w:tcPr>
            <w:tcW w:w="122"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ind w:left="0" w:right="0" w:hanging="0"/>
              <w:jc w:val="left"/>
              <w:rPr/>
            </w:pPr>
            <w:r>
              <w:rPr/>
              <w:t> </w:t>
            </w:r>
          </w:p>
        </w:tc>
        <w:tc>
          <w:tcPr>
            <w:tcW w:w="4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FFFFFF" w:val="clear"/>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expense</w:t>
            </w:r>
          </w:p>
        </w:tc>
        <w:tc>
          <w:tcPr>
            <w:tcW w:w="60" w:type="dxa"/>
            <w:tcBorders/>
            <w:shd w:fill="CCEEFF" w:val="clear"/>
            <w:vAlign w:val="center"/>
          </w:tcPr>
          <w:p>
            <w:pPr>
              <w:pStyle w:val="TableContents"/>
              <w:bidi w:val="0"/>
              <w:spacing w:before="0" w:after="283"/>
              <w:jc w:val="left"/>
              <w:rPr/>
            </w:pPr>
            <w:r>
              <w:rPr/>
              <w:t> </w:t>
            </w:r>
          </w:p>
        </w:tc>
        <w:tc>
          <w:tcPr>
            <w:tcW w:w="2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122"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2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w:t>
            </w:r>
          </w:p>
        </w:tc>
        <w:tc>
          <w:tcPr>
            <w:tcW w:w="60" w:type="dxa"/>
            <w:tcBorders/>
            <w:shd w:fill="CCEEFF" w:val="cle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w:t>
            </w:r>
          </w:p>
        </w:tc>
        <w:tc>
          <w:tcPr>
            <w:tcW w:w="122"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25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490"/>
        <w:jc w:val="both"/>
        <w:rPr/>
      </w:pPr>
      <w:r>
        <w:rPr/>
        <w:t> </w:t>
      </w:r>
    </w:p>
    <w:p>
      <w:pPr>
        <w:pStyle w:val="TextBody"/>
        <w:bidi w:val="0"/>
        <w:spacing w:before="0" w:after="0"/>
        <w:ind w:left="0" w:right="0" w:firstLine="490"/>
        <w:jc w:val="both"/>
        <w:rPr/>
      </w:pPr>
      <w:r>
        <w:rPr>
          <w:rFonts w:ascii="Times New Roman;Times;serif" w:hAnsi="Times New Roman;Times;serif"/>
          <w:sz w:val="20"/>
        </w:rPr>
        <w:t xml:space="preserve">The following table illustrates the balance sheet classification for ROU assets and lease liabilities as of </w:t>
      </w:r>
      <w:r>
        <w:rPr>
          <w:rStyle w:val="Emphasis"/>
          <w:rFonts w:ascii="Times New Roman;Times;serif" w:hAnsi="Times New Roman;Times;serif"/>
          <w:sz w:val="20"/>
        </w:rPr>
        <w:t>June 30, 2024</w:t>
      </w:r>
      <w:r>
        <w:rPr>
          <w:rFonts w:ascii="Times New Roman;Times;serif" w:hAnsi="Times New Roman;Times;serif"/>
          <w:sz w:val="20"/>
        </w:rPr>
        <w:t xml:space="preserve"> and </w:t>
      </w:r>
      <w:r>
        <w:rPr>
          <w:rStyle w:val="Emphasis"/>
          <w:rFonts w:ascii="Times New Roman;Times;serif" w:hAnsi="Times New Roman;Times;serif"/>
          <w:sz w:val="20"/>
        </w:rPr>
        <w:t>March 31, 2024</w:t>
      </w:r>
      <w:r>
        <w:rPr>
          <w:rFonts w:ascii="Times New Roman;Times;serif" w:hAnsi="Times New Roman;Times;serif"/>
          <w:sz w:val="20"/>
        </w:rPr>
        <w:t> (in thousands):</w:t>
      </w:r>
    </w:p>
    <w:p>
      <w:pPr>
        <w:pStyle w:val="TextBody"/>
        <w:bidi w:val="0"/>
        <w:spacing w:before="0" w:after="0"/>
        <w:ind w:left="0" w:right="0" w:firstLine="490"/>
        <w:jc w:val="both"/>
        <w:rPr/>
      </w:pPr>
      <w:r>
        <w:rPr/>
        <w:t> </w:t>
      </w:r>
    </w:p>
    <w:tbl>
      <w:tblPr>
        <w:tblW w:w="8568" w:type="dxa"/>
        <w:jc w:val="left"/>
        <w:tblInd w:w="0" w:type="dxa"/>
        <w:tblLayout w:type="fixed"/>
        <w:tblCellMar>
          <w:top w:w="0" w:type="dxa"/>
          <w:left w:w="0" w:type="dxa"/>
          <w:bottom w:w="0" w:type="dxa"/>
          <w:right w:w="0" w:type="dxa"/>
        </w:tblCellMar>
      </w:tblPr>
      <w:tblGrid>
        <w:gridCol w:w="3020"/>
        <w:gridCol w:w="60"/>
        <w:gridCol w:w="243"/>
        <w:gridCol w:w="946"/>
        <w:gridCol w:w="60"/>
        <w:gridCol w:w="60"/>
        <w:gridCol w:w="274"/>
        <w:gridCol w:w="1065"/>
        <w:gridCol w:w="60"/>
        <w:gridCol w:w="2780"/>
      </w:tblGrid>
      <w:tr>
        <w:trPr/>
        <w:tc>
          <w:tcPr>
            <w:tcW w:w="30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 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 2024</w:t>
            </w:r>
          </w:p>
        </w:tc>
        <w:tc>
          <w:tcPr>
            <w:tcW w:w="60" w:type="dxa"/>
            <w:tcBorders/>
            <w:shd w:fill="FFFFFF" w:val="clear"/>
            <w:vAlign w:val="center"/>
          </w:tcPr>
          <w:p>
            <w:pPr>
              <w:pStyle w:val="TableContents"/>
              <w:bidi w:val="0"/>
              <w:spacing w:before="0" w:after="283"/>
              <w:ind w:left="0" w:right="0" w:hanging="0"/>
              <w:jc w:val="left"/>
              <w:rPr/>
            </w:pPr>
            <w:r>
              <w:rPr/>
              <w:t> </w:t>
            </w:r>
          </w:p>
        </w:tc>
        <w:tc>
          <w:tcPr>
            <w:tcW w:w="278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Balance Sheet Classification</w:t>
            </w:r>
          </w:p>
        </w:tc>
      </w:tr>
      <w:tr>
        <w:trPr/>
        <w:tc>
          <w:tcPr>
            <w:tcW w:w="30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Operating lease right-of-use asset</w:t>
            </w:r>
          </w:p>
        </w:tc>
        <w:tc>
          <w:tcPr>
            <w:tcW w:w="60" w:type="dxa"/>
            <w:tcBorders/>
            <w:shd w:fill="FFFFFF" w:val="clear"/>
            <w:vAlign w:val="center"/>
          </w:tcPr>
          <w:p>
            <w:pPr>
              <w:pStyle w:val="TableContents"/>
              <w:bidi w:val="0"/>
              <w:spacing w:before="0" w:after="283"/>
              <w:ind w:left="0" w:right="0" w:hanging="0"/>
              <w:jc w:val="left"/>
              <w:rPr/>
            </w:pPr>
            <w:r>
              <w:rPr/>
              <w:t> </w:t>
            </w:r>
          </w:p>
        </w:tc>
        <w:tc>
          <w:tcPr>
            <w:tcW w:w="243"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6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2,841</w:t>
            </w:r>
          </w:p>
        </w:tc>
        <w:tc>
          <w:tcPr>
            <w:tcW w:w="60" w:type="dxa"/>
            <w:tcBorders/>
            <w:shd w:fill="FFFFFF" w:val="clear"/>
            <w:vAlign w:val="center"/>
          </w:tcPr>
          <w:p>
            <w:pPr>
              <w:pStyle w:val="TableContents"/>
              <w:bidi w:val="0"/>
              <w:spacing w:before="0" w:after="283"/>
              <w:ind w:left="0" w:right="0" w:hanging="0"/>
              <w:jc w:val="left"/>
              <w:rPr/>
            </w:pPr>
            <w:r>
              <w:rPr/>
              <w:t> </w:t>
            </w:r>
          </w:p>
        </w:tc>
        <w:tc>
          <w:tcPr>
            <w:tcW w:w="2780" w:type="dxa"/>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Operating lease right-of-use asset</w:t>
            </w:r>
          </w:p>
        </w:tc>
      </w:tr>
      <w:tr>
        <w:trPr/>
        <w:tc>
          <w:tcPr>
            <w:tcW w:w="302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Finance lease right-of-use asset</w:t>
            </w:r>
          </w:p>
        </w:tc>
        <w:tc>
          <w:tcPr>
            <w:tcW w:w="60" w:type="dxa"/>
            <w:tcBorders/>
            <w:shd w:fill="CCEEFF" w:val="clear"/>
            <w:vAlign w:val="center"/>
          </w:tcPr>
          <w:p>
            <w:pPr>
              <w:pStyle w:val="TableContents"/>
              <w:bidi w:val="0"/>
              <w:spacing w:before="0" w:after="283"/>
              <w:jc w:val="left"/>
              <w:rPr/>
            </w:pPr>
            <w:r>
              <w:rPr/>
              <w:t> </w:t>
            </w:r>
          </w:p>
        </w:tc>
        <w:tc>
          <w:tcPr>
            <w:tcW w:w="2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404</w:t>
            </w:r>
          </w:p>
        </w:tc>
        <w:tc>
          <w:tcPr>
            <w:tcW w:w="60" w:type="dxa"/>
            <w:tcBorders/>
            <w:shd w:fill="CCEEFF" w:val="clear"/>
            <w:vAlign w:val="center"/>
          </w:tcPr>
          <w:p>
            <w:pPr>
              <w:pStyle w:val="TableContents"/>
              <w:bidi w:val="0"/>
              <w:spacing w:before="0" w:after="283"/>
              <w:ind w:left="0" w:right="0" w:hanging="0"/>
              <w:jc w:val="left"/>
              <w:rPr/>
            </w:pPr>
            <w:r>
              <w:rPr/>
              <w:t> </w:t>
            </w:r>
          </w:p>
        </w:tc>
        <w:tc>
          <w:tcPr>
            <w:tcW w:w="2780" w:type="dxa"/>
            <w:tcBorders/>
            <w:shd w:fill="CCEE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Property, plant &amp; equipment</w:t>
            </w:r>
          </w:p>
        </w:tc>
      </w:tr>
      <w:tr>
        <w:trPr/>
        <w:tc>
          <w:tcPr>
            <w:tcW w:w="3020"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Total right-of-use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2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6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3,245</w:t>
            </w:r>
          </w:p>
        </w:tc>
        <w:tc>
          <w:tcPr>
            <w:tcW w:w="60" w:type="dxa"/>
            <w:tcBorders/>
            <w:shd w:fill="FFFFFF" w:val="clear"/>
            <w:vAlign w:val="center"/>
          </w:tcPr>
          <w:p>
            <w:pPr>
              <w:pStyle w:val="TableContents"/>
              <w:bidi w:val="0"/>
              <w:spacing w:before="0" w:after="283"/>
              <w:jc w:val="left"/>
              <w:rPr/>
            </w:pPr>
            <w:r>
              <w:rPr/>
              <w:t> </w:t>
            </w:r>
          </w:p>
        </w:tc>
        <w:tc>
          <w:tcPr>
            <w:tcW w:w="2780" w:type="dxa"/>
            <w:tcBorders/>
            <w:shd w:fill="FFFFFF" w:val="clear"/>
            <w:vAlign w:val="center"/>
          </w:tcPr>
          <w:p>
            <w:pPr>
              <w:pStyle w:val="TableContents"/>
              <w:bidi w:val="0"/>
              <w:spacing w:before="0" w:after="283"/>
              <w:jc w:val="left"/>
              <w:rPr/>
            </w:pPr>
            <w:r>
              <w:rPr>
                <w:rStyle w:val="Emphasis"/>
              </w:rPr>
              <w:t> </w:t>
            </w:r>
          </w:p>
        </w:tc>
      </w:tr>
      <w:tr>
        <w:trPr/>
        <w:tc>
          <w:tcPr>
            <w:tcW w:w="30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Liabilities</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Operating lease liability, current</w:t>
            </w:r>
          </w:p>
        </w:tc>
        <w:tc>
          <w:tcPr>
            <w:tcW w:w="60" w:type="dxa"/>
            <w:tcBorders/>
            <w:shd w:fill="FFFFFF" w:val="clear"/>
            <w:vAlign w:val="center"/>
          </w:tcPr>
          <w:p>
            <w:pPr>
              <w:pStyle w:val="TableContents"/>
              <w:bidi w:val="0"/>
              <w:spacing w:before="0" w:after="283"/>
              <w:ind w:left="0" w:right="0" w:hanging="0"/>
              <w:jc w:val="left"/>
              <w:rPr/>
            </w:pPr>
            <w:r>
              <w:rPr/>
              <w:t> </w:t>
            </w:r>
          </w:p>
        </w:tc>
        <w:tc>
          <w:tcPr>
            <w:tcW w:w="243"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6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w:t>
            </w:r>
          </w:p>
        </w:tc>
        <w:tc>
          <w:tcPr>
            <w:tcW w:w="60" w:type="dxa"/>
            <w:tcBorders/>
            <w:shd w:fill="FFFFFF" w:val="clear"/>
            <w:vAlign w:val="center"/>
          </w:tcPr>
          <w:p>
            <w:pPr>
              <w:pStyle w:val="TableContents"/>
              <w:bidi w:val="0"/>
              <w:spacing w:before="0" w:after="283"/>
              <w:ind w:left="0" w:right="0" w:hanging="0"/>
              <w:jc w:val="left"/>
              <w:rPr/>
            </w:pPr>
            <w:r>
              <w:rPr/>
              <w:t> </w:t>
            </w:r>
          </w:p>
        </w:tc>
        <w:tc>
          <w:tcPr>
            <w:tcW w:w="2780" w:type="dxa"/>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Accrued expenses</w:t>
            </w:r>
          </w:p>
        </w:tc>
      </w:tr>
      <w:tr>
        <w:trPr/>
        <w:tc>
          <w:tcPr>
            <w:tcW w:w="302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Finance lease liability, current</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ind w:left="0" w:right="0" w:hanging="0"/>
              <w:jc w:val="left"/>
              <w:rPr/>
            </w:pPr>
            <w:r>
              <w:rPr/>
              <w:t> </w:t>
            </w:r>
          </w:p>
        </w:tc>
        <w:tc>
          <w:tcPr>
            <w:tcW w:w="94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ind w:left="0" w:right="0" w:hanging="0"/>
              <w:jc w:val="left"/>
              <w:rPr/>
            </w:pPr>
            <w:r>
              <w:rPr/>
              <w:t> </w:t>
            </w:r>
          </w:p>
        </w:tc>
        <w:tc>
          <w:tcPr>
            <w:tcW w:w="106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w:t>
            </w:r>
          </w:p>
        </w:tc>
        <w:tc>
          <w:tcPr>
            <w:tcW w:w="60" w:type="dxa"/>
            <w:tcBorders/>
            <w:shd w:fill="CCEEFF" w:val="clear"/>
            <w:vAlign w:val="center"/>
          </w:tcPr>
          <w:p>
            <w:pPr>
              <w:pStyle w:val="TableContents"/>
              <w:bidi w:val="0"/>
              <w:spacing w:before="0" w:after="283"/>
              <w:ind w:left="0" w:right="0" w:hanging="0"/>
              <w:jc w:val="left"/>
              <w:rPr/>
            </w:pPr>
            <w:r>
              <w:rPr/>
              <w:t> </w:t>
            </w:r>
          </w:p>
        </w:tc>
        <w:tc>
          <w:tcPr>
            <w:tcW w:w="2780" w:type="dxa"/>
            <w:tcBorders/>
            <w:shd w:fill="CCEE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Current portion of finance lease</w:t>
            </w:r>
          </w:p>
        </w:tc>
      </w:tr>
      <w:tr>
        <w:trPr/>
        <w:tc>
          <w:tcPr>
            <w:tcW w:w="302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Operating lease liability, non-current</w:t>
            </w:r>
          </w:p>
        </w:tc>
        <w:tc>
          <w:tcPr>
            <w:tcW w:w="60" w:type="dxa"/>
            <w:tcBorders/>
            <w:shd w:fill="FFFFFF" w:val="clear"/>
            <w:vAlign w:val="center"/>
          </w:tcPr>
          <w:p>
            <w:pPr>
              <w:pStyle w:val="TableContents"/>
              <w:bidi w:val="0"/>
              <w:spacing w:before="0" w:after="283"/>
              <w:jc w:val="left"/>
              <w:rPr/>
            </w:pPr>
            <w:r>
              <w:rPr/>
              <w:t> </w:t>
            </w:r>
          </w:p>
        </w:tc>
        <w:tc>
          <w:tcPr>
            <w:tcW w:w="2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2,782</w:t>
            </w:r>
          </w:p>
        </w:tc>
        <w:tc>
          <w:tcPr>
            <w:tcW w:w="60" w:type="dxa"/>
            <w:tcBorders/>
            <w:shd w:fill="FFFFFF" w:val="clear"/>
            <w:vAlign w:val="center"/>
          </w:tcPr>
          <w:p>
            <w:pPr>
              <w:pStyle w:val="TableContents"/>
              <w:bidi w:val="0"/>
              <w:spacing w:before="0" w:after="283"/>
              <w:ind w:left="0" w:right="0" w:hanging="0"/>
              <w:jc w:val="left"/>
              <w:rPr/>
            </w:pPr>
            <w:r>
              <w:rPr/>
              <w:t> </w:t>
            </w:r>
          </w:p>
        </w:tc>
        <w:tc>
          <w:tcPr>
            <w:tcW w:w="2780" w:type="dxa"/>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Non-current lease liabilities</w:t>
            </w:r>
          </w:p>
        </w:tc>
      </w:tr>
      <w:tr>
        <w:trPr/>
        <w:tc>
          <w:tcPr>
            <w:tcW w:w="3020"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Total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2,937</w:t>
            </w:r>
          </w:p>
        </w:tc>
        <w:tc>
          <w:tcPr>
            <w:tcW w:w="60" w:type="dxa"/>
            <w:tcBorders/>
            <w:shd w:fill="CCEEFF" w:val="clear"/>
            <w:vAlign w:val="center"/>
          </w:tcPr>
          <w:p>
            <w:pPr>
              <w:pStyle w:val="TableContents"/>
              <w:bidi w:val="0"/>
              <w:spacing w:before="0" w:after="283"/>
              <w:jc w:val="left"/>
              <w:rPr/>
            </w:pPr>
            <w:r>
              <w:rPr/>
              <w:t> </w:t>
            </w:r>
          </w:p>
        </w:tc>
        <w:tc>
          <w:tcPr>
            <w:tcW w:w="2780" w:type="dxa"/>
            <w:tcBorders/>
            <w:shd w:fill="CCEEFF" w:val="clear"/>
            <w:vAlign w:val="center"/>
          </w:tcPr>
          <w:p>
            <w:pPr>
              <w:pStyle w:val="TableContents"/>
              <w:bidi w:val="0"/>
              <w:spacing w:before="0" w:after="283"/>
              <w:jc w:val="left"/>
              <w:rPr/>
            </w:pPr>
            <w:r>
              <w:rPr>
                <w:rStyle w:val="Emphasis"/>
              </w:rPr>
              <w:t> </w:t>
            </w:r>
          </w:p>
        </w:tc>
      </w:tr>
    </w:tbl>
    <w:p>
      <w:pPr>
        <w:pStyle w:val="TextBody"/>
        <w:bidi w:val="0"/>
        <w:spacing w:before="0" w:after="0"/>
        <w:ind w:left="0" w:right="0" w:firstLine="490"/>
        <w:jc w:val="both"/>
        <w:rPr/>
      </w:pPr>
      <w:r>
        <w:rPr/>
        <w:t> </w:t>
      </w:r>
    </w:p>
    <w:p>
      <w:pPr>
        <w:pStyle w:val="TextBody"/>
        <w:bidi w:val="0"/>
        <w:spacing w:before="0" w:after="0"/>
        <w:ind w:left="0" w:right="0" w:firstLine="490"/>
        <w:jc w:val="both"/>
        <w:rPr/>
      </w:pPr>
      <w:r>
        <w:rPr>
          <w:rFonts w:ascii="Times New Roman;Times;serif" w:hAnsi="Times New Roman;Times;serif"/>
          <w:sz w:val="20"/>
        </w:rPr>
        <w:t xml:space="preserve">As of </w:t>
      </w:r>
      <w:r>
        <w:rPr>
          <w:rStyle w:val="Emphasis"/>
          <w:rFonts w:ascii="Times New Roman;Times;serif" w:hAnsi="Times New Roman;Times;serif"/>
          <w:sz w:val="20"/>
        </w:rPr>
        <w:t>June 30, 2024</w:t>
      </w:r>
      <w:r>
        <w:rPr>
          <w:rFonts w:ascii="Times New Roman;Times;serif" w:hAnsi="Times New Roman;Times;serif"/>
          <w:sz w:val="20"/>
        </w:rPr>
        <w:t>, the weighted-average remaining lease term was 19.5 years for operating leases and 0.2 years for finance leases. The weighted average discount rate was 7.5% for operating leases and 1.9% fo</w:t>
      </w:r>
      <w:r>
        <w:rPr>
          <w:rFonts w:ascii="Times New Roman;Times;serif" w:hAnsi="Times New Roman;Times;serif"/>
          <w:sz w:val="20"/>
          <w:shd w:fill="FFFFFF" w:val="clear"/>
        </w:rPr>
        <w:t>r finance leases.</w:t>
      </w:r>
    </w:p>
    <w:p>
      <w:pPr>
        <w:pStyle w:val="TextBody"/>
        <w:bidi w:val="0"/>
        <w:spacing w:before="0" w:after="0"/>
        <w:ind w:left="0" w:right="0" w:hanging="0"/>
        <w:jc w:val="left"/>
        <w:rPr/>
      </w:pPr>
      <w:r>
        <w:rPr/>
        <w:t> </w:t>
      </w:r>
    </w:p>
    <w:p>
      <w:pPr>
        <w:pStyle w:val="TextBody"/>
        <w:bidi w:val="0"/>
        <w:spacing w:before="0" w:after="0"/>
        <w:ind w:left="0" w:right="0" w:firstLine="490"/>
        <w:jc w:val="both"/>
        <w:rPr/>
      </w:pPr>
      <w:r>
        <w:rPr>
          <w:rFonts w:ascii="Times New Roman;Times;serif" w:hAnsi="Times New Roman;Times;serif"/>
          <w:sz w:val="20"/>
        </w:rPr>
        <w:t xml:space="preserve">Maturities of lease liabilities as of </w:t>
      </w:r>
      <w:r>
        <w:rPr>
          <w:rStyle w:val="Emphasis"/>
          <w:rFonts w:ascii="Times New Roman;Times;serif" w:hAnsi="Times New Roman;Times;serif"/>
          <w:sz w:val="20"/>
        </w:rPr>
        <w:t>June 30, 2024</w:t>
      </w:r>
      <w:r>
        <w:rPr>
          <w:rFonts w:ascii="Times New Roman;Times;serif" w:hAnsi="Times New Roman;Times;serif"/>
          <w:sz w:val="20"/>
        </w:rPr>
        <w:t xml:space="preserve"> were as follows (in thousands):</w:t>
      </w:r>
    </w:p>
    <w:p>
      <w:pPr>
        <w:pStyle w:val="TextBody"/>
        <w:bidi w:val="0"/>
        <w:spacing w:before="0" w:after="0"/>
        <w:ind w:left="0" w:right="0" w:firstLine="490"/>
        <w:jc w:val="both"/>
        <w:rPr/>
      </w:pPr>
      <w:r>
        <w:rPr/>
        <w:t> </w:t>
      </w:r>
    </w:p>
    <w:tbl>
      <w:tblPr>
        <w:tblW w:w="6048" w:type="dxa"/>
        <w:jc w:val="left"/>
        <w:tblInd w:w="0" w:type="dxa"/>
        <w:tblLayout w:type="fixed"/>
        <w:tblCellMar>
          <w:top w:w="0" w:type="dxa"/>
          <w:left w:w="0" w:type="dxa"/>
          <w:bottom w:w="0" w:type="dxa"/>
          <w:right w:w="0" w:type="dxa"/>
        </w:tblCellMar>
      </w:tblPr>
      <w:tblGrid>
        <w:gridCol w:w="3020"/>
        <w:gridCol w:w="60"/>
        <w:gridCol w:w="271"/>
        <w:gridCol w:w="1188"/>
        <w:gridCol w:w="80"/>
        <w:gridCol w:w="60"/>
        <w:gridCol w:w="424"/>
        <w:gridCol w:w="885"/>
        <w:gridCol w:w="60"/>
      </w:tblGrid>
      <w:tr>
        <w:trPr/>
        <w:tc>
          <w:tcPr>
            <w:tcW w:w="30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Operating Leases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Finance Leases</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Fiscal 2025 (remainder of fiscal year)</w:t>
            </w:r>
          </w:p>
        </w:tc>
        <w:tc>
          <w:tcPr>
            <w:tcW w:w="6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ind w:left="0" w:right="0" w:hanging="0"/>
              <w:jc w:val="left"/>
              <w:rPr/>
            </w:pPr>
            <w:r>
              <w:rPr/>
              <w:t> </w:t>
            </w:r>
          </w:p>
        </w:tc>
        <w:tc>
          <w:tcPr>
            <w:tcW w:w="11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4" w:type="dxa"/>
            <w:tcBorders/>
            <w:shd w:fill="CCEEFF" w:val="clear"/>
            <w:vAlign w:val="center"/>
          </w:tcPr>
          <w:p>
            <w:pPr>
              <w:pStyle w:val="TableContents"/>
              <w:bidi w:val="0"/>
              <w:spacing w:before="0" w:after="283"/>
              <w:ind w:left="0" w:right="0" w:hanging="0"/>
              <w:jc w:val="left"/>
              <w:rPr/>
            </w:pPr>
            <w:r>
              <w:rPr/>
              <w:t> </w:t>
            </w:r>
          </w:p>
        </w:tc>
        <w:tc>
          <w:tcPr>
            <w:tcW w:w="8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6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Fiscal 2026</w:t>
            </w:r>
          </w:p>
        </w:tc>
        <w:tc>
          <w:tcPr>
            <w:tcW w:w="60"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ind w:left="0" w:right="0" w:hanging="0"/>
              <w:jc w:val="left"/>
              <w:rPr/>
            </w:pPr>
            <w:r>
              <w:rPr/>
              <w:t> </w:t>
            </w:r>
          </w:p>
        </w:tc>
        <w:tc>
          <w:tcPr>
            <w:tcW w:w="11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4" w:type="dxa"/>
            <w:tcBorders/>
            <w:shd w:fill="FFFFFF" w:val="clear"/>
            <w:vAlign w:val="center"/>
          </w:tcPr>
          <w:p>
            <w:pPr>
              <w:pStyle w:val="TableContents"/>
              <w:bidi w:val="0"/>
              <w:spacing w:before="0" w:after="283"/>
              <w:ind w:left="0" w:right="0" w:hanging="0"/>
              <w:jc w:val="left"/>
              <w:rPr/>
            </w:pPr>
            <w:r>
              <w:rPr/>
              <w:t> </w:t>
            </w:r>
          </w:p>
        </w:tc>
        <w:tc>
          <w:tcPr>
            <w:tcW w:w="88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Fiscal 2027</w:t>
            </w:r>
          </w:p>
        </w:tc>
        <w:tc>
          <w:tcPr>
            <w:tcW w:w="6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ind w:left="0" w:right="0" w:hanging="0"/>
              <w:jc w:val="left"/>
              <w:rPr/>
            </w:pPr>
            <w:r>
              <w:rPr/>
              <w:t> </w:t>
            </w:r>
          </w:p>
        </w:tc>
        <w:tc>
          <w:tcPr>
            <w:tcW w:w="11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4" w:type="dxa"/>
            <w:tcBorders/>
            <w:shd w:fill="CCEEFF" w:val="clear"/>
            <w:vAlign w:val="center"/>
          </w:tcPr>
          <w:p>
            <w:pPr>
              <w:pStyle w:val="TableContents"/>
              <w:bidi w:val="0"/>
              <w:spacing w:before="0" w:after="283"/>
              <w:ind w:left="0" w:right="0" w:hanging="0"/>
              <w:jc w:val="left"/>
              <w:rPr/>
            </w:pPr>
            <w:r>
              <w:rPr/>
              <w:t> </w:t>
            </w:r>
          </w:p>
        </w:tc>
        <w:tc>
          <w:tcPr>
            <w:tcW w:w="88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Fiscal 2028</w:t>
            </w:r>
          </w:p>
        </w:tc>
        <w:tc>
          <w:tcPr>
            <w:tcW w:w="60"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ind w:left="0" w:right="0" w:hanging="0"/>
              <w:jc w:val="left"/>
              <w:rPr/>
            </w:pPr>
            <w:r>
              <w:rPr/>
              <w:t> </w:t>
            </w:r>
          </w:p>
        </w:tc>
        <w:tc>
          <w:tcPr>
            <w:tcW w:w="11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4" w:type="dxa"/>
            <w:tcBorders/>
            <w:shd w:fill="FFFFFF" w:val="clear"/>
            <w:vAlign w:val="center"/>
          </w:tcPr>
          <w:p>
            <w:pPr>
              <w:pStyle w:val="TableContents"/>
              <w:bidi w:val="0"/>
              <w:spacing w:before="0" w:after="283"/>
              <w:ind w:left="0" w:right="0" w:hanging="0"/>
              <w:jc w:val="left"/>
              <w:rPr/>
            </w:pPr>
            <w:r>
              <w:rPr/>
              <w:t> </w:t>
            </w:r>
          </w:p>
        </w:tc>
        <w:tc>
          <w:tcPr>
            <w:tcW w:w="88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Fiscal 2029 and beyond</w:t>
            </w:r>
          </w:p>
        </w:tc>
        <w:tc>
          <w:tcPr>
            <w:tcW w:w="60" w:type="dxa"/>
            <w:tcBorders/>
            <w:shd w:fill="CCEEFF" w:val="clear"/>
            <w:vAlign w:val="center"/>
          </w:tcPr>
          <w:p>
            <w:pPr>
              <w:pStyle w:val="TableContents"/>
              <w:bidi w:val="0"/>
              <w:spacing w:before="0" w:after="283"/>
              <w:jc w:val="left"/>
              <w:rPr/>
            </w:pPr>
            <w:r>
              <w:rPr/>
              <w:t> </w:t>
            </w:r>
          </w:p>
        </w:tc>
        <w:tc>
          <w:tcPr>
            <w:tcW w:w="2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Total undiscounted lease payments</w:t>
            </w:r>
          </w:p>
        </w:tc>
        <w:tc>
          <w:tcPr>
            <w:tcW w:w="60" w:type="dxa"/>
            <w:tcBorders/>
            <w:shd w:fill="FFFFFF" w:val="clear"/>
            <w:vAlign w:val="center"/>
          </w:tcPr>
          <w:p>
            <w:pPr>
              <w:pStyle w:val="TableContents"/>
              <w:bidi w:val="0"/>
              <w:spacing w:before="0" w:after="283"/>
              <w:ind w:left="0" w:right="0" w:hanging="0"/>
              <w:jc w:val="left"/>
              <w:rPr/>
            </w:pPr>
            <w:r>
              <w:rPr/>
              <w:t> </w:t>
            </w:r>
          </w:p>
        </w:tc>
        <w:tc>
          <w:tcPr>
            <w:tcW w:w="27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Less: imputed interest</w:t>
            </w:r>
          </w:p>
        </w:tc>
        <w:tc>
          <w:tcPr>
            <w:tcW w:w="60" w:type="dxa"/>
            <w:tcBorders/>
            <w:shd w:fill="CCEEFF" w:val="clear"/>
            <w:vAlign w:val="center"/>
          </w:tcPr>
          <w:p>
            <w:pPr>
              <w:pStyle w:val="TableContents"/>
              <w:bidi w:val="0"/>
              <w:spacing w:before="0" w:after="283"/>
              <w:jc w:val="left"/>
              <w:rPr/>
            </w:pPr>
            <w:r>
              <w:rPr/>
              <w:t> </w:t>
            </w:r>
          </w:p>
        </w:tc>
        <w:tc>
          <w:tcPr>
            <w:tcW w:w="2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42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Present value of lease liability</w:t>
            </w:r>
          </w:p>
        </w:tc>
        <w:tc>
          <w:tcPr>
            <w:tcW w:w="60" w:type="dxa"/>
            <w:tcBorders/>
            <w:shd w:fill="FFFFFF" w:val="clear"/>
            <w:vAlign w:val="center"/>
          </w:tcPr>
          <w:p>
            <w:pPr>
              <w:pStyle w:val="TableContents"/>
              <w:bidi w:val="0"/>
              <w:spacing w:before="0" w:after="283"/>
              <w:ind w:left="0" w:right="0" w:hanging="0"/>
              <w:jc w:val="left"/>
              <w:rPr/>
            </w:pPr>
            <w:r>
              <w:rPr/>
              <w:t> </w:t>
            </w:r>
          </w:p>
        </w:tc>
        <w:tc>
          <w:tcPr>
            <w:tcW w:w="27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5"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27</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pPr>
      <w:r>
        <w:rPr>
          <w:rStyle w:val="Emphasis"/>
          <w:rFonts w:ascii="Times New Roman" w:hAnsi="Times New Roman"/>
          <w:sz w:val="20"/>
        </w:rPr>
        <w:t>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NOTE E — PROPERTY, PLANT AND EQUIPMENT</w:t>
      </w:r>
    </w:p>
    <w:p>
      <w:pPr>
        <w:pStyle w:val="TextBody"/>
        <w:bidi w:val="0"/>
        <w:spacing w:before="0" w:after="0"/>
        <w:ind w:left="0" w:right="0" w:firstLine="540"/>
        <w:jc w:val="both"/>
        <w:rPr/>
      </w:pPr>
      <w:r>
        <w:rPr/>
        <w:t> </w:t>
      </w:r>
    </w:p>
    <w:p>
      <w:pPr>
        <w:pStyle w:val="TextBody"/>
        <w:bidi w:val="0"/>
        <w:spacing w:before="0" w:after="0"/>
        <w:ind w:left="0" w:right="0" w:firstLine="540"/>
        <w:jc w:val="both"/>
        <w:rPr/>
      </w:pPr>
      <w:r>
        <w:rPr>
          <w:rFonts w:ascii="Times New Roman;Times;serif" w:hAnsi="Times New Roman;Times;serif"/>
          <w:sz w:val="20"/>
        </w:rPr>
        <w:t xml:space="preserve">At </w:t>
      </w:r>
      <w:r>
        <w:rPr>
          <w:rStyle w:val="Emphasis"/>
          <w:rFonts w:ascii="Times New Roman;Times;serif" w:hAnsi="Times New Roman;Times;serif"/>
          <w:sz w:val="20"/>
        </w:rPr>
        <w:t>June 30, 2024</w:t>
      </w:r>
      <w:r>
        <w:rPr>
          <w:rFonts w:ascii="Times New Roman;Times;serif" w:hAnsi="Times New Roman;Times;serif"/>
          <w:sz w:val="20"/>
        </w:rPr>
        <w:t xml:space="preserve">, the Company's construction in process balance of approximately $2.3 million consisted primarily of approximately $1.9 million associated with a processing line upgrade at the Decatur, AL facility. This upgrade is expected to be completed in </w:t>
      </w:r>
      <w:r>
        <w:rPr>
          <w:rStyle w:val="Emphasis"/>
          <w:rFonts w:ascii="Times New Roman;Times;serif" w:hAnsi="Times New Roman;Times;serif"/>
          <w:sz w:val="20"/>
        </w:rPr>
        <w:t>August 2024.</w:t>
      </w:r>
      <w:r>
        <w:rPr>
          <w:rFonts w:ascii="Times New Roman;Times;serif" w:hAnsi="Times New Roman;Times;serif"/>
          <w:sz w:val="20"/>
        </w:rPr>
        <w:t xml:space="preserve"> The remaining construction in process balance is comprised of several smaller projects.</w:t>
      </w:r>
    </w:p>
    <w:p>
      <w:pPr>
        <w:pStyle w:val="TextBody"/>
        <w:bidi w:val="0"/>
        <w:spacing w:before="0" w:after="0"/>
        <w:ind w:left="0" w:right="0" w:firstLine="540"/>
        <w:jc w:val="both"/>
        <w:rPr/>
      </w:pPr>
      <w:r>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NOTE F — STOCK BASED COMPENSATION</w:t>
      </w:r>
    </w:p>
    <w:p>
      <w:pPr>
        <w:pStyle w:val="TextBody"/>
        <w:bidi w:val="0"/>
        <w:spacing w:before="0" w:after="0"/>
        <w:ind w:left="0" w:right="0" w:hanging="0"/>
        <w:jc w:val="left"/>
        <w:rPr/>
      </w:pPr>
      <w:r>
        <w:rPr/>
        <w:t> </w:t>
      </w:r>
    </w:p>
    <w:p>
      <w:pPr>
        <w:pStyle w:val="TextBody"/>
        <w:bidi w:val="0"/>
        <w:spacing w:before="0" w:after="0"/>
        <w:ind w:left="0" w:right="0" w:firstLine="490"/>
        <w:jc w:val="both"/>
        <w:rPr/>
      </w:pPr>
      <w:r>
        <w:rPr>
          <w:rFonts w:ascii="Times New Roman;Times;serif" w:hAnsi="Times New Roman;Times;serif"/>
          <w:sz w:val="20"/>
        </w:rPr>
        <w:t xml:space="preserve">The Company maintains the Friedman Industries, Incorporated </w:t>
      </w:r>
      <w:r>
        <w:rPr>
          <w:rStyle w:val="Emphasis"/>
          <w:rFonts w:ascii="Times New Roman;Times;serif" w:hAnsi="Times New Roman;Times;serif"/>
          <w:sz w:val="20"/>
        </w:rPr>
        <w:t>2016</w:t>
      </w:r>
      <w:r>
        <w:rPr>
          <w:rFonts w:ascii="Times New Roman;Times;serif" w:hAnsi="Times New Roman;Times;serif"/>
          <w:sz w:val="20"/>
        </w:rPr>
        <w:t xml:space="preserve"> Restricted Stock Plan (the “Plan”). The Plan is administered by the Compensation Committee (the “Committee”) of the Board of Directors (the “Board”) and continues indefinitely until terminated by the Board or until all shares allowed by the Plan have been awarded and earned. The aggregate number of shares of the Company’s Common Stock eligible for award under the Plan is 500,000 shares. Subject to the terms and provisions of the Plan, the Committee </w:t>
      </w:r>
      <w:r>
        <w:rPr>
          <w:rStyle w:val="Emphasis"/>
          <w:rFonts w:ascii="Times New Roman;Times;serif" w:hAnsi="Times New Roman;Times;serif"/>
          <w:sz w:val="20"/>
        </w:rPr>
        <w:t xml:space="preserve">may, </w:t>
      </w:r>
      <w:r>
        <w:rPr>
          <w:rFonts w:ascii="Times New Roman;Times;serif" w:hAnsi="Times New Roman;Times;serif"/>
          <w:sz w:val="20"/>
        </w:rPr>
        <w:t>from time to time, select the employees, directors or consultants to whom awards will be granted and shall determine the amount and applicable restrictions of each award. Restricted awards entitle recipients to vote and receive non-forfeitable dividends during the restriction period. Because dividends are non-forfeitable, they are reflected in retained earnings. Forfeitures are accounted for upon their occurrence. Because the Company accounts for forfeitures as they occur, the non-forfeitable dividends are reclassified from retained earnings to additional stock compensation for the actual forfeitures that occurred.</w:t>
      </w:r>
    </w:p>
    <w:p>
      <w:pPr>
        <w:pStyle w:val="TextBody"/>
        <w:bidi w:val="0"/>
        <w:spacing w:before="0" w:after="0"/>
        <w:ind w:left="0" w:right="0" w:hanging="0"/>
        <w:jc w:val="left"/>
        <w:rPr/>
      </w:pPr>
      <w:r>
        <w:rPr/>
        <w:t> </w:t>
      </w:r>
    </w:p>
    <w:p>
      <w:pPr>
        <w:pStyle w:val="TextBody"/>
        <w:bidi w:val="0"/>
        <w:spacing w:before="0" w:after="0"/>
        <w:ind w:left="0" w:right="0" w:firstLine="490"/>
        <w:jc w:val="both"/>
        <w:rPr/>
      </w:pPr>
      <w:r>
        <w:rPr>
          <w:rFonts w:ascii="Times New Roman;Times;serif" w:hAnsi="Times New Roman;Times;serif"/>
          <w:sz w:val="20"/>
        </w:rPr>
        <w:t xml:space="preserve">The following table summarizes the activity related to restricted stock units (“RSUs”)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June 30, 2024</w:t>
      </w:r>
      <w:r>
        <w:rPr>
          <w:rFonts w:ascii="Times New Roman;Times;serif" w:hAnsi="Times New Roman;Times;serif"/>
          <w:sz w:val="20"/>
        </w:rPr>
        <w:t>:</w:t>
      </w:r>
    </w:p>
    <w:p>
      <w:pPr>
        <w:pStyle w:val="TextBody"/>
        <w:bidi w:val="0"/>
        <w:spacing w:before="0" w:after="0"/>
        <w:ind w:left="0" w:right="0" w:firstLine="490"/>
        <w:jc w:val="both"/>
        <w:rPr/>
      </w:pPr>
      <w:r>
        <w:rPr/>
        <w:t> </w:t>
      </w:r>
    </w:p>
    <w:tbl>
      <w:tblPr>
        <w:tblW w:w="6813" w:type="dxa"/>
        <w:jc w:val="left"/>
        <w:tblInd w:w="0" w:type="dxa"/>
        <w:tblLayout w:type="fixed"/>
        <w:tblCellMar>
          <w:top w:w="0" w:type="dxa"/>
          <w:left w:w="0" w:type="dxa"/>
          <w:bottom w:w="0" w:type="dxa"/>
          <w:right w:w="0" w:type="dxa"/>
        </w:tblCellMar>
      </w:tblPr>
      <w:tblGrid>
        <w:gridCol w:w="2315"/>
        <w:gridCol w:w="60"/>
        <w:gridCol w:w="125"/>
        <w:gridCol w:w="1364"/>
        <w:gridCol w:w="80"/>
        <w:gridCol w:w="60"/>
        <w:gridCol w:w="678"/>
        <w:gridCol w:w="2071"/>
        <w:gridCol w:w="60"/>
      </w:tblGrid>
      <w:tr>
        <w:trPr/>
        <w:tc>
          <w:tcPr>
            <w:tcW w:w="23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364"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4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Weighted Average</w:t>
            </w:r>
          </w:p>
        </w:tc>
        <w:tc>
          <w:tcPr>
            <w:tcW w:w="60" w:type="dxa"/>
            <w:tcBorders/>
            <w:shd w:fill="FFFF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Number of Shares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4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Grant Date Fair Value Per Share</w:t>
            </w:r>
          </w:p>
        </w:tc>
        <w:tc>
          <w:tcPr>
            <w:tcW w:w="60" w:type="dxa"/>
            <w:tcBorders/>
            <w:shd w:fill="FFFFFF" w:val="clear"/>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at March 31, 2024</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3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64,487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7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0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6.62</w:t>
            </w:r>
          </w:p>
        </w:tc>
        <w:tc>
          <w:tcPr>
            <w:tcW w:w="60" w:type="dxa"/>
            <w:tcBorders/>
            <w:shd w:fill="CCEE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Cancelled or forfeited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364"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left"/>
              <w:rPr/>
            </w:pPr>
            <w:r>
              <w:rPr/>
              <w:t> </w:t>
            </w:r>
          </w:p>
        </w:tc>
        <w:tc>
          <w:tcPr>
            <w:tcW w:w="207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Granted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364"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8" w:type="dxa"/>
            <w:tcBorders/>
            <w:shd w:fill="CCEEFF" w:val="clear"/>
            <w:vAlign w:val="center"/>
          </w:tcPr>
          <w:p>
            <w:pPr>
              <w:pStyle w:val="TableContents"/>
              <w:bidi w:val="0"/>
              <w:spacing w:before="0" w:after="283"/>
              <w:ind w:left="0" w:right="0" w:hanging="0"/>
              <w:jc w:val="left"/>
              <w:rPr/>
            </w:pPr>
            <w:r>
              <w:rPr/>
              <w:t> </w:t>
            </w:r>
          </w:p>
        </w:tc>
        <w:tc>
          <w:tcPr>
            <w:tcW w:w="207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Vested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0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6.26</w:t>
            </w:r>
          </w:p>
        </w:tc>
        <w:tc>
          <w:tcPr>
            <w:tcW w:w="60" w:type="dxa"/>
            <w:tcBorders/>
            <w:shd w:fill="FFFFFF" w:val="clear"/>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at June 30, 2024</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6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7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0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7.03</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490"/>
        <w:jc w:val="both"/>
        <w:rPr/>
      </w:pPr>
      <w:r>
        <w:rPr>
          <w:rFonts w:ascii="Times New Roman;Times;serif" w:hAnsi="Times New Roman;Times;serif"/>
          <w:sz w:val="20"/>
        </w:rPr>
        <w:t>The Company measures compensation expense for RSUs at the market price of the common stock as of the grant date. Compensation expense is recognized over the requisite service period applicable to each award. The Company recorded compensation expen</w:t>
      </w:r>
      <w:r>
        <w:rPr>
          <w:rFonts w:ascii="Times New Roman;Times;serif" w:hAnsi="Times New Roman;Times;serif"/>
          <w:sz w:val="20"/>
          <w:shd w:fill="FFFFFF" w:val="clear"/>
        </w:rPr>
        <w:t xml:space="preserve">se of approximately </w:t>
      </w:r>
      <w:r>
        <w:rPr>
          <w:rFonts w:ascii="Times New Roman;Times;serif" w:hAnsi="Times New Roman;Times;serif"/>
          <w:sz w:val="20"/>
        </w:rPr>
        <w:t>$0.1 </w:t>
      </w:r>
      <w:r>
        <w:rPr>
          <w:rFonts w:ascii="Times New Roman;Times;serif" w:hAnsi="Times New Roman;Times;serif"/>
          <w:sz w:val="20"/>
          <w:shd w:fill="FFFFFF" w:val="clear"/>
        </w:rPr>
        <w:t>million and $0.1 million in </w:t>
      </w:r>
      <w:r>
        <w:rPr>
          <w:rFonts w:ascii="Times New Roman;Times;serif" w:hAnsi="Times New Roman;Times;serif"/>
          <w:sz w:val="20"/>
        </w:rPr>
        <w:t xml:space="preserve">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 xml:space="preserve">June 30, 2024 </w:t>
      </w:r>
      <w:r>
        <w:rPr>
          <w:rFonts w:ascii="Times New Roman;Times;serif" w:hAnsi="Times New Roman;Times;serif"/>
          <w:sz w:val="20"/>
        </w:rPr>
        <w:t xml:space="preserve">and </w:t>
      </w:r>
      <w:r>
        <w:rPr>
          <w:rStyle w:val="Emphasis"/>
          <w:rFonts w:ascii="Times New Roman;Times;serif" w:hAnsi="Times New Roman;Times;serif"/>
          <w:sz w:val="20"/>
        </w:rPr>
        <w:t>2023</w:t>
      </w:r>
      <w:r>
        <w:rPr>
          <w:rFonts w:ascii="Times New Roman;Times;serif" w:hAnsi="Times New Roman;Times;serif"/>
          <w:sz w:val="20"/>
        </w:rPr>
        <w:t xml:space="preserve">, respectively, relating to the RSUs issued under the Plan. As of </w:t>
      </w:r>
      <w:r>
        <w:rPr>
          <w:rStyle w:val="Emphasis"/>
          <w:rFonts w:ascii="Times New Roman;Times;serif" w:hAnsi="Times New Roman;Times;serif"/>
          <w:sz w:val="20"/>
        </w:rPr>
        <w:t>June 30, 2024</w:t>
      </w:r>
      <w:r>
        <w:rPr>
          <w:rFonts w:ascii="Times New Roman;Times;serif" w:hAnsi="Times New Roman;Times;serif"/>
          <w:sz w:val="20"/>
        </w:rPr>
        <w:t>, unrecognized compensation expense related to unvested RSUs was appr</w:t>
      </w:r>
      <w:r>
        <w:rPr>
          <w:rFonts w:ascii="Times New Roman;Times;serif" w:hAnsi="Times New Roman;Times;serif"/>
          <w:sz w:val="20"/>
          <w:shd w:fill="FFFFFF" w:val="clear"/>
        </w:rPr>
        <w:t>oximat</w:t>
      </w:r>
      <w:r>
        <w:rPr>
          <w:rFonts w:ascii="Times New Roman;Times;serif" w:hAnsi="Times New Roman;Times;serif"/>
          <w:sz w:val="20"/>
        </w:rPr>
        <w:t>ely $0.1 mil</w:t>
      </w:r>
      <w:r>
        <w:rPr>
          <w:rFonts w:ascii="Times New Roman;Times;serif" w:hAnsi="Times New Roman;Times;serif"/>
          <w:sz w:val="20"/>
          <w:shd w:fill="FFFFFF" w:val="clear"/>
        </w:rPr>
        <w:t>lion which is expected to be recognized over a weighted average period of approximately</w:t>
      </w:r>
      <w:r>
        <w:rPr>
          <w:rFonts w:ascii="Times New Roman;Times;serif" w:hAnsi="Times New Roman;Times;serif"/>
          <w:sz w:val="20"/>
        </w:rPr>
        <w:t xml:space="preserve"> 0.6 years. As of </w:t>
      </w:r>
      <w:r>
        <w:rPr>
          <w:rStyle w:val="Emphasis"/>
          <w:rFonts w:ascii="Times New Roman;Times;serif" w:hAnsi="Times New Roman;Times;serif"/>
          <w:sz w:val="20"/>
        </w:rPr>
        <w:t>June 30, 2024</w:t>
      </w:r>
      <w:r>
        <w:rPr>
          <w:rFonts w:ascii="Times New Roman;Times;serif" w:hAnsi="Times New Roman;Times;serif"/>
          <w:sz w:val="20"/>
        </w:rPr>
        <w:t>, a total of 117,998 shares were still available to be issued under the Plan.</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shd w:fill="FFFFFF" w:val="clear"/>
        </w:rPr>
      </w:pPr>
      <w:r>
        <w:rPr>
          <w:rFonts w:ascii="Times New Roman" w:hAnsi="Times New Roman"/>
          <w:caps w:val="false"/>
          <w:smallCaps w:val="false"/>
          <w:sz w:val="20"/>
          <w:shd w:fill="FFFFFF" w:val="clear"/>
        </w:rPr>
        <w:t>NOTE G — DERIVATIVE FINANCIAL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90"/>
        <w:jc w:val="both"/>
        <w:rPr/>
      </w:pPr>
      <w:r>
        <w:rPr>
          <w:rFonts w:ascii="Times New Roman" w:hAnsi="Times New Roman"/>
          <w:caps w:val="false"/>
          <w:smallCaps w:val="false"/>
          <w:sz w:val="20"/>
          <w:shd w:fill="FFFFFF" w:val="clear"/>
        </w:rPr>
        <w:t xml:space="preserve">From time to time, we expect to utilize hot-rolled coil futures or options to reduce our exposure to commodity price risk that is inherent in our business. For the </w:t>
      </w:r>
      <w:r>
        <w:rPr>
          <w:rStyle w:val="Emphasis"/>
          <w:rFonts w:ascii="Times New Roman" w:hAnsi="Times New Roman"/>
          <w:caps w:val="false"/>
          <w:smallCaps w:val="false"/>
          <w:sz w:val="20"/>
          <w:shd w:fill="FFFFFF" w:val="clear"/>
        </w:rPr>
        <w:t>three</w:t>
      </w:r>
      <w:r>
        <w:rPr>
          <w:rFonts w:ascii="Times New Roman" w:hAnsi="Times New Roman"/>
          <w:caps w:val="false"/>
          <w:smallCaps w:val="false"/>
          <w:sz w:val="20"/>
          <w:shd w:fill="FFFFFF" w:val="clear"/>
        </w:rPr>
        <w:t xml:space="preserve"> months ended </w:t>
      </w:r>
      <w:r>
        <w:rPr>
          <w:rStyle w:val="Emphasis"/>
          <w:rFonts w:ascii="Times New Roman" w:hAnsi="Times New Roman"/>
          <w:caps w:val="false"/>
          <w:smallCaps w:val="false"/>
          <w:sz w:val="20"/>
          <w:shd w:fill="FFFFFF" w:val="clear"/>
        </w:rPr>
        <w:t xml:space="preserve">June 30, 2024, </w:t>
      </w:r>
      <w:r>
        <w:rPr>
          <w:rFonts w:ascii="Times New Roman" w:hAnsi="Times New Roman"/>
          <w:caps w:val="false"/>
          <w:smallCaps w:val="false"/>
          <w:sz w:val="20"/>
          <w:shd w:fill="FFFFFF" w:val="clear"/>
        </w:rPr>
        <w:t xml:space="preserve">all of the Company's hedging activities were classified as economic hedges of risk with mark-to-market ("MTM") accounting treatment. For the </w:t>
      </w:r>
      <w:r>
        <w:rPr>
          <w:rStyle w:val="Emphasis"/>
          <w:rFonts w:ascii="Times New Roman" w:hAnsi="Times New Roman"/>
          <w:caps w:val="false"/>
          <w:smallCaps w:val="false"/>
          <w:sz w:val="20"/>
          <w:shd w:fill="FFFFFF" w:val="clear"/>
        </w:rPr>
        <w:t>three</w:t>
      </w:r>
      <w:r>
        <w:rPr>
          <w:rFonts w:ascii="Times New Roman" w:hAnsi="Times New Roman"/>
          <w:caps w:val="false"/>
          <w:smallCaps w:val="false"/>
          <w:sz w:val="20"/>
          <w:shd w:fill="FFFFFF" w:val="clear"/>
        </w:rPr>
        <w:t xml:space="preserve"> months ended </w:t>
      </w:r>
      <w:r>
        <w:rPr>
          <w:rStyle w:val="Emphasis"/>
          <w:rFonts w:ascii="Times New Roman" w:hAnsi="Times New Roman"/>
          <w:caps w:val="false"/>
          <w:smallCaps w:val="false"/>
          <w:sz w:val="20"/>
          <w:shd w:fill="FFFFFF" w:val="clear"/>
        </w:rPr>
        <w:t xml:space="preserve">June 30, 2023, </w:t>
      </w:r>
      <w:r>
        <w:rPr>
          <w:rFonts w:ascii="Times New Roman" w:hAnsi="Times New Roman"/>
          <w:caps w:val="false"/>
          <w:smallCaps w:val="false"/>
          <w:sz w:val="20"/>
          <w:shd w:fill="FFFFFF" w:val="clear"/>
        </w:rPr>
        <w:t xml:space="preserve">the Company had hedging activities classified as cash flow hedges with hedge accounting treatment according to the requirements of ASC </w:t>
      </w:r>
      <w:r>
        <w:rPr>
          <w:rStyle w:val="Emphasis"/>
          <w:rFonts w:ascii="Times New Roman" w:hAnsi="Times New Roman"/>
          <w:caps w:val="false"/>
          <w:smallCaps w:val="false"/>
          <w:sz w:val="20"/>
          <w:shd w:fill="FFFFFF" w:val="clear"/>
        </w:rPr>
        <w:t>815–</w:t>
      </w:r>
      <w:r>
        <w:rPr>
          <w:rFonts w:ascii="Times New Roman" w:hAnsi="Times New Roman"/>
          <w:caps w:val="false"/>
          <w:smallCaps w:val="false"/>
          <w:sz w:val="20"/>
          <w:shd w:fill="FFFFFF" w:val="clear"/>
        </w:rPr>
        <w:t xml:space="preserve"> Derivatives and Hedging and hedging activities classified as economic hedges of  risk with MTM accounting treatment. By using derivatives, the Company is exposed to credit and market risk. The Company’s exposure to credit risk includes the counterparty’s failure to fulfill its performance obligations under the terms of the derivative contract. The Company attempts to minimize its credit risk by entering into transactions with high quality counterparties and uses exchange-traded derivatives when available. Market risk is the risk that the value of the financial instrument might be adversely affected by a change in commodity prices. The Company manages market risk by continually monitoring exposure within its risk management strategy and portfolio. For any transactions designated as hedging instruments for accounting purposes, we document all relationships between hedging instruments and hedged items, as well as our risk-management objective and strategy for undertaking the various hedge transactions. We also assess, both at the hedge’s inception and on an ongoing basis, whether the derivatives used in hedging transactions are highly effective in offsetting changes in cash flows or fair value of hedged items.</w:t>
      </w:r>
    </w:p>
    <w:p>
      <w:pPr>
        <w:pStyle w:val="TextBody"/>
        <w:bidi w:val="0"/>
        <w:spacing w:before="0" w:after="0"/>
        <w:ind w:left="0" w:right="0" w:hanging="0"/>
        <w:jc w:val="left"/>
        <w:rPr/>
      </w:pPr>
      <w:r>
        <w:rPr/>
        <w:t> </w:t>
      </w:r>
    </w:p>
    <w:p>
      <w:pPr>
        <w:pStyle w:val="TextBody"/>
        <w:bidi w:val="0"/>
        <w:spacing w:before="0" w:after="0"/>
        <w:ind w:left="0" w:right="0" w:firstLine="490"/>
        <w:jc w:val="both"/>
        <w:rPr/>
      </w:pPr>
      <w:r>
        <w:rPr>
          <w:rFonts w:ascii="Times New Roman" w:hAnsi="Times New Roman"/>
          <w:caps w:val="false"/>
          <w:smallCaps w:val="false"/>
          <w:sz w:val="20"/>
          <w:shd w:fill="FFFFFF" w:val="clear"/>
        </w:rPr>
        <w:t>The Company has forward physical purchase supply agreements in place with some of its suppliers for a portion of its monthly physical steel needs. These supply agreements are </w:t>
      </w:r>
      <w:r>
        <w:rPr>
          <w:rStyle w:val="Emphasis"/>
          <w:rFonts w:ascii="Times New Roman" w:hAnsi="Times New Roman"/>
          <w:caps w:val="false"/>
          <w:smallCaps w:val="false"/>
          <w:sz w:val="20"/>
          <w:shd w:fill="FFFFFF" w:val="clear"/>
        </w:rPr>
        <w:t>not</w:t>
      </w:r>
      <w:r>
        <w:rPr>
          <w:rFonts w:ascii="Times New Roman" w:hAnsi="Times New Roman"/>
          <w:caps w:val="false"/>
          <w:smallCaps w:val="false"/>
          <w:sz w:val="20"/>
          <w:shd w:fill="FFFFFF" w:val="clear"/>
        </w:rPr>
        <w:t xml:space="preserve"> subject to mark-to-market accounting due to the Company electing the normal purchase normal sale exclusion provided in ASC </w:t>
      </w:r>
      <w:r>
        <w:rPr>
          <w:rStyle w:val="Emphasis"/>
          <w:rFonts w:ascii="Times New Roman" w:hAnsi="Times New Roman"/>
          <w:caps w:val="false"/>
          <w:smallCaps w:val="false"/>
          <w:sz w:val="20"/>
          <w:shd w:fill="FFFFFF" w:val="clear"/>
        </w:rPr>
        <w:t>815.</w:t>
      </w:r>
      <w:r>
        <w:rPr>
          <w:rFonts w:ascii="Times New Roman" w:hAnsi="Times New Roman"/>
          <w:caps w:val="false"/>
          <w:smallCaps w:val="false"/>
          <w:sz w:val="20"/>
          <w:shd w:fill="FFFFFF" w:val="clear"/>
        </w:rPr>
        <w:t>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490"/>
        <w:jc w:val="both"/>
        <w:rPr/>
      </w:pPr>
      <w:r>
        <w:rPr>
          <w:rFonts w:ascii="Times New Roman" w:hAnsi="Times New Roman"/>
          <w:caps w:val="false"/>
          <w:smallCaps w:val="false"/>
          <w:sz w:val="20"/>
        </w:rPr>
        <w:t xml:space="preserve">At </w:t>
      </w:r>
      <w:r>
        <w:rPr>
          <w:rStyle w:val="Emphasis"/>
          <w:rFonts w:ascii="Times New Roman" w:hAnsi="Times New Roman"/>
          <w:caps w:val="false"/>
          <w:smallCaps w:val="false"/>
          <w:sz w:val="20"/>
        </w:rPr>
        <w:t>June 30, 2024</w:t>
      </w:r>
      <w:r>
        <w:rPr>
          <w:rFonts w:ascii="Times New Roman" w:hAnsi="Times New Roman"/>
          <w:caps w:val="false"/>
          <w:smallCaps w:val="false"/>
          <w:sz w:val="20"/>
        </w:rPr>
        <w:t> and </w:t>
      </w:r>
      <w:r>
        <w:rPr>
          <w:rStyle w:val="Emphasis"/>
          <w:rFonts w:ascii="Times New Roman" w:hAnsi="Times New Roman"/>
          <w:caps w:val="false"/>
          <w:smallCaps w:val="false"/>
          <w:sz w:val="20"/>
        </w:rPr>
        <w:t xml:space="preserve"> March 31, 2024</w:t>
      </w:r>
      <w:r>
        <w:rPr>
          <w:rFonts w:ascii="Times New Roman" w:hAnsi="Times New Roman"/>
          <w:caps w:val="false"/>
          <w:smallCaps w:val="false"/>
          <w:sz w:val="20"/>
        </w:rPr>
        <w:t xml:space="preserve">,the Company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any hot-rolled coil futures contracts designated as hedging instruments and classified as cash flow or fair value hedges. </w:t>
      </w:r>
    </w:p>
    <w:p>
      <w:pPr>
        <w:pStyle w:val="TextBody"/>
        <w:bidi w:val="0"/>
        <w:spacing w:before="0" w:after="0"/>
        <w:ind w:left="0" w:right="0" w:hanging="0"/>
        <w:jc w:val="left"/>
        <w:rPr/>
      </w:pPr>
      <w:r>
        <w:rPr/>
        <w:t> </w:t>
      </w:r>
    </w:p>
    <w:p>
      <w:pPr>
        <w:pStyle w:val="TextBody"/>
        <w:bidi w:val="0"/>
        <w:spacing w:before="0" w:after="0"/>
        <w:ind w:left="0" w:right="0" w:firstLine="490"/>
        <w:jc w:val="both"/>
        <w:rPr/>
      </w:pPr>
      <w:r>
        <w:rPr>
          <w:rFonts w:ascii="Times New Roman" w:hAnsi="Times New Roman"/>
          <w:caps w:val="false"/>
          <w:smallCaps w:val="false"/>
          <w:sz w:val="20"/>
          <w:shd w:fill="FFFFFF" w:val="clear"/>
        </w:rPr>
        <w:t xml:space="preserve">The following table summarizes the fair value of the Company’s derivative financial instruments and the respective line in which they were recorded in the Consolidated Balance Sheet as of </w:t>
      </w:r>
      <w:r>
        <w:rPr>
          <w:rStyle w:val="Emphasis"/>
          <w:rFonts w:ascii="Times New Roman" w:hAnsi="Times New Roman"/>
          <w:caps w:val="false"/>
          <w:smallCaps w:val="false"/>
          <w:sz w:val="20"/>
        </w:rPr>
        <w:t>June 30, 2024</w:t>
      </w:r>
      <w:r>
        <w:rPr>
          <w:rFonts w:ascii="Times New Roman" w:hAnsi="Times New Roman"/>
          <w:caps w:val="false"/>
          <w:smallCaps w:val="false"/>
          <w:sz w:val="20"/>
          <w:shd w:fill="FFFFFF" w:val="clear"/>
        </w:rPr>
        <w:t> (in thousands):</w:t>
      </w:r>
    </w:p>
    <w:p>
      <w:pPr>
        <w:pStyle w:val="TextBody"/>
        <w:bidi w:val="0"/>
        <w:spacing w:before="0" w:after="0"/>
        <w:ind w:left="0" w:right="0" w:firstLine="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27"/>
        <w:gridCol w:w="2379"/>
        <w:gridCol w:w="60"/>
        <w:gridCol w:w="289"/>
        <w:gridCol w:w="534"/>
        <w:gridCol w:w="60"/>
        <w:gridCol w:w="2511"/>
        <w:gridCol w:w="60"/>
        <w:gridCol w:w="289"/>
        <w:gridCol w:w="534"/>
        <w:gridCol w:w="62"/>
      </w:tblGrid>
      <w:tr>
        <w:trPr/>
        <w:tc>
          <w:tcPr>
            <w:tcW w:w="3427" w:type="dxa"/>
            <w:tcBorders/>
            <w:shd w:fill="FFFFFF" w:val="clear"/>
            <w:vAlign w:val="center"/>
          </w:tcPr>
          <w:p>
            <w:pPr>
              <w:pStyle w:val="TableContents"/>
              <w:bidi w:val="0"/>
              <w:spacing w:before="0" w:after="283"/>
              <w:ind w:left="0" w:right="0" w:hanging="0"/>
              <w:jc w:val="left"/>
              <w:rPr/>
            </w:pPr>
            <w:r>
              <w:rPr/>
              <w:t> </w:t>
            </w:r>
          </w:p>
        </w:tc>
        <w:tc>
          <w:tcPr>
            <w:tcW w:w="3262" w:type="dxa"/>
            <w:gridSpan w:val="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Asset Derivatives</w:t>
            </w:r>
          </w:p>
        </w:tc>
        <w:tc>
          <w:tcPr>
            <w:tcW w:w="60" w:type="dxa"/>
            <w:tcBorders/>
            <w:shd w:fill="FFFFFF" w:val="clear"/>
            <w:vAlign w:val="center"/>
          </w:tcPr>
          <w:p>
            <w:pPr>
              <w:pStyle w:val="TableContents"/>
              <w:bidi w:val="0"/>
              <w:spacing w:before="0" w:after="283"/>
              <w:ind w:left="0" w:right="0" w:hanging="0"/>
              <w:jc w:val="left"/>
              <w:rPr/>
            </w:pPr>
            <w:r>
              <w:rPr/>
              <w:t> </w:t>
            </w:r>
          </w:p>
        </w:tc>
        <w:tc>
          <w:tcPr>
            <w:tcW w:w="3394" w:type="dxa"/>
            <w:gridSpan w:val="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Liability Derivatives</w:t>
            </w:r>
          </w:p>
        </w:tc>
        <w:tc>
          <w:tcPr>
            <w:tcW w:w="62" w:type="dxa"/>
            <w:tcBorders/>
            <w:shd w:fill="FFFFFF" w:val="clear"/>
            <w:vAlign w:val="center"/>
          </w:tcPr>
          <w:p>
            <w:pPr>
              <w:pStyle w:val="TableContents"/>
              <w:bidi w:val="0"/>
              <w:spacing w:before="0" w:after="283"/>
              <w:jc w:val="left"/>
              <w:rPr/>
            </w:pPr>
            <w:r>
              <w:rPr/>
              <w:t> </w:t>
            </w:r>
          </w:p>
        </w:tc>
      </w:tr>
      <w:tr>
        <w:trPr/>
        <w:tc>
          <w:tcPr>
            <w:tcW w:w="3427" w:type="dxa"/>
            <w:tcBorders/>
            <w:shd w:fill="FFFFFF" w:val="clear"/>
            <w:vAlign w:val="center"/>
          </w:tcPr>
          <w:p>
            <w:pPr>
              <w:pStyle w:val="TableContents"/>
              <w:bidi w:val="0"/>
              <w:spacing w:before="0" w:after="283"/>
              <w:ind w:left="0" w:right="0" w:hanging="0"/>
              <w:jc w:val="left"/>
              <w:rPr/>
            </w:pPr>
            <w:r>
              <w:rPr/>
              <w:t> </w:t>
            </w:r>
          </w:p>
        </w:tc>
        <w:tc>
          <w:tcPr>
            <w:tcW w:w="2379"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Balance Sheet</w:t>
            </w:r>
          </w:p>
        </w:tc>
        <w:tc>
          <w:tcPr>
            <w:tcW w:w="60"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11"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Balance Sheet</w:t>
            </w:r>
          </w:p>
        </w:tc>
        <w:tc>
          <w:tcPr>
            <w:tcW w:w="60"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center"/>
              <w:rPr/>
            </w:pPr>
            <w:r>
              <w:rPr>
                <w:rStyle w:val="Emphasis"/>
              </w:rPr>
              <w:t> </w:t>
            </w:r>
          </w:p>
        </w:tc>
        <w:tc>
          <w:tcPr>
            <w:tcW w:w="62" w:type="dxa"/>
            <w:tcBorders/>
            <w:shd w:fill="FFFFFF" w:val="clear"/>
            <w:vAlign w:val="center"/>
          </w:tcPr>
          <w:p>
            <w:pPr>
              <w:pStyle w:val="TableContents"/>
              <w:bidi w:val="0"/>
              <w:spacing w:before="0" w:after="283"/>
              <w:jc w:val="left"/>
              <w:rPr/>
            </w:pPr>
            <w:r>
              <w:rPr/>
              <w:t> </w:t>
            </w:r>
          </w:p>
        </w:tc>
      </w:tr>
      <w:tr>
        <w:trPr/>
        <w:tc>
          <w:tcPr>
            <w:tcW w:w="3427"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Derivatives not designated as hedging instruments:</w:t>
            </w:r>
          </w:p>
        </w:tc>
        <w:tc>
          <w:tcPr>
            <w:tcW w:w="2379"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Location</w:t>
            </w:r>
          </w:p>
        </w:tc>
        <w:tc>
          <w:tcPr>
            <w:tcW w:w="60" w:type="dxa"/>
            <w:tcBorders/>
            <w:shd w:fill="FFFFFF" w:val="clear"/>
            <w:vAlign w:val="center"/>
          </w:tcPr>
          <w:p>
            <w:pPr>
              <w:pStyle w:val="TableContents"/>
              <w:bidi w:val="0"/>
              <w:spacing w:before="0" w:after="283"/>
              <w:ind w:left="0" w:right="0" w:hanging="0"/>
              <w:jc w:val="left"/>
              <w:rPr/>
            </w:pPr>
            <w:r>
              <w:rPr/>
              <w:t> </w:t>
            </w:r>
          </w:p>
        </w:tc>
        <w:tc>
          <w:tcPr>
            <w:tcW w:w="82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Fair Value</w:t>
            </w:r>
          </w:p>
        </w:tc>
        <w:tc>
          <w:tcPr>
            <w:tcW w:w="60" w:type="dxa"/>
            <w:tcBorders/>
            <w:shd w:fill="FFFFFF" w:val="clear"/>
            <w:vAlign w:val="center"/>
          </w:tcPr>
          <w:p>
            <w:pPr>
              <w:pStyle w:val="TableContents"/>
              <w:bidi w:val="0"/>
              <w:spacing w:before="0" w:after="283"/>
              <w:ind w:left="0" w:right="0" w:hanging="0"/>
              <w:jc w:val="left"/>
              <w:rPr/>
            </w:pPr>
            <w:r>
              <w:rPr/>
              <w:t> </w:t>
            </w:r>
          </w:p>
        </w:tc>
        <w:tc>
          <w:tcPr>
            <w:tcW w:w="2511"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Location</w:t>
            </w:r>
          </w:p>
        </w:tc>
        <w:tc>
          <w:tcPr>
            <w:tcW w:w="60" w:type="dxa"/>
            <w:tcBorders/>
            <w:shd w:fill="FFFFFF" w:val="clear"/>
            <w:vAlign w:val="center"/>
          </w:tcPr>
          <w:p>
            <w:pPr>
              <w:pStyle w:val="TableContents"/>
              <w:bidi w:val="0"/>
              <w:spacing w:before="0" w:after="283"/>
              <w:ind w:left="0" w:right="0" w:hanging="0"/>
              <w:jc w:val="left"/>
              <w:rPr/>
            </w:pPr>
            <w:r>
              <w:rPr/>
              <w:t> </w:t>
            </w:r>
          </w:p>
        </w:tc>
        <w:tc>
          <w:tcPr>
            <w:tcW w:w="82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Fair Value</w:t>
            </w:r>
          </w:p>
        </w:tc>
        <w:tc>
          <w:tcPr>
            <w:tcW w:w="62" w:type="dxa"/>
            <w:tcBorders/>
            <w:shd w:fill="FFFFFF" w:val="clear"/>
            <w:vAlign w:val="center"/>
          </w:tcPr>
          <w:p>
            <w:pPr>
              <w:pStyle w:val="TableContents"/>
              <w:bidi w:val="0"/>
              <w:spacing w:before="0" w:after="283"/>
              <w:jc w:val="left"/>
              <w:rPr/>
            </w:pPr>
            <w:r>
              <w:rPr/>
              <w:t> </w:t>
            </w:r>
          </w:p>
        </w:tc>
      </w:tr>
      <w:tr>
        <w:trPr/>
        <w:tc>
          <w:tcPr>
            <w:tcW w:w="342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Hot-rolled coil steel contracts</w:t>
            </w:r>
          </w:p>
        </w:tc>
        <w:tc>
          <w:tcPr>
            <w:tcW w:w="2379"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Current portion of derivative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28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60" w:type="dxa"/>
            <w:tcBorders/>
            <w:shd w:fill="CCEEFF" w:val="clear"/>
            <w:vAlign w:val="center"/>
          </w:tcPr>
          <w:p>
            <w:pPr>
              <w:pStyle w:val="TableContents"/>
              <w:bidi w:val="0"/>
              <w:spacing w:before="0" w:after="283"/>
              <w:ind w:left="0" w:right="0" w:hanging="0"/>
              <w:jc w:val="left"/>
              <w:rPr/>
            </w:pPr>
            <w:r>
              <w:rPr/>
              <w:t> </w:t>
            </w:r>
          </w:p>
        </w:tc>
        <w:tc>
          <w:tcPr>
            <w:tcW w:w="2511"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Current portion of derivative liability</w:t>
            </w:r>
          </w:p>
        </w:tc>
        <w:tc>
          <w:tcPr>
            <w:tcW w:w="60" w:type="dxa"/>
            <w:tcBorders/>
            <w:shd w:fill="CCEEFF" w:val="clear"/>
            <w:vAlign w:val="center"/>
          </w:tcPr>
          <w:p>
            <w:pPr>
              <w:pStyle w:val="TableContents"/>
              <w:bidi w:val="0"/>
              <w:spacing w:before="0" w:after="283"/>
              <w:ind w:left="0" w:right="0" w:hanging="0"/>
              <w:jc w:val="left"/>
              <w:rPr/>
            </w:pPr>
            <w:r>
              <w:rPr/>
              <w:t> </w:t>
            </w:r>
          </w:p>
        </w:tc>
        <w:tc>
          <w:tcPr>
            <w:tcW w:w="28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6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shd w:fill="FFFFFF" w:val="clear"/>
        </w:rPr>
        <w:t xml:space="preserve">The following table summarizes the fair value of the Company’s derivative financial instruments and the respective line in which they were recorded in the Consolidated Balance Sheet as of </w:t>
      </w:r>
      <w:r>
        <w:rPr>
          <w:rStyle w:val="Emphasis"/>
          <w:rFonts w:ascii="Times New Roman" w:hAnsi="Times New Roman"/>
          <w:caps w:val="false"/>
          <w:smallCaps w:val="false"/>
          <w:sz w:val="20"/>
        </w:rPr>
        <w:t>March 31, 2024</w:t>
      </w:r>
      <w:r>
        <w:rPr>
          <w:rFonts w:ascii="Times New Roman" w:hAnsi="Times New Roman"/>
          <w:caps w:val="false"/>
          <w:smallCaps w:val="false"/>
          <w:sz w:val="20"/>
          <w:shd w:fill="FFFFFF" w:val="clear"/>
        </w:rPr>
        <w:t> (in thousands):</w:t>
      </w:r>
    </w:p>
    <w:p>
      <w:pPr>
        <w:pStyle w:val="TextBody"/>
        <w:bidi w:val="0"/>
        <w:spacing w:before="0" w:after="0"/>
        <w:ind w:left="0" w:right="0" w:firstLine="54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17"/>
        <w:gridCol w:w="2373"/>
        <w:gridCol w:w="60"/>
        <w:gridCol w:w="288"/>
        <w:gridCol w:w="533"/>
        <w:gridCol w:w="60"/>
        <w:gridCol w:w="2504"/>
        <w:gridCol w:w="60"/>
        <w:gridCol w:w="173"/>
        <w:gridCol w:w="674"/>
        <w:gridCol w:w="63"/>
      </w:tblGrid>
      <w:tr>
        <w:trPr/>
        <w:tc>
          <w:tcPr>
            <w:tcW w:w="3417" w:type="dxa"/>
            <w:tcBorders/>
            <w:shd w:fill="FFFFFF" w:val="clear"/>
            <w:vAlign w:val="center"/>
          </w:tcPr>
          <w:p>
            <w:pPr>
              <w:pStyle w:val="TableContents"/>
              <w:bidi w:val="0"/>
              <w:spacing w:before="0" w:after="283"/>
              <w:ind w:left="0" w:right="0" w:hanging="0"/>
              <w:jc w:val="left"/>
              <w:rPr/>
            </w:pPr>
            <w:r>
              <w:rPr/>
              <w:t> </w:t>
            </w:r>
          </w:p>
        </w:tc>
        <w:tc>
          <w:tcPr>
            <w:tcW w:w="3254" w:type="dxa"/>
            <w:gridSpan w:val="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Asset Derivatives</w:t>
            </w:r>
          </w:p>
        </w:tc>
        <w:tc>
          <w:tcPr>
            <w:tcW w:w="60" w:type="dxa"/>
            <w:tcBorders/>
            <w:shd w:fill="FFFFFF" w:val="clear"/>
            <w:vAlign w:val="center"/>
          </w:tcPr>
          <w:p>
            <w:pPr>
              <w:pStyle w:val="TableContents"/>
              <w:bidi w:val="0"/>
              <w:spacing w:before="0" w:after="283"/>
              <w:ind w:left="0" w:right="0" w:hanging="0"/>
              <w:jc w:val="left"/>
              <w:rPr/>
            </w:pPr>
            <w:r>
              <w:rPr/>
              <w:t> </w:t>
            </w:r>
          </w:p>
        </w:tc>
        <w:tc>
          <w:tcPr>
            <w:tcW w:w="3411" w:type="dxa"/>
            <w:gridSpan w:val="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Liability Derivatives</w:t>
            </w:r>
          </w:p>
        </w:tc>
        <w:tc>
          <w:tcPr>
            <w:tcW w:w="63" w:type="dxa"/>
            <w:tcBorders/>
            <w:shd w:fill="FFFFFF" w:val="clear"/>
            <w:vAlign w:val="center"/>
          </w:tcPr>
          <w:p>
            <w:pPr>
              <w:pStyle w:val="TableContents"/>
              <w:bidi w:val="0"/>
              <w:spacing w:before="0" w:after="283"/>
              <w:jc w:val="left"/>
              <w:rPr/>
            </w:pPr>
            <w:r>
              <w:rPr/>
              <w:t> </w:t>
            </w:r>
          </w:p>
        </w:tc>
      </w:tr>
      <w:tr>
        <w:trPr/>
        <w:tc>
          <w:tcPr>
            <w:tcW w:w="3417" w:type="dxa"/>
            <w:tcBorders/>
            <w:shd w:fill="FFFFFF" w:val="clear"/>
            <w:vAlign w:val="center"/>
          </w:tcPr>
          <w:p>
            <w:pPr>
              <w:pStyle w:val="TableContents"/>
              <w:bidi w:val="0"/>
              <w:spacing w:before="0" w:after="283"/>
              <w:ind w:left="0" w:right="0" w:hanging="0"/>
              <w:jc w:val="left"/>
              <w:rPr/>
            </w:pPr>
            <w:r>
              <w:rPr/>
              <w:t> </w:t>
            </w:r>
          </w:p>
        </w:tc>
        <w:tc>
          <w:tcPr>
            <w:tcW w:w="2373" w:type="dxa"/>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Balance Sheet</w:t>
            </w:r>
          </w:p>
        </w:tc>
        <w:tc>
          <w:tcPr>
            <w:tcW w:w="6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533"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4" w:type="dxa"/>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Balance Sheet</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674" w:type="dxa"/>
            <w:tcBorders/>
            <w:shd w:fill="FFFFFF" w:val="clear"/>
            <w:vAlign w:val="center"/>
          </w:tcPr>
          <w:p>
            <w:pPr>
              <w:pStyle w:val="TableContents"/>
              <w:bidi w:val="0"/>
              <w:spacing w:before="0" w:after="283"/>
              <w:jc w:val="center"/>
              <w:rPr/>
            </w:pPr>
            <w:r>
              <w:rPr>
                <w:rStyle w:val="Emphasis"/>
              </w:rPr>
              <w:t> </w:t>
            </w:r>
          </w:p>
        </w:tc>
        <w:tc>
          <w:tcPr>
            <w:tcW w:w="63" w:type="dxa"/>
            <w:tcBorders/>
            <w:shd w:fill="FFFFFF" w:val="clear"/>
            <w:vAlign w:val="center"/>
          </w:tcPr>
          <w:p>
            <w:pPr>
              <w:pStyle w:val="TableContents"/>
              <w:bidi w:val="0"/>
              <w:spacing w:before="0" w:after="283"/>
              <w:jc w:val="left"/>
              <w:rPr/>
            </w:pPr>
            <w:r>
              <w:rPr/>
              <w:t> </w:t>
            </w:r>
          </w:p>
        </w:tc>
      </w:tr>
      <w:tr>
        <w:trPr/>
        <w:tc>
          <w:tcPr>
            <w:tcW w:w="3417"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Derivatives not designated as hedging instruments:</w:t>
            </w:r>
          </w:p>
        </w:tc>
        <w:tc>
          <w:tcPr>
            <w:tcW w:w="2373"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Location</w:t>
            </w:r>
          </w:p>
        </w:tc>
        <w:tc>
          <w:tcPr>
            <w:tcW w:w="60" w:type="dxa"/>
            <w:tcBorders/>
            <w:shd w:fill="FFFFFF" w:val="clear"/>
            <w:vAlign w:val="center"/>
          </w:tcPr>
          <w:p>
            <w:pPr>
              <w:pStyle w:val="TableContents"/>
              <w:bidi w:val="0"/>
              <w:spacing w:before="0" w:after="283"/>
              <w:ind w:left="0" w:right="0" w:hanging="0"/>
              <w:jc w:val="left"/>
              <w:rPr/>
            </w:pPr>
            <w:r>
              <w:rPr/>
              <w:t> </w:t>
            </w:r>
          </w:p>
        </w:tc>
        <w:tc>
          <w:tcPr>
            <w:tcW w:w="82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Fair Value</w:t>
            </w:r>
          </w:p>
        </w:tc>
        <w:tc>
          <w:tcPr>
            <w:tcW w:w="60" w:type="dxa"/>
            <w:tcBorders/>
            <w:shd w:fill="FFFFFF" w:val="clear"/>
            <w:vAlign w:val="center"/>
          </w:tcPr>
          <w:p>
            <w:pPr>
              <w:pStyle w:val="TableContents"/>
              <w:bidi w:val="0"/>
              <w:spacing w:before="0" w:after="283"/>
              <w:ind w:left="0" w:right="0" w:hanging="0"/>
              <w:jc w:val="left"/>
              <w:rPr/>
            </w:pPr>
            <w:r>
              <w:rPr/>
              <w:t> </w:t>
            </w:r>
          </w:p>
        </w:tc>
        <w:tc>
          <w:tcPr>
            <w:tcW w:w="2504"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Location</w:t>
            </w:r>
          </w:p>
        </w:tc>
        <w:tc>
          <w:tcPr>
            <w:tcW w:w="60" w:type="dxa"/>
            <w:tcBorders/>
            <w:shd w:fill="FFFFFF" w:val="clear"/>
            <w:vAlign w:val="center"/>
          </w:tcPr>
          <w:p>
            <w:pPr>
              <w:pStyle w:val="TableContents"/>
              <w:bidi w:val="0"/>
              <w:spacing w:before="0" w:after="283"/>
              <w:ind w:left="0" w:right="0" w:hanging="0"/>
              <w:jc w:val="left"/>
              <w:rPr/>
            </w:pPr>
            <w:r>
              <w:rPr/>
              <w:t> </w:t>
            </w:r>
          </w:p>
        </w:tc>
        <w:tc>
          <w:tcPr>
            <w:tcW w:w="84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Fair Value</w:t>
            </w:r>
          </w:p>
        </w:tc>
        <w:tc>
          <w:tcPr>
            <w:tcW w:w="63" w:type="dxa"/>
            <w:tcBorders/>
            <w:shd w:fill="FFFFFF" w:val="clear"/>
            <w:vAlign w:val="center"/>
          </w:tcPr>
          <w:p>
            <w:pPr>
              <w:pStyle w:val="TableContents"/>
              <w:bidi w:val="0"/>
              <w:spacing w:before="0" w:after="283"/>
              <w:jc w:val="left"/>
              <w:rPr/>
            </w:pPr>
            <w:r>
              <w:rPr/>
              <w:t> </w:t>
            </w:r>
          </w:p>
        </w:tc>
      </w:tr>
      <w:tr>
        <w:trPr/>
        <w:tc>
          <w:tcPr>
            <w:tcW w:w="341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Hot-rolled coil steel contracts</w:t>
            </w:r>
          </w:p>
        </w:tc>
        <w:tc>
          <w:tcPr>
            <w:tcW w:w="2373"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sz w:val="20"/>
              </w:rPr>
              <w:t>Current portion of derivative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28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3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w:t>
            </w:r>
          </w:p>
        </w:tc>
        <w:tc>
          <w:tcPr>
            <w:tcW w:w="60" w:type="dxa"/>
            <w:tcBorders/>
            <w:shd w:fill="CCEEFF" w:val="clear"/>
            <w:vAlign w:val="center"/>
          </w:tcPr>
          <w:p>
            <w:pPr>
              <w:pStyle w:val="TableContents"/>
              <w:bidi w:val="0"/>
              <w:spacing w:before="0" w:after="283"/>
              <w:ind w:left="0" w:right="0" w:hanging="0"/>
              <w:jc w:val="left"/>
              <w:rPr/>
            </w:pPr>
            <w:r>
              <w:rPr/>
              <w:t> </w:t>
            </w:r>
          </w:p>
        </w:tc>
        <w:tc>
          <w:tcPr>
            <w:tcW w:w="2504" w:type="dxa"/>
            <w:tcBorders/>
            <w:shd w:fill="CCEE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Current portion of derivative liability</w:t>
            </w:r>
          </w:p>
        </w:tc>
        <w:tc>
          <w:tcPr>
            <w:tcW w:w="60" w:type="dxa"/>
            <w:tcBorders/>
            <w:shd w:fill="CCEEFF" w:val="clear"/>
            <w:vAlign w:val="center"/>
          </w:tcPr>
          <w:p>
            <w:pPr>
              <w:pStyle w:val="TableContents"/>
              <w:bidi w:val="0"/>
              <w:spacing w:before="0" w:after="283"/>
              <w:ind w:left="0" w:right="0" w:hanging="0"/>
              <w:jc w:val="left"/>
              <w:rPr/>
            </w:pPr>
            <w:r>
              <w:rPr/>
              <w:t> </w:t>
            </w:r>
          </w:p>
        </w:tc>
        <w:tc>
          <w:tcPr>
            <w:tcW w:w="17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7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1,686</w:t>
            </w:r>
          </w:p>
        </w:tc>
        <w:tc>
          <w:tcPr>
            <w:tcW w:w="6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All derivatives are presented on a gross basis on the Consolidated Balance Sheets.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shd w:fill="FFFFFF" w:val="clear"/>
        </w:rPr>
        <w:t xml:space="preserve">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2024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Fonts w:ascii="Times New Roman" w:hAnsi="Times New Roman"/>
          <w:caps w:val="false"/>
          <w:smallCaps w:val="false"/>
          <w:sz w:val="20"/>
          <w:shd w:fill="FFFFFF" w:val="clear"/>
        </w:rPr>
        <w:t xml:space="preserve"> the Company entered into hot-rolled coil futures contracts that were </w:t>
      </w:r>
      <w:r>
        <w:rPr>
          <w:rStyle w:val="Emphasis"/>
          <w:rFonts w:ascii="Times New Roman" w:hAnsi="Times New Roman"/>
          <w:caps w:val="false"/>
          <w:smallCaps w:val="false"/>
          <w:sz w:val="20"/>
          <w:shd w:fill="FFFFFF" w:val="clear"/>
        </w:rPr>
        <w:t>not</w:t>
      </w:r>
      <w:r>
        <w:rPr>
          <w:rFonts w:ascii="Times New Roman" w:hAnsi="Times New Roman"/>
          <w:caps w:val="false"/>
          <w:smallCaps w:val="false"/>
          <w:sz w:val="20"/>
          <w:shd w:fill="FFFFFF" w:val="clear"/>
        </w:rPr>
        <w:t xml:space="preserve"> designated as hedging instruments for accounting purposes. Accordingly, the change in fair value related to these instruments was immediately recognized in earnings for these periods. During the </w:t>
      </w:r>
      <w:r>
        <w:rPr>
          <w:rStyle w:val="Emphasis"/>
          <w:rFonts w:ascii="Times New Roman" w:hAnsi="Times New Roman"/>
          <w:caps w:val="false"/>
          <w:smallCaps w:val="false"/>
          <w:sz w:val="20"/>
          <w:shd w:fill="FFFFFF" w:val="clear"/>
        </w:rPr>
        <w:t>three</w:t>
      </w:r>
      <w:r>
        <w:rPr>
          <w:rFonts w:ascii="Times New Roman" w:hAnsi="Times New Roman"/>
          <w:caps w:val="false"/>
          <w:smallCaps w:val="false"/>
          <w:sz w:val="20"/>
          <w:shd w:fill="FFFFFF" w:val="clear"/>
        </w:rPr>
        <w:t xml:space="preserve"> months ended </w:t>
      </w:r>
      <w:r>
        <w:rPr>
          <w:rStyle w:val="Emphasis"/>
          <w:rFonts w:ascii="Times New Roman" w:hAnsi="Times New Roman"/>
          <w:caps w:val="false"/>
          <w:smallCaps w:val="false"/>
          <w:sz w:val="20"/>
          <w:shd w:fill="FFFFFF" w:val="clear"/>
        </w:rPr>
        <w:t xml:space="preserve">June 30, 2024 </w:t>
      </w:r>
      <w:r>
        <w:rPr>
          <w:rFonts w:ascii="Times New Roman" w:hAnsi="Times New Roman"/>
          <w:caps w:val="false"/>
          <w:smallCaps w:val="false"/>
          <w:sz w:val="20"/>
          <w:shd w:fill="FFFFFF" w:val="clear"/>
        </w:rPr>
        <w:t xml:space="preserve">and </w:t>
      </w:r>
      <w:r>
        <w:rPr>
          <w:rStyle w:val="Emphasis"/>
          <w:rFonts w:ascii="Times New Roman" w:hAnsi="Times New Roman"/>
          <w:caps w:val="false"/>
          <w:smallCaps w:val="false"/>
          <w:sz w:val="20"/>
          <w:shd w:fill="FFFFFF" w:val="clear"/>
        </w:rPr>
        <w:t>2023,</w:t>
      </w:r>
      <w:r>
        <w:rPr>
          <w:rFonts w:ascii="Times New Roman" w:hAnsi="Times New Roman"/>
          <w:caps w:val="false"/>
          <w:smallCaps w:val="false"/>
          <w:sz w:val="20"/>
          <w:shd w:fill="FFFFFF" w:val="clear"/>
        </w:rPr>
        <w:t xml:space="preserve"> the Company did </w:t>
      </w:r>
      <w:r>
        <w:rPr>
          <w:rStyle w:val="Emphasis"/>
          <w:rFonts w:ascii="Times New Roman" w:hAnsi="Times New Roman"/>
          <w:caps w:val="false"/>
          <w:smallCaps w:val="false"/>
          <w:sz w:val="20"/>
          <w:shd w:fill="FFFFFF" w:val="clear"/>
        </w:rPr>
        <w:t>not</w:t>
      </w:r>
      <w:r>
        <w:rPr>
          <w:rFonts w:ascii="Times New Roman" w:hAnsi="Times New Roman"/>
          <w:caps w:val="false"/>
          <w:smallCaps w:val="false"/>
          <w:sz w:val="20"/>
          <w:shd w:fill="FFFFFF" w:val="clear"/>
        </w:rPr>
        <w:t xml:space="preserve"> designate any transactions as hedging instruments for accounting purposes. During the </w:t>
      </w:r>
      <w:r>
        <w:rPr>
          <w:rStyle w:val="Emphasis"/>
          <w:rFonts w:ascii="Times New Roman" w:hAnsi="Times New Roman"/>
          <w:caps w:val="false"/>
          <w:smallCaps w:val="false"/>
          <w:sz w:val="20"/>
          <w:shd w:fill="FFFFFF" w:val="clear"/>
        </w:rPr>
        <w:t>three</w:t>
      </w:r>
      <w:r>
        <w:rPr>
          <w:rFonts w:ascii="Times New Roman" w:hAnsi="Times New Roman"/>
          <w:caps w:val="false"/>
          <w:smallCaps w:val="false"/>
          <w:sz w:val="20"/>
          <w:shd w:fill="FFFFFF" w:val="clear"/>
        </w:rPr>
        <w:t xml:space="preserve"> months ended </w:t>
      </w:r>
      <w:r>
        <w:rPr>
          <w:rStyle w:val="Emphasis"/>
          <w:rFonts w:ascii="Times New Roman" w:hAnsi="Times New Roman"/>
          <w:caps w:val="false"/>
          <w:smallCaps w:val="false"/>
          <w:sz w:val="20"/>
          <w:shd w:fill="FFFFFF" w:val="clear"/>
        </w:rPr>
        <w:t xml:space="preserve">June 30, 2023, </w:t>
      </w:r>
      <w:r>
        <w:rPr>
          <w:rFonts w:ascii="Times New Roman" w:hAnsi="Times New Roman"/>
          <w:caps w:val="false"/>
          <w:smallCaps w:val="false"/>
          <w:sz w:val="20"/>
          <w:shd w:fill="FFFFFF" w:val="clear"/>
        </w:rPr>
        <w:t>the Company reclassified the loss associated with previously designated cash flow hedges into earnings during the period.</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both"/>
        <w:rPr/>
      </w:pPr>
      <w:r>
        <w:rPr>
          <w:rFonts w:ascii="Times New Roman" w:hAnsi="Times New Roman"/>
          <w:caps w:val="false"/>
          <w:smallCaps w:val="false"/>
          <w:sz w:val="20"/>
        </w:rPr>
        <w:t xml:space="preserve">The following table summarizes the pre-tax gain (loss) recognized in other comprehensive income and the loss reclassified from accumulated other comprehensive income into earnings for derivative financial instruments designated as cash flow hedges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2023</w:t>
      </w:r>
      <w:r>
        <w:rPr>
          <w:rFonts w:ascii="Times New Roman" w:hAnsi="Times New Roman"/>
          <w:caps w:val="false"/>
          <w:smallCaps w:val="false"/>
          <w:sz w:val="20"/>
        </w:rPr>
        <w:t xml:space="preserve"> </w:t>
      </w:r>
      <w:r>
        <w:rPr>
          <w:rFonts w:ascii="Times New Roman" w:hAnsi="Times New Roman"/>
          <w:caps w:val="false"/>
          <w:smallCaps w:val="false"/>
          <w:sz w:val="20"/>
          <w:shd w:fill="FFFFFF" w:val="clear"/>
        </w:rPr>
        <w:t>(in thousands):</w:t>
      </w:r>
    </w:p>
    <w:p>
      <w:pPr>
        <w:pStyle w:val="TextBody"/>
        <w:bidi w:val="0"/>
        <w:spacing w:before="0" w:after="0"/>
        <w:ind w:left="0" w:right="0" w:firstLine="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63"/>
        <w:gridCol w:w="60"/>
        <w:gridCol w:w="612"/>
        <w:gridCol w:w="1279"/>
        <w:gridCol w:w="60"/>
        <w:gridCol w:w="3050"/>
        <w:gridCol w:w="60"/>
        <w:gridCol w:w="705"/>
        <w:gridCol w:w="2233"/>
        <w:gridCol w:w="83"/>
      </w:tblGrid>
      <w:tr>
        <w:trPr/>
        <w:tc>
          <w:tcPr>
            <w:tcW w:w="20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9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Pre-Tax Gain (Loss) Recognized in OCI</w:t>
            </w:r>
          </w:p>
        </w:tc>
        <w:tc>
          <w:tcPr>
            <w:tcW w:w="60" w:type="dxa"/>
            <w:tcBorders/>
            <w:shd w:fill="FFFFFF" w:val="clear"/>
            <w:vAlign w:val="center"/>
          </w:tcPr>
          <w:p>
            <w:pPr>
              <w:pStyle w:val="TableContents"/>
              <w:bidi w:val="0"/>
              <w:spacing w:before="0" w:after="283"/>
              <w:ind w:left="0" w:right="0" w:hanging="0"/>
              <w:jc w:val="left"/>
              <w:rPr/>
            </w:pPr>
            <w:r>
              <w:rPr/>
              <w:t> </w:t>
            </w:r>
          </w:p>
        </w:tc>
        <w:tc>
          <w:tcPr>
            <w:tcW w:w="305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Location of Loss Reclassified from AOCI into Net Earnings</w:t>
            </w:r>
          </w:p>
        </w:tc>
        <w:tc>
          <w:tcPr>
            <w:tcW w:w="60" w:type="dxa"/>
            <w:tcBorders/>
            <w:shd w:fill="FFFFFF" w:val="clear"/>
            <w:vAlign w:val="center"/>
          </w:tcPr>
          <w:p>
            <w:pPr>
              <w:pStyle w:val="TableContents"/>
              <w:bidi w:val="0"/>
              <w:spacing w:before="0" w:after="283"/>
              <w:ind w:left="0" w:right="0" w:hanging="0"/>
              <w:jc w:val="left"/>
              <w:rPr/>
            </w:pPr>
            <w:r>
              <w:rPr/>
              <w:t> </w:t>
            </w:r>
          </w:p>
        </w:tc>
        <w:tc>
          <w:tcPr>
            <w:tcW w:w="293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Pre- Tax Loss Reclassified from AOCI into Net Earnings</w:t>
            </w:r>
          </w:p>
        </w:tc>
        <w:tc>
          <w:tcPr>
            <w:tcW w:w="83" w:type="dxa"/>
            <w:tcBorders/>
            <w:shd w:fill="FFFFFF" w:val="clear"/>
            <w:vAlign w:val="center"/>
          </w:tcPr>
          <w:p>
            <w:pPr>
              <w:pStyle w:val="TableContents"/>
              <w:bidi w:val="0"/>
              <w:spacing w:before="0" w:after="283"/>
              <w:jc w:val="left"/>
              <w:rPr/>
            </w:pPr>
            <w:r>
              <w:rPr/>
              <w:t> </w:t>
            </w:r>
          </w:p>
        </w:tc>
      </w:tr>
      <w:tr>
        <w:trPr/>
        <w:tc>
          <w:tcPr>
            <w:tcW w:w="206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 the three months ended June 30, 2023:</w:t>
            </w:r>
          </w:p>
        </w:tc>
        <w:tc>
          <w:tcPr>
            <w:tcW w:w="60" w:type="dxa"/>
            <w:tcBorders/>
            <w:shd w:fill="CCEEFF" w:val="clear"/>
            <w:vAlign w:val="center"/>
          </w:tcPr>
          <w:p>
            <w:pPr>
              <w:pStyle w:val="TableContents"/>
              <w:bidi w:val="0"/>
              <w:spacing w:before="0" w:after="283"/>
              <w:jc w:val="left"/>
              <w:rPr/>
            </w:pPr>
            <w:r>
              <w:rPr/>
              <w:t> </w:t>
            </w:r>
          </w:p>
        </w:tc>
        <w:tc>
          <w:tcPr>
            <w:tcW w:w="612" w:type="dxa"/>
            <w:tcBorders/>
            <w:shd w:fill="CCEEFF" w:val="clear"/>
            <w:vAlign w:val="center"/>
          </w:tcPr>
          <w:p>
            <w:pPr>
              <w:pStyle w:val="TableContents"/>
              <w:bidi w:val="0"/>
              <w:spacing w:before="0" w:after="283"/>
              <w:jc w:val="left"/>
              <w:rPr/>
            </w:pPr>
            <w:r>
              <w:rPr/>
              <w:t> </w:t>
            </w:r>
          </w:p>
        </w:tc>
        <w:tc>
          <w:tcPr>
            <w:tcW w:w="12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left"/>
              <w:rPr/>
            </w:pPr>
            <w:r>
              <w:rPr/>
              <w:t> </w:t>
            </w:r>
          </w:p>
        </w:tc>
        <w:tc>
          <w:tcPr>
            <w:tcW w:w="223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2063"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Hot-rolled coil steel contracts</w:t>
            </w:r>
          </w:p>
        </w:tc>
        <w:tc>
          <w:tcPr>
            <w:tcW w:w="60" w:type="dxa"/>
            <w:tcBorders/>
            <w:shd w:fill="FFFFFF" w:val="clear"/>
            <w:vAlign w:val="center"/>
          </w:tcPr>
          <w:p>
            <w:pPr>
              <w:pStyle w:val="TableContents"/>
              <w:bidi w:val="0"/>
              <w:spacing w:before="0" w:after="283"/>
              <w:ind w:left="0" w:right="0" w:hanging="0"/>
              <w:jc w:val="left"/>
              <w:rPr/>
            </w:pPr>
            <w:r>
              <w:rPr/>
              <w:t> </w:t>
            </w:r>
          </w:p>
        </w:tc>
        <w:tc>
          <w:tcPr>
            <w:tcW w:w="61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7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3050"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Sales</w:t>
            </w:r>
          </w:p>
        </w:tc>
        <w:tc>
          <w:tcPr>
            <w:tcW w:w="60" w:type="dxa"/>
            <w:tcBorders/>
            <w:shd w:fill="FFFFFF" w:val="clear"/>
            <w:vAlign w:val="center"/>
          </w:tcPr>
          <w:p>
            <w:pPr>
              <w:pStyle w:val="TableContents"/>
              <w:bidi w:val="0"/>
              <w:spacing w:before="0" w:after="283"/>
              <w:ind w:left="0" w:right="0" w:hanging="0"/>
              <w:jc w:val="left"/>
              <w:rPr/>
            </w:pPr>
            <w:r>
              <w:rPr/>
              <w:t> </w:t>
            </w:r>
          </w:p>
        </w:tc>
        <w:tc>
          <w:tcPr>
            <w:tcW w:w="70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2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063"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61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7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3050"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0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23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490"/>
        <w:jc w:val="both"/>
        <w:rPr/>
      </w:pPr>
      <w:r>
        <w:rPr>
          <w:rFonts w:ascii="Times New Roman" w:hAnsi="Times New Roman"/>
          <w:caps w:val="false"/>
          <w:smallCaps w:val="false"/>
          <w:sz w:val="20"/>
          <w:shd w:fill="FFFFFF" w:val="clear"/>
        </w:rPr>
        <w:t xml:space="preserve">The following table summarizes the </w:t>
      </w:r>
      <w:r>
        <w:rPr>
          <w:rFonts w:ascii="Times New Roman" w:hAnsi="Times New Roman"/>
          <w:caps w:val="false"/>
          <w:smallCaps w:val="false"/>
          <w:sz w:val="20"/>
        </w:rPr>
        <w:t xml:space="preserve">gain </w:t>
      </w:r>
      <w:r>
        <w:rPr>
          <w:rFonts w:ascii="Times New Roman" w:hAnsi="Times New Roman"/>
          <w:caps w:val="false"/>
          <w:smallCaps w:val="false"/>
          <w:sz w:val="20"/>
          <w:shd w:fill="FFFFFF" w:val="clear"/>
        </w:rPr>
        <w:t xml:space="preserve">recognized in earnings for derivative instruments </w:t>
      </w:r>
      <w:r>
        <w:rPr>
          <w:rStyle w:val="Emphasis"/>
          <w:rFonts w:ascii="Times New Roman" w:hAnsi="Times New Roman"/>
          <w:caps w:val="false"/>
          <w:smallCaps w:val="false"/>
          <w:sz w:val="20"/>
          <w:shd w:fill="FFFFFF" w:val="clear"/>
        </w:rPr>
        <w:t>not</w:t>
      </w:r>
      <w:r>
        <w:rPr>
          <w:rFonts w:ascii="Times New Roman" w:hAnsi="Times New Roman"/>
          <w:caps w:val="false"/>
          <w:smallCaps w:val="false"/>
          <w:sz w:val="20"/>
          <w:shd w:fill="FFFFFF" w:val="clear"/>
        </w:rPr>
        <w:t xml:space="preserve"> designated as hedging instruments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2024</w:t>
      </w:r>
      <w:r>
        <w:rPr>
          <w:rFonts w:ascii="Times New Roman" w:hAnsi="Times New Roman"/>
          <w:caps w:val="false"/>
          <w:smallCaps w:val="false"/>
          <w:sz w:val="20"/>
          <w:shd w:fill="FFFFFF" w:val="clear"/>
        </w:rPr>
        <w:t> (in thousands):</w:t>
      </w:r>
    </w:p>
    <w:p>
      <w:pPr>
        <w:pStyle w:val="TextBody"/>
        <w:bidi w:val="0"/>
        <w:spacing w:before="0" w:after="0"/>
        <w:ind w:left="0" w:right="0" w:firstLine="490"/>
        <w:jc w:val="both"/>
        <w:rPr>
          <w:caps w:val="false"/>
          <w:smallCaps w:val="false"/>
        </w:rPr>
      </w:pPr>
      <w:r>
        <w:rPr>
          <w:caps w:val="false"/>
          <w:smallCaps w:val="false"/>
        </w:rPr>
        <w:t> </w:t>
      </w:r>
    </w:p>
    <w:tbl>
      <w:tblPr>
        <w:tblW w:w="7665" w:type="dxa"/>
        <w:jc w:val="left"/>
        <w:tblInd w:w="0" w:type="dxa"/>
        <w:tblLayout w:type="fixed"/>
        <w:tblCellMar>
          <w:top w:w="0" w:type="dxa"/>
          <w:left w:w="0" w:type="dxa"/>
          <w:bottom w:w="0" w:type="dxa"/>
          <w:right w:w="0" w:type="dxa"/>
        </w:tblCellMar>
      </w:tblPr>
      <w:tblGrid>
        <w:gridCol w:w="2420"/>
        <w:gridCol w:w="2675"/>
        <w:gridCol w:w="60"/>
        <w:gridCol w:w="500"/>
        <w:gridCol w:w="1950"/>
        <w:gridCol w:w="60"/>
      </w:tblGrid>
      <w:tr>
        <w:trPr/>
        <w:tc>
          <w:tcPr>
            <w:tcW w:w="2420" w:type="dxa"/>
            <w:tcBorders/>
            <w:shd w:fill="FFFFFF" w:val="clear"/>
            <w:vAlign w:val="center"/>
          </w:tcPr>
          <w:p>
            <w:pPr>
              <w:pStyle w:val="TableContents"/>
              <w:bidi w:val="0"/>
              <w:spacing w:before="0" w:after="283"/>
              <w:jc w:val="left"/>
              <w:rPr/>
            </w:pPr>
            <w:r>
              <w:rPr/>
              <w:t> </w:t>
            </w:r>
          </w:p>
        </w:tc>
        <w:tc>
          <w:tcPr>
            <w:tcW w:w="2675"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5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Gain Recognized in Earnings</w:t>
            </w:r>
          </w:p>
        </w:tc>
        <w:tc>
          <w:tcPr>
            <w:tcW w:w="60" w:type="dxa"/>
            <w:tcBorders/>
            <w:shd w:fill="FFFFFF" w:val="clear"/>
            <w:vAlign w:val="center"/>
          </w:tcPr>
          <w:p>
            <w:pPr>
              <w:pStyle w:val="TableContents"/>
              <w:bidi w:val="0"/>
              <w:spacing w:before="0" w:after="283"/>
              <w:jc w:val="left"/>
              <w:rPr/>
            </w:pPr>
            <w:r>
              <w:rPr/>
              <w:t> </w:t>
            </w:r>
          </w:p>
        </w:tc>
      </w:tr>
      <w:tr>
        <w:trPr/>
        <w:tc>
          <w:tcPr>
            <w:tcW w:w="2420" w:type="dxa"/>
            <w:tcBorders/>
            <w:shd w:fill="FFFFFF" w:val="clear"/>
            <w:vAlign w:val="center"/>
          </w:tcPr>
          <w:p>
            <w:pPr>
              <w:pStyle w:val="TableContents"/>
              <w:bidi w:val="0"/>
              <w:spacing w:before="0" w:after="283"/>
              <w:ind w:left="0" w:right="0" w:hanging="0"/>
              <w:jc w:val="left"/>
              <w:rPr/>
            </w:pPr>
            <w:r>
              <w:rPr/>
              <w:t> </w:t>
            </w:r>
          </w:p>
        </w:tc>
        <w:tc>
          <w:tcPr>
            <w:tcW w:w="2675" w:type="dxa"/>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Location of Gain</w:t>
            </w:r>
          </w:p>
        </w:tc>
        <w:tc>
          <w:tcPr>
            <w:tcW w:w="60" w:type="dxa"/>
            <w:tcBorders/>
            <w:shd w:fill="FFFFFF" w:val="clear"/>
            <w:vAlign w:val="center"/>
          </w:tcPr>
          <w:p>
            <w:pPr>
              <w:pStyle w:val="TableContents"/>
              <w:bidi w:val="0"/>
              <w:spacing w:before="0" w:after="283"/>
              <w:ind w:left="0" w:right="0" w:hanging="0"/>
              <w:jc w:val="left"/>
              <w:rPr/>
            </w:pPr>
            <w:r>
              <w:rPr/>
              <w:t> </w:t>
            </w:r>
          </w:p>
        </w:tc>
        <w:tc>
          <w:tcPr>
            <w:tcW w:w="245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for the Three Months Ended</w:t>
            </w:r>
          </w:p>
        </w:tc>
        <w:tc>
          <w:tcPr>
            <w:tcW w:w="60" w:type="dxa"/>
            <w:tcBorders/>
            <w:shd w:fill="FFFFFF" w:val="clear"/>
            <w:vAlign w:val="center"/>
          </w:tcPr>
          <w:p>
            <w:pPr>
              <w:pStyle w:val="TableContents"/>
              <w:bidi w:val="0"/>
              <w:spacing w:before="0" w:after="283"/>
              <w:jc w:val="left"/>
              <w:rPr/>
            </w:pPr>
            <w:r>
              <w:rPr/>
              <w:t> </w:t>
            </w:r>
          </w:p>
        </w:tc>
      </w:tr>
      <w:tr>
        <w:trPr/>
        <w:tc>
          <w:tcPr>
            <w:tcW w:w="2420" w:type="dxa"/>
            <w:tcBorders/>
            <w:shd w:fill="FFFFFF" w:val="clear"/>
            <w:vAlign w:val="center"/>
          </w:tcPr>
          <w:p>
            <w:pPr>
              <w:pStyle w:val="TableContents"/>
              <w:bidi w:val="0"/>
              <w:spacing w:before="0" w:after="283"/>
              <w:ind w:left="0" w:right="0" w:hanging="0"/>
              <w:jc w:val="left"/>
              <w:rPr/>
            </w:pPr>
            <w:r>
              <w:rPr/>
              <w:t> </w:t>
            </w:r>
          </w:p>
        </w:tc>
        <w:tc>
          <w:tcPr>
            <w:tcW w:w="267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Recognized in Earnings</w:t>
            </w:r>
          </w:p>
        </w:tc>
        <w:tc>
          <w:tcPr>
            <w:tcW w:w="60" w:type="dxa"/>
            <w:tcBorders/>
            <w:shd w:fill="FFFFFF" w:val="clear"/>
            <w:vAlign w:val="center"/>
          </w:tcPr>
          <w:p>
            <w:pPr>
              <w:pStyle w:val="TableContents"/>
              <w:bidi w:val="0"/>
              <w:spacing w:before="0" w:after="283"/>
              <w:ind w:left="0" w:right="0" w:hanging="0"/>
              <w:jc w:val="left"/>
              <w:rPr/>
            </w:pPr>
            <w:r>
              <w:rPr/>
              <w:t> </w:t>
            </w:r>
          </w:p>
        </w:tc>
        <w:tc>
          <w:tcPr>
            <w:tcW w:w="2450"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 w:hAnsi="Times New Roman"/>
                <w:b/>
                <w:sz w:val="20"/>
              </w:rPr>
              <w:t>June 30, 2024</w:t>
            </w:r>
          </w:p>
        </w:tc>
        <w:tc>
          <w:tcPr>
            <w:tcW w:w="60" w:type="dxa"/>
            <w:tcBorders/>
            <w:shd w:fill="FFFFFF" w:val="clear"/>
            <w:vAlign w:val="center"/>
          </w:tcPr>
          <w:p>
            <w:pPr>
              <w:pStyle w:val="TableContents"/>
              <w:bidi w:val="0"/>
              <w:spacing w:before="0" w:after="283"/>
              <w:jc w:val="left"/>
              <w:rPr/>
            </w:pPr>
            <w:r>
              <w:rPr/>
              <w:t> </w:t>
            </w:r>
          </w:p>
        </w:tc>
      </w:tr>
      <w:tr>
        <w:trPr/>
        <w:tc>
          <w:tcPr>
            <w:tcW w:w="24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Hot-rolled coil steel contracts</w:t>
            </w:r>
          </w:p>
        </w:tc>
        <w:tc>
          <w:tcPr>
            <w:tcW w:w="2675" w:type="dxa"/>
            <w:tcBorders/>
            <w:shd w:fill="CCEE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Gain on economic hedges of risk</w:t>
            </w:r>
          </w:p>
        </w:tc>
        <w:tc>
          <w:tcPr>
            <w:tcW w:w="60" w:type="dxa"/>
            <w:tcBorders/>
            <w:shd w:fill="CCEEFF" w:val="clear"/>
            <w:vAlign w:val="center"/>
          </w:tcPr>
          <w:p>
            <w:pPr>
              <w:pStyle w:val="TableContents"/>
              <w:bidi w:val="0"/>
              <w:spacing w:before="0" w:after="283"/>
              <w:ind w:left="0" w:right="0" w:hanging="0"/>
              <w:jc w:val="left"/>
              <w:rPr/>
            </w:pPr>
            <w:r>
              <w:rPr/>
              <w:t> </w:t>
            </w:r>
          </w:p>
        </w:tc>
        <w:tc>
          <w:tcPr>
            <w:tcW w:w="50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5,375</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540"/>
        <w:jc w:val="both"/>
        <w:rPr/>
      </w:pPr>
      <w:r>
        <w:rPr>
          <w:rFonts w:ascii="Times New Roman;Times;serif" w:hAnsi="Times New Roman;Times;serif"/>
          <w:sz w:val="20"/>
        </w:rPr>
        <w:t xml:space="preserve">The following table summarizes the gain recognized in earnings for derivative instruments </w:t>
      </w:r>
      <w:r>
        <w:rPr>
          <w:rStyle w:val="Emphasis"/>
          <w:rFonts w:ascii="Times New Roman;Times;serif" w:hAnsi="Times New Roman;Times;serif"/>
          <w:sz w:val="20"/>
        </w:rPr>
        <w:t>not</w:t>
      </w:r>
      <w:r>
        <w:rPr>
          <w:rFonts w:ascii="Times New Roman;Times;serif" w:hAnsi="Times New Roman;Times;serif"/>
          <w:sz w:val="20"/>
        </w:rPr>
        <w:t xml:space="preserve"> designated as hedging instruments during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June 30, 2023</w:t>
      </w:r>
      <w:r>
        <w:rPr>
          <w:rFonts w:ascii="Times New Roman;Times;serif" w:hAnsi="Times New Roman;Times;serif"/>
          <w:sz w:val="20"/>
        </w:rPr>
        <w:t> </w:t>
      </w:r>
      <w:r>
        <w:rPr>
          <w:rFonts w:ascii="Times New Roman;Times;serif" w:hAnsi="Times New Roman;Times;serif"/>
          <w:sz w:val="20"/>
          <w:shd w:fill="FFFFFF" w:val="clear"/>
        </w:rPr>
        <w:t>(in thousands):</w:t>
      </w:r>
    </w:p>
    <w:p>
      <w:pPr>
        <w:pStyle w:val="TextBody"/>
        <w:bidi w:val="0"/>
        <w:spacing w:before="0" w:after="0"/>
        <w:ind w:left="0" w:right="0" w:hanging="0"/>
        <w:jc w:val="left"/>
        <w:rPr>
          <w:caps w:val="false"/>
          <w:smallCaps w:val="false"/>
        </w:rPr>
      </w:pPr>
      <w:r>
        <w:rPr>
          <w:caps w:val="false"/>
          <w:smallCaps w:val="false"/>
        </w:rPr>
        <w:t> </w:t>
      </w:r>
    </w:p>
    <w:tbl>
      <w:tblPr>
        <w:tblW w:w="7665" w:type="dxa"/>
        <w:jc w:val="left"/>
        <w:tblInd w:w="0" w:type="dxa"/>
        <w:tblLayout w:type="fixed"/>
        <w:tblCellMar>
          <w:top w:w="0" w:type="dxa"/>
          <w:left w:w="0" w:type="dxa"/>
          <w:bottom w:w="0" w:type="dxa"/>
          <w:right w:w="0" w:type="dxa"/>
        </w:tblCellMar>
      </w:tblPr>
      <w:tblGrid>
        <w:gridCol w:w="2420"/>
        <w:gridCol w:w="2675"/>
        <w:gridCol w:w="60"/>
        <w:gridCol w:w="665"/>
        <w:gridCol w:w="1785"/>
        <w:gridCol w:w="60"/>
      </w:tblGrid>
      <w:tr>
        <w:trPr/>
        <w:tc>
          <w:tcPr>
            <w:tcW w:w="2420" w:type="dxa"/>
            <w:tcBorders/>
            <w:shd w:fill="FFFFFF" w:val="clear"/>
            <w:vAlign w:val="center"/>
          </w:tcPr>
          <w:p>
            <w:pPr>
              <w:pStyle w:val="TableContents"/>
              <w:bidi w:val="0"/>
              <w:spacing w:before="0" w:after="283"/>
              <w:jc w:val="left"/>
              <w:rPr/>
            </w:pPr>
            <w:r>
              <w:rPr/>
              <w:t> </w:t>
            </w:r>
          </w:p>
        </w:tc>
        <w:tc>
          <w:tcPr>
            <w:tcW w:w="2675"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5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Gain Recognized in Earnings</w:t>
            </w:r>
          </w:p>
        </w:tc>
        <w:tc>
          <w:tcPr>
            <w:tcW w:w="60" w:type="dxa"/>
            <w:tcBorders/>
            <w:shd w:fill="FFFFFF" w:val="clear"/>
            <w:vAlign w:val="center"/>
          </w:tcPr>
          <w:p>
            <w:pPr>
              <w:pStyle w:val="TableContents"/>
              <w:bidi w:val="0"/>
              <w:spacing w:before="0" w:after="283"/>
              <w:jc w:val="left"/>
              <w:rPr/>
            </w:pPr>
            <w:r>
              <w:rPr/>
              <w:t> </w:t>
            </w:r>
          </w:p>
        </w:tc>
      </w:tr>
      <w:tr>
        <w:trPr/>
        <w:tc>
          <w:tcPr>
            <w:tcW w:w="2420" w:type="dxa"/>
            <w:tcBorders/>
            <w:shd w:fill="FFFFFF" w:val="clear"/>
            <w:vAlign w:val="center"/>
          </w:tcPr>
          <w:p>
            <w:pPr>
              <w:pStyle w:val="TableContents"/>
              <w:bidi w:val="0"/>
              <w:spacing w:before="0" w:after="283"/>
              <w:ind w:left="0" w:right="0" w:hanging="0"/>
              <w:jc w:val="left"/>
              <w:rPr/>
            </w:pPr>
            <w:r>
              <w:rPr/>
              <w:t> </w:t>
            </w:r>
          </w:p>
        </w:tc>
        <w:tc>
          <w:tcPr>
            <w:tcW w:w="2675" w:type="dxa"/>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Location of Gain</w:t>
            </w:r>
          </w:p>
        </w:tc>
        <w:tc>
          <w:tcPr>
            <w:tcW w:w="60" w:type="dxa"/>
            <w:tcBorders/>
            <w:shd w:fill="FFFFFF" w:val="clear"/>
            <w:vAlign w:val="center"/>
          </w:tcPr>
          <w:p>
            <w:pPr>
              <w:pStyle w:val="TableContents"/>
              <w:bidi w:val="0"/>
              <w:spacing w:before="0" w:after="283"/>
              <w:ind w:left="0" w:right="0" w:hanging="0"/>
              <w:jc w:val="left"/>
              <w:rPr/>
            </w:pPr>
            <w:r>
              <w:rPr/>
              <w:t> </w:t>
            </w:r>
          </w:p>
        </w:tc>
        <w:tc>
          <w:tcPr>
            <w:tcW w:w="245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for the Three Months Ended</w:t>
            </w:r>
          </w:p>
        </w:tc>
        <w:tc>
          <w:tcPr>
            <w:tcW w:w="60" w:type="dxa"/>
            <w:tcBorders/>
            <w:shd w:fill="FFFFFF" w:val="clear"/>
            <w:vAlign w:val="center"/>
          </w:tcPr>
          <w:p>
            <w:pPr>
              <w:pStyle w:val="TableContents"/>
              <w:bidi w:val="0"/>
              <w:spacing w:before="0" w:after="283"/>
              <w:jc w:val="left"/>
              <w:rPr/>
            </w:pPr>
            <w:r>
              <w:rPr/>
              <w:t> </w:t>
            </w:r>
          </w:p>
        </w:tc>
      </w:tr>
      <w:tr>
        <w:trPr/>
        <w:tc>
          <w:tcPr>
            <w:tcW w:w="2420" w:type="dxa"/>
            <w:tcBorders/>
            <w:shd w:fill="FFFFFF" w:val="clear"/>
            <w:vAlign w:val="center"/>
          </w:tcPr>
          <w:p>
            <w:pPr>
              <w:pStyle w:val="TableContents"/>
              <w:bidi w:val="0"/>
              <w:spacing w:before="0" w:after="283"/>
              <w:ind w:left="0" w:right="0" w:hanging="0"/>
              <w:jc w:val="left"/>
              <w:rPr/>
            </w:pPr>
            <w:r>
              <w:rPr/>
              <w:t> </w:t>
            </w:r>
          </w:p>
        </w:tc>
        <w:tc>
          <w:tcPr>
            <w:tcW w:w="267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Recognized in Earnings</w:t>
            </w:r>
          </w:p>
        </w:tc>
        <w:tc>
          <w:tcPr>
            <w:tcW w:w="60" w:type="dxa"/>
            <w:tcBorders/>
            <w:shd w:fill="FFFFFF" w:val="clear"/>
            <w:vAlign w:val="center"/>
          </w:tcPr>
          <w:p>
            <w:pPr>
              <w:pStyle w:val="TableContents"/>
              <w:bidi w:val="0"/>
              <w:spacing w:before="0" w:after="283"/>
              <w:ind w:left="0" w:right="0" w:hanging="0"/>
              <w:jc w:val="left"/>
              <w:rPr/>
            </w:pPr>
            <w:r>
              <w:rPr/>
              <w:t> </w:t>
            </w:r>
          </w:p>
        </w:tc>
        <w:tc>
          <w:tcPr>
            <w:tcW w:w="24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 2023</w:t>
            </w:r>
          </w:p>
        </w:tc>
        <w:tc>
          <w:tcPr>
            <w:tcW w:w="60" w:type="dxa"/>
            <w:tcBorders/>
            <w:shd w:fill="FFFFFF" w:val="clear"/>
            <w:vAlign w:val="center"/>
          </w:tcPr>
          <w:p>
            <w:pPr>
              <w:pStyle w:val="TableContents"/>
              <w:bidi w:val="0"/>
              <w:spacing w:before="0" w:after="283"/>
              <w:jc w:val="left"/>
              <w:rPr/>
            </w:pPr>
            <w:r>
              <w:rPr/>
              <w:t> </w:t>
            </w:r>
          </w:p>
        </w:tc>
      </w:tr>
      <w:tr>
        <w:trPr/>
        <w:tc>
          <w:tcPr>
            <w:tcW w:w="24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Hot-rolled coil steel contracts</w:t>
            </w:r>
          </w:p>
        </w:tc>
        <w:tc>
          <w:tcPr>
            <w:tcW w:w="2675" w:type="dxa"/>
            <w:tcBorders/>
            <w:shd w:fill="CCEE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Gain on economic hedges of risk</w:t>
            </w:r>
          </w:p>
        </w:tc>
        <w:tc>
          <w:tcPr>
            <w:tcW w:w="6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7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Times;serif" w:hAnsi="Times New Roman;Times;serif"/>
          <w:sz w:val="20"/>
        </w:rPr>
        <w:t xml:space="preserve">The notional amount (quantity) of our derivative instruments </w:t>
      </w:r>
      <w:r>
        <w:rPr>
          <w:rStyle w:val="Emphasis"/>
          <w:rFonts w:ascii="Times New Roman;Times;serif" w:hAnsi="Times New Roman;Times;serif"/>
          <w:sz w:val="20"/>
        </w:rPr>
        <w:t>not</w:t>
      </w:r>
      <w:r>
        <w:rPr>
          <w:rFonts w:ascii="Times New Roman;Times;serif" w:hAnsi="Times New Roman;Times;serif"/>
          <w:sz w:val="20"/>
        </w:rPr>
        <w:t xml:space="preserve"> designated as hedging instruments at </w:t>
      </w:r>
      <w:r>
        <w:rPr>
          <w:rStyle w:val="Emphasis"/>
          <w:rFonts w:ascii="Times New Roman;Times;serif" w:hAnsi="Times New Roman;Times;serif"/>
          <w:sz w:val="20"/>
        </w:rPr>
        <w:t>June 30, 2024</w:t>
      </w:r>
      <w:r>
        <w:rPr>
          <w:rFonts w:ascii="Times New Roman;Times;serif" w:hAnsi="Times New Roman;Times;serif"/>
          <w:sz w:val="20"/>
        </w:rPr>
        <w:t xml:space="preserve"> consisted of 280 tons of short positions with maturity dates ranging from </w:t>
      </w:r>
      <w:r>
        <w:rPr>
          <w:rStyle w:val="Emphasis"/>
          <w:rFonts w:ascii="Times New Roman;Times;serif" w:hAnsi="Times New Roman;Times;serif"/>
          <w:sz w:val="20"/>
        </w:rPr>
        <w:t>July 2024 </w:t>
      </w:r>
      <w:r>
        <w:rPr>
          <w:rFonts w:ascii="Times New Roman;Times;serif" w:hAnsi="Times New Roman;Times;serif"/>
          <w:sz w:val="20"/>
        </w:rPr>
        <w:t xml:space="preserve">to </w:t>
      </w:r>
      <w:r>
        <w:rPr>
          <w:rStyle w:val="Emphasis"/>
          <w:rFonts w:ascii="Times New Roman;Times;serif" w:hAnsi="Times New Roman;Times;serif"/>
          <w:sz w:val="20"/>
        </w:rPr>
        <w:t xml:space="preserve">December 2024 </w:t>
      </w:r>
      <w:r>
        <w:rPr>
          <w:rFonts w:ascii="Times New Roman;Times;serif" w:hAnsi="Times New Roman;Times;serif"/>
          <w:sz w:val="20"/>
        </w:rPr>
        <w:t xml:space="preserve">and 220 tons of long positions with a </w:t>
      </w:r>
      <w:r>
        <w:rPr>
          <w:rStyle w:val="Emphasis"/>
          <w:rFonts w:ascii="Times New Roman;Times;serif" w:hAnsi="Times New Roman;Times;serif"/>
          <w:sz w:val="20"/>
        </w:rPr>
        <w:t xml:space="preserve">September 2024 </w:t>
      </w:r>
      <w:r>
        <w:rPr>
          <w:rFonts w:ascii="Times New Roman;Times;serif" w:hAnsi="Times New Roman;Times;serif"/>
          <w:sz w:val="20"/>
        </w:rPr>
        <w:t>maturity date.</w:t>
      </w:r>
    </w:p>
    <w:p>
      <w:pPr>
        <w:pStyle w:val="TextBody"/>
        <w:bidi w:val="0"/>
        <w:spacing w:before="0" w:after="0"/>
        <w:ind w:left="0" w:right="0" w:hanging="0"/>
        <w:jc w:val="left"/>
        <w:rPr/>
      </w:pPr>
      <w:r>
        <w:rPr/>
        <w:t> </w:t>
      </w:r>
    </w:p>
    <w:p>
      <w:pPr>
        <w:pStyle w:val="TextBody"/>
        <w:bidi w:val="0"/>
        <w:spacing w:before="0" w:after="0"/>
        <w:ind w:left="0" w:right="0" w:firstLine="540"/>
        <w:jc w:val="both"/>
        <w:rPr/>
      </w:pPr>
      <w:r>
        <w:rPr>
          <w:rFonts w:ascii="Times New Roman;Times;serif" w:hAnsi="Times New Roman;Times;serif"/>
          <w:sz w:val="20"/>
        </w:rPr>
        <w:t xml:space="preserve">The following tables reflect the change in accumulated other comprehensive income (loss), net of tax, for </w:t>
      </w:r>
      <w:r>
        <w:rPr>
          <w:rFonts w:ascii="Times New Roman;Times;serif" w:hAnsi="Times New Roman;Times;serif"/>
          <w:sz w:val="20"/>
          <w:shd w:fill="FFFFFF" w:val="clear"/>
        </w:rPr>
        <w:t xml:space="preserve">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June 30, 2023</w:t>
      </w:r>
      <w:r>
        <w:rPr>
          <w:rFonts w:ascii="Times New Roman;Times;serif" w:hAnsi="Times New Roman;Times;serif"/>
          <w:sz w:val="20"/>
          <w:shd w:fill="FFFFFF" w:val="clear"/>
        </w:rPr>
        <w:t> (in thousands):</w:t>
      </w:r>
    </w:p>
    <w:p>
      <w:pPr>
        <w:pStyle w:val="TextBody"/>
        <w:bidi w:val="0"/>
        <w:spacing w:before="0" w:after="0"/>
        <w:ind w:left="0" w:right="0" w:firstLine="540"/>
        <w:jc w:val="both"/>
        <w:rPr/>
      </w:pPr>
      <w:r>
        <w:rPr/>
        <w:t> </w:t>
      </w:r>
    </w:p>
    <w:p>
      <w:pPr>
        <w:pStyle w:val="TextBody"/>
        <w:bidi w:val="0"/>
        <w:spacing w:before="0" w:after="0"/>
        <w:ind w:left="0" w:right="0" w:hanging="0"/>
        <w:jc w:val="left"/>
        <w:rPr/>
      </w:pPr>
      <w:r>
        <w:rPr/>
        <w:t> </w:t>
      </w:r>
    </w:p>
    <w:tbl>
      <w:tblPr>
        <w:tblW w:w="6569" w:type="dxa"/>
        <w:jc w:val="left"/>
        <w:tblInd w:w="0" w:type="dxa"/>
        <w:tblLayout w:type="fixed"/>
        <w:tblCellMar>
          <w:top w:w="0" w:type="dxa"/>
          <w:left w:w="0" w:type="dxa"/>
          <w:bottom w:w="0" w:type="dxa"/>
          <w:right w:w="0" w:type="dxa"/>
        </w:tblCellMar>
      </w:tblPr>
      <w:tblGrid>
        <w:gridCol w:w="5195"/>
        <w:gridCol w:w="60"/>
        <w:gridCol w:w="293"/>
        <w:gridCol w:w="926"/>
        <w:gridCol w:w="95"/>
      </w:tblGrid>
      <w:tr>
        <w:trPr/>
        <w:tc>
          <w:tcPr>
            <w:tcW w:w="5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Gain (Loss) on</w:t>
            </w:r>
          </w:p>
        </w:tc>
        <w:tc>
          <w:tcPr>
            <w:tcW w:w="95" w:type="dxa"/>
            <w:tcBorders/>
            <w:shd w:fill="FFFFFF" w:val="clear"/>
            <w:vAlign w:val="center"/>
          </w:tcPr>
          <w:p>
            <w:pPr>
              <w:pStyle w:val="TableContents"/>
              <w:bidi w:val="0"/>
              <w:spacing w:before="0" w:after="283"/>
              <w:jc w:val="left"/>
              <w:rPr/>
            </w:pPr>
            <w:r>
              <w:rPr/>
              <w:t> </w:t>
            </w:r>
          </w:p>
        </w:tc>
      </w:tr>
      <w:tr>
        <w:trPr/>
        <w:tc>
          <w:tcPr>
            <w:tcW w:w="5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Derivatives</w:t>
            </w:r>
          </w:p>
        </w:tc>
        <w:tc>
          <w:tcPr>
            <w:tcW w:w="95" w:type="dxa"/>
            <w:tcBorders/>
            <w:shd w:fill="FFFFFF" w:val="clear"/>
            <w:vAlign w:val="center"/>
          </w:tcPr>
          <w:p>
            <w:pPr>
              <w:pStyle w:val="TableContents"/>
              <w:bidi w:val="0"/>
              <w:spacing w:before="0" w:after="283"/>
              <w:jc w:val="left"/>
              <w:rPr/>
            </w:pPr>
            <w:r>
              <w:rPr/>
              <w:t> </w:t>
            </w:r>
          </w:p>
        </w:tc>
      </w:tr>
      <w:tr>
        <w:trPr/>
        <w:tc>
          <w:tcPr>
            <w:tcW w:w="51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March 31, 2023</w:t>
            </w:r>
          </w:p>
        </w:tc>
        <w:tc>
          <w:tcPr>
            <w:tcW w:w="60" w:type="dxa"/>
            <w:tcBorders/>
            <w:shd w:fill="CCEEFF" w:val="clear"/>
            <w:vAlign w:val="center"/>
          </w:tcPr>
          <w:p>
            <w:pPr>
              <w:pStyle w:val="TableContents"/>
              <w:bidi w:val="0"/>
              <w:spacing w:before="0" w:after="283"/>
              <w:ind w:left="0" w:right="0" w:hanging="0"/>
              <w:jc w:val="left"/>
              <w:rPr/>
            </w:pPr>
            <w:r>
              <w:rPr/>
              <w:t> </w:t>
            </w:r>
          </w:p>
        </w:tc>
        <w:tc>
          <w:tcPr>
            <w:tcW w:w="29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(317</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 net of loss, before reclassification</w:t>
            </w:r>
          </w:p>
        </w:tc>
        <w:tc>
          <w:tcPr>
            <w:tcW w:w="60"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ind w:left="0" w:right="0" w:hanging="0"/>
              <w:jc w:val="left"/>
              <w:rPr/>
            </w:pPr>
            <w:r>
              <w:rPr/>
              <w:t> </w:t>
            </w:r>
          </w:p>
        </w:tc>
        <w:tc>
          <w:tcPr>
            <w:tcW w:w="926" w:type="dxa"/>
            <w:tcBorders/>
            <w:shd w:fill="FFFFFF" w:val="clear"/>
            <w:vAlign w:val="center"/>
          </w:tcPr>
          <w:p>
            <w:pPr>
              <w:pStyle w:val="TableContents"/>
              <w:bidi w:val="0"/>
              <w:spacing w:before="0" w:after="283"/>
              <w:ind w:left="0" w:right="0" w:hanging="0"/>
              <w:jc w:val="right"/>
              <w:rPr/>
            </w:pPr>
            <w:r>
              <w:rPr/>
              <w:t>—</w:t>
            </w:r>
          </w:p>
        </w:tc>
        <w:tc>
          <w:tcPr>
            <w:tcW w:w="95" w:type="dxa"/>
            <w:tcBorders/>
            <w:shd w:fill="FFFFFF" w:val="clear"/>
            <w:vAlign w:val="center"/>
          </w:tcPr>
          <w:p>
            <w:pPr>
              <w:pStyle w:val="TableContents"/>
              <w:bidi w:val="0"/>
              <w:spacing w:before="0" w:after="283"/>
              <w:jc w:val="left"/>
              <w:rPr/>
            </w:pPr>
            <w:r>
              <w:rPr/>
              <w:t> </w:t>
            </w:r>
          </w:p>
        </w:tc>
      </w:tr>
      <w:tr>
        <w:trPr/>
        <w:tc>
          <w:tcPr>
            <w:tcW w:w="51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loss reclassified from AOCI (1)</w:t>
            </w:r>
          </w:p>
        </w:tc>
        <w:tc>
          <w:tcPr>
            <w:tcW w:w="60" w:type="dxa"/>
            <w:tcBorders/>
            <w:shd w:fill="CCEEFF" w:val="clear"/>
            <w:vAlign w:val="center"/>
          </w:tcPr>
          <w:p>
            <w:pPr>
              <w:pStyle w:val="TableContents"/>
              <w:bidi w:val="0"/>
              <w:spacing w:before="0" w:after="283"/>
              <w:jc w:val="left"/>
              <w:rPr/>
            </w:pPr>
            <w:r>
              <w:rPr/>
              <w:t> </w:t>
            </w:r>
          </w:p>
        </w:tc>
        <w:tc>
          <w:tcPr>
            <w:tcW w:w="29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317</w:t>
            </w:r>
          </w:p>
        </w:tc>
        <w:tc>
          <w:tcPr>
            <w:tcW w:w="95" w:type="dxa"/>
            <w:tcBorders/>
            <w:shd w:fill="CCEEFF" w:val="clear"/>
            <w:vAlign w:val="center"/>
          </w:tcPr>
          <w:p>
            <w:pPr>
              <w:pStyle w:val="TableContents"/>
              <w:bidi w:val="0"/>
              <w:spacing w:before="0" w:after="283"/>
              <w:jc w:val="left"/>
              <w:rPr/>
            </w:pPr>
            <w:r>
              <w:rPr/>
              <w:t> </w:t>
            </w:r>
          </w:p>
        </w:tc>
      </w:tr>
      <w:tr>
        <w:trPr/>
        <w:tc>
          <w:tcPr>
            <w:tcW w:w="51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current period other comprehensive income</w:t>
            </w:r>
          </w:p>
        </w:tc>
        <w:tc>
          <w:tcPr>
            <w:tcW w:w="60" w:type="dxa"/>
            <w:tcBorders/>
            <w:shd w:fill="FFFFFF" w:val="clear"/>
            <w:vAlign w:val="center"/>
          </w:tcPr>
          <w:p>
            <w:pPr>
              <w:pStyle w:val="TableContents"/>
              <w:bidi w:val="0"/>
              <w:spacing w:before="0" w:after="283"/>
              <w:jc w:val="left"/>
              <w:rPr/>
            </w:pPr>
            <w:r>
              <w:rPr/>
              <w:t> </w:t>
            </w:r>
          </w:p>
        </w:tc>
        <w:tc>
          <w:tcPr>
            <w:tcW w:w="29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317</w:t>
            </w:r>
          </w:p>
        </w:tc>
        <w:tc>
          <w:tcPr>
            <w:tcW w:w="95" w:type="dxa"/>
            <w:tcBorders/>
            <w:shd w:fill="FFFFFF" w:val="clear"/>
            <w:vAlign w:val="center"/>
          </w:tcPr>
          <w:p>
            <w:pPr>
              <w:pStyle w:val="TableContents"/>
              <w:bidi w:val="0"/>
              <w:spacing w:before="0" w:after="283"/>
              <w:jc w:val="left"/>
              <w:rPr/>
            </w:pPr>
            <w:r>
              <w:rPr/>
              <w:t> </w:t>
            </w:r>
          </w:p>
        </w:tc>
      </w:tr>
      <w:tr>
        <w:trPr/>
        <w:tc>
          <w:tcPr>
            <w:tcW w:w="51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June 30, 2023</w:t>
            </w:r>
          </w:p>
        </w:tc>
        <w:tc>
          <w:tcPr>
            <w:tcW w:w="60" w:type="dxa"/>
            <w:tcBorders/>
            <w:shd w:fill="CCEEFF" w:val="clear"/>
            <w:vAlign w:val="center"/>
          </w:tcPr>
          <w:p>
            <w:pPr>
              <w:pStyle w:val="TableContents"/>
              <w:bidi w:val="0"/>
              <w:spacing w:before="0" w:after="283"/>
              <w:ind w:left="0" w:right="0" w:hanging="0"/>
              <w:jc w:val="left"/>
              <w:rPr/>
            </w:pPr>
            <w:r>
              <w:rPr/>
              <w:t> </w:t>
            </w:r>
          </w:p>
        </w:tc>
        <w:tc>
          <w:tcPr>
            <w:tcW w:w="29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shd w:fill="FFFFFF" w:val="clear"/>
        </w:rPr>
        <w:t>(</w:t>
      </w:r>
      <w:r>
        <w:rPr>
          <w:rStyle w:val="Emphasis"/>
          <w:rFonts w:ascii="Times New Roman;Times;serif" w:hAnsi="Times New Roman;Times;serif"/>
          <w:sz w:val="20"/>
          <w:shd w:fill="FFFFFF" w:val="clear"/>
        </w:rPr>
        <w:t>1</w:t>
      </w:r>
      <w:r>
        <w:rPr>
          <w:rFonts w:ascii="Times New Roman;Times;serif" w:hAnsi="Times New Roman;Times;serif"/>
          <w:sz w:val="20"/>
          <w:shd w:fill="FFFFFF" w:val="clear"/>
        </w:rPr>
        <w:t xml:space="preserve">) The loss reclassified from AOCI is presented net of tax benefits of approximately $0.1 million which are included in the provision for (benefit from) income taxes on the Company's Consolidated Statement of Operations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June 30, 2023</w:t>
      </w:r>
      <w:r>
        <w:rPr>
          <w:rFonts w:ascii="Times New Roman;Times;serif" w:hAnsi="Times New Roman;Times;serif"/>
          <w:sz w:val="20"/>
          <w:shd w:fill="FFFFFF" w:val="clear"/>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The Company did not have any restricted cash at </w:t>
      </w:r>
      <w:r>
        <w:rPr>
          <w:rStyle w:val="Emphasis"/>
          <w:rFonts w:ascii="Times New Roman" w:hAnsi="Times New Roman"/>
          <w:caps w:val="false"/>
          <w:smallCaps w:val="false"/>
          <w:sz w:val="20"/>
        </w:rPr>
        <w:t xml:space="preserve">June 30, 2024 </w:t>
      </w:r>
      <w:r>
        <w:rPr>
          <w:rFonts w:ascii="Times New Roman" w:hAnsi="Times New Roman"/>
          <w:caps w:val="false"/>
          <w:smallCaps w:val="false"/>
          <w:sz w:val="20"/>
        </w:rPr>
        <w:t>associated with open derivative positions. At </w:t>
      </w:r>
      <w:r>
        <w:rPr>
          <w:rStyle w:val="Emphasis"/>
          <w:rFonts w:ascii="Times New Roman" w:hAnsi="Times New Roman"/>
          <w:caps w:val="false"/>
          <w:smallCaps w:val="false"/>
          <w:sz w:val="20"/>
        </w:rPr>
        <w:t xml:space="preserve"> March 31, 2024</w:t>
      </w:r>
      <w:r>
        <w:rPr>
          <w:rFonts w:ascii="Times New Roman" w:hAnsi="Times New Roman"/>
          <w:caps w:val="false"/>
          <w:smallCaps w:val="false"/>
          <w:sz w:val="20"/>
        </w:rPr>
        <w:t>, cash of approximately $3.0 million was held by our clearing agent to collateralize open derivative positions with this amount reported in "Other current assets" on the Company's consolidated balance sheet at </w:t>
      </w:r>
      <w:r>
        <w:rPr>
          <w:rStyle w:val="Emphasis"/>
          <w:rFonts w:ascii="Times New Roman" w:hAnsi="Times New Roman"/>
          <w:caps w:val="false"/>
          <w:smallCaps w:val="false"/>
          <w:sz w:val="20"/>
        </w:rPr>
        <w:t xml:space="preserve"> March 31, 2024</w:t>
      </w:r>
      <w:r>
        <w:rPr>
          <w:rFonts w:ascii="Times New Roman" w:hAnsi="Times New Roman"/>
          <w:caps w:val="false"/>
          <w:smallCaps w:val="false"/>
          <w:sz w:val="20"/>
        </w:rPr>
        <w:t>. </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NOTE H — FAIR VALUE MEASUREMENTS</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Accounting standards provide a comprehensive framework for measuring fair value and sets forth a definition of fair value and establishes a hierarchy prioritizing the inputs to valuation techniques, giving the highest priority to quoted prices in active markets for identical assets and liabilities and the lowest priority to unobservable value inputs. Levels within the hierarchy are defined as follows:</w:t>
      </w:r>
    </w:p>
    <w:p>
      <w:pPr>
        <w:pStyle w:val="TextBody"/>
        <w:bidi w:val="0"/>
        <w:spacing w:before="0" w:after="0"/>
        <w:ind w:left="0" w:right="0" w:hanging="0"/>
        <w:jc w:val="left"/>
        <w:rPr/>
      </w:pPr>
      <w:r>
        <w:rPr/>
        <w:t> </w:t>
      </w:r>
    </w:p>
    <w:tbl>
      <w:tblPr>
        <w:tblW w:w="6370" w:type="dxa"/>
        <w:jc w:val="left"/>
        <w:tblInd w:w="0" w:type="dxa"/>
        <w:tblLayout w:type="fixed"/>
        <w:tblCellMar>
          <w:top w:w="0" w:type="dxa"/>
          <w:left w:w="0" w:type="dxa"/>
          <w:bottom w:w="0" w:type="dxa"/>
          <w:right w:w="0" w:type="dxa"/>
        </w:tblCellMar>
      </w:tblPr>
      <w:tblGrid>
        <w:gridCol w:w="60"/>
        <w:gridCol w:w="170"/>
        <w:gridCol w:w="61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6140" w:type="dxa"/>
            <w:tcBorders/>
            <w:vAlign w:val="center"/>
          </w:tcPr>
          <w:p>
            <w:pPr>
              <w:pStyle w:val="TableContents"/>
              <w:bidi w:val="0"/>
              <w:spacing w:before="0" w:after="0"/>
              <w:ind w:left="0" w:right="0" w:hanging="0"/>
              <w:jc w:val="both"/>
              <w:rPr/>
            </w:pPr>
            <w:r>
              <w:rPr>
                <w:rFonts w:ascii="Times New Roman;Times;serif" w:hAnsi="Times New Roman;Times;serif"/>
                <w:sz w:val="20"/>
              </w:rPr>
              <w:t xml:space="preserve">Level </w:t>
            </w:r>
            <w:r>
              <w:rPr>
                <w:rStyle w:val="Emphasis"/>
                <w:rFonts w:ascii="Times New Roman;Times;serif" w:hAnsi="Times New Roman;Times;serif"/>
                <w:sz w:val="20"/>
              </w:rPr>
              <w:t>1</w:t>
            </w:r>
            <w:r>
              <w:rPr>
                <w:rFonts w:ascii="Times New Roman;Times;serif" w:hAnsi="Times New Roman;Times;serif"/>
                <w:sz w:val="20"/>
              </w:rPr>
              <w:t xml:space="preserve"> – Quoted prices for identical assets and liabilities in active markets.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pPr>
            <w:r>
              <w:rPr>
                <w:rFonts w:ascii="Times New Roman;Times;serif" w:hAnsi="Times New Roman;Times;serif"/>
                <w:sz w:val="20"/>
              </w:rPr>
              <w:t xml:space="preserve">Level </w:t>
            </w:r>
            <w:r>
              <w:rPr>
                <w:rStyle w:val="Emphasis"/>
                <w:rFonts w:ascii="Times New Roman;Times;serif" w:hAnsi="Times New Roman;Times;serif"/>
                <w:sz w:val="20"/>
              </w:rPr>
              <w:t>2</w:t>
            </w:r>
            <w:r>
              <w:rPr>
                <w:rFonts w:ascii="Times New Roman;Times;serif" w:hAnsi="Times New Roman;Times;serif"/>
                <w:sz w:val="20"/>
              </w:rPr>
              <w:t xml:space="preserve"> – Inputs other than quoted prices included within Level </w:t>
            </w:r>
            <w:r>
              <w:rPr>
                <w:rStyle w:val="Emphasis"/>
                <w:rFonts w:ascii="Times New Roman;Times;serif" w:hAnsi="Times New Roman;Times;serif"/>
                <w:sz w:val="20"/>
              </w:rPr>
              <w:t>1</w:t>
            </w:r>
            <w:r>
              <w:rPr>
                <w:rFonts w:ascii="Times New Roman;Times;serif" w:hAnsi="Times New Roman;Times;serif"/>
                <w:sz w:val="20"/>
              </w:rPr>
              <w:t xml:space="preserve"> that are observable for the assets and liabilities, either directly or indirectly.</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pPr>
            <w:r>
              <w:rPr>
                <w:rFonts w:ascii="Times New Roman;Times;serif" w:hAnsi="Times New Roman;Times;serif"/>
                <w:sz w:val="20"/>
              </w:rPr>
              <w:t xml:space="preserve">Level </w:t>
            </w:r>
            <w:r>
              <w:rPr>
                <w:rStyle w:val="Emphasis"/>
                <w:rFonts w:ascii="Times New Roman;Times;serif" w:hAnsi="Times New Roman;Times;serif"/>
                <w:sz w:val="20"/>
              </w:rPr>
              <w:t>3</w:t>
            </w:r>
            <w:r>
              <w:rPr>
                <w:rFonts w:ascii="Times New Roman;Times;serif" w:hAnsi="Times New Roman;Times;serif"/>
                <w:sz w:val="20"/>
              </w:rPr>
              <w:t xml:space="preserve"> – Unobservable inputs that are supported by little or </w:t>
            </w:r>
            <w:r>
              <w:rPr>
                <w:rStyle w:val="Emphasis"/>
                <w:rFonts w:ascii="Times New Roman;Times;serif" w:hAnsi="Times New Roman;Times;serif"/>
                <w:sz w:val="20"/>
              </w:rPr>
              <w:t>no</w:t>
            </w:r>
            <w:r>
              <w:rPr>
                <w:rFonts w:ascii="Times New Roman;Times;serif" w:hAnsi="Times New Roman;Times;serif"/>
                <w:sz w:val="20"/>
              </w:rPr>
              <w:t xml:space="preserve"> market activity and that are significant to the fair value of the assets and liabilities.</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Recurring Fair Value Measurements</w:t>
      </w:r>
    </w:p>
    <w:p>
      <w:pPr>
        <w:pStyle w:val="TextBody"/>
        <w:bidi w:val="0"/>
        <w:spacing w:before="0" w:after="0"/>
        <w:ind w:left="0" w:right="0" w:hanging="0"/>
        <w:jc w:val="left"/>
        <w:rPr/>
      </w:pPr>
      <w:r>
        <w:rPr/>
        <w:t> </w:t>
      </w:r>
    </w:p>
    <w:p>
      <w:pPr>
        <w:pStyle w:val="TextBody"/>
        <w:bidi w:val="0"/>
        <w:spacing w:before="0" w:after="0"/>
        <w:ind w:left="0" w:right="0" w:firstLine="490"/>
        <w:jc w:val="both"/>
        <w:rPr/>
      </w:pPr>
      <w:r>
        <w:rPr>
          <w:rFonts w:ascii="Times New Roman;Times;serif" w:hAnsi="Times New Roman;Times;serif"/>
          <w:sz w:val="20"/>
        </w:rPr>
        <w:t>At </w:t>
      </w:r>
      <w:r>
        <w:rPr>
          <w:rStyle w:val="Emphasis"/>
          <w:rFonts w:ascii="Times New Roman;Times;serif" w:hAnsi="Times New Roman;Times;serif"/>
          <w:sz w:val="20"/>
        </w:rPr>
        <w:t xml:space="preserve"> June 30, 2024</w:t>
      </w:r>
      <w:r>
        <w:rPr>
          <w:rFonts w:ascii="Times New Roman;Times;serif" w:hAnsi="Times New Roman;Times;serif"/>
          <w:sz w:val="20"/>
        </w:rPr>
        <w:t>, our financial liabilities, net, measured at fair value on a recurring basis were as follows (in thousands):</w:t>
      </w:r>
    </w:p>
    <w:p>
      <w:pPr>
        <w:pStyle w:val="TextBody"/>
        <w:bidi w:val="0"/>
        <w:spacing w:before="0" w:after="0"/>
        <w:ind w:left="0" w:right="0" w:firstLine="490"/>
        <w:jc w:val="both"/>
        <w:rPr/>
      </w:pPr>
      <w:r>
        <w:rPr/>
        <w:t> </w:t>
      </w:r>
    </w:p>
    <w:tbl>
      <w:tblPr>
        <w:tblW w:w="7954" w:type="dxa"/>
        <w:jc w:val="left"/>
        <w:tblInd w:w="0" w:type="dxa"/>
        <w:tblLayout w:type="fixed"/>
        <w:tblCellMar>
          <w:top w:w="0" w:type="dxa"/>
          <w:left w:w="0" w:type="dxa"/>
          <w:bottom w:w="0" w:type="dxa"/>
          <w:right w:w="0" w:type="dxa"/>
        </w:tblCellMar>
      </w:tblPr>
      <w:tblGrid>
        <w:gridCol w:w="3680"/>
        <w:gridCol w:w="60"/>
        <w:gridCol w:w="473"/>
        <w:gridCol w:w="701"/>
        <w:gridCol w:w="80"/>
        <w:gridCol w:w="60"/>
        <w:gridCol w:w="307"/>
        <w:gridCol w:w="643"/>
        <w:gridCol w:w="60"/>
        <w:gridCol w:w="60"/>
        <w:gridCol w:w="375"/>
        <w:gridCol w:w="785"/>
        <w:gridCol w:w="60"/>
        <w:gridCol w:w="60"/>
        <w:gridCol w:w="189"/>
        <w:gridCol w:w="281"/>
        <w:gridCol w:w="80"/>
      </w:tblGrid>
      <w:tr>
        <w:trPr/>
        <w:tc>
          <w:tcPr>
            <w:tcW w:w="36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Quoted Prices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643"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in Active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Significant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Markets for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Other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Significant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Identical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Observable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Unobservable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Assets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Inputs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Inputs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(Level 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(Level 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(Level 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Total</w:t>
            </w:r>
          </w:p>
        </w:tc>
        <w:tc>
          <w:tcPr>
            <w:tcW w:w="80" w:type="dxa"/>
            <w:tcBorders/>
            <w:shd w:fill="FFFFFF" w:val="cle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Commodity futures – financial liabilities, net</w:t>
            </w:r>
          </w:p>
        </w:tc>
        <w:tc>
          <w:tcPr>
            <w:tcW w:w="60" w:type="dxa"/>
            <w:tcBorders/>
            <w:shd w:fill="CCEEFF" w:val="clear"/>
            <w:vAlign w:val="center"/>
          </w:tcPr>
          <w:p>
            <w:pPr>
              <w:pStyle w:val="TableContents"/>
              <w:bidi w:val="0"/>
              <w:spacing w:before="0" w:after="283"/>
              <w:ind w:left="0" w:right="0" w:hanging="0"/>
              <w:jc w:val="left"/>
              <w:rPr/>
            </w:pPr>
            <w:r>
              <w:rPr/>
              <w:t> </w:t>
            </w:r>
          </w:p>
        </w:tc>
        <w:tc>
          <w:tcPr>
            <w:tcW w:w="4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7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47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30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7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firstLine="490"/>
        <w:jc w:val="both"/>
        <w:rPr/>
      </w:pPr>
      <w:r>
        <w:rPr>
          <w:rFonts w:ascii="Times New Roman;Times;serif" w:hAnsi="Times New Roman;Times;serif"/>
          <w:sz w:val="20"/>
        </w:rPr>
        <w:t>At </w:t>
      </w:r>
      <w:r>
        <w:rPr>
          <w:rStyle w:val="Emphasis"/>
          <w:rFonts w:ascii="Times New Roman;Times;serif" w:hAnsi="Times New Roman;Times;serif"/>
          <w:sz w:val="20"/>
        </w:rPr>
        <w:t xml:space="preserve"> March 31, 2024</w:t>
      </w:r>
      <w:r>
        <w:rPr>
          <w:rFonts w:ascii="Times New Roman;Times;serif" w:hAnsi="Times New Roman;Times;serif"/>
          <w:sz w:val="20"/>
        </w:rPr>
        <w:t>, our financial liabilities, net, measured at fair value on a recurring basis were as follows (in thousands):</w:t>
      </w:r>
    </w:p>
    <w:p>
      <w:pPr>
        <w:pStyle w:val="TextBody"/>
        <w:bidi w:val="0"/>
        <w:spacing w:before="0" w:after="0"/>
        <w:ind w:left="0" w:right="0" w:firstLine="490"/>
        <w:jc w:val="both"/>
        <w:rPr/>
      </w:pPr>
      <w:r>
        <w:rPr/>
        <w:t> </w:t>
      </w:r>
    </w:p>
    <w:tbl>
      <w:tblPr>
        <w:tblW w:w="8154" w:type="dxa"/>
        <w:jc w:val="left"/>
        <w:tblInd w:w="0" w:type="dxa"/>
        <w:tblLayout w:type="fixed"/>
        <w:tblCellMar>
          <w:top w:w="0" w:type="dxa"/>
          <w:left w:w="0" w:type="dxa"/>
          <w:bottom w:w="0" w:type="dxa"/>
          <w:right w:w="0" w:type="dxa"/>
        </w:tblCellMar>
      </w:tblPr>
      <w:tblGrid>
        <w:gridCol w:w="3680"/>
        <w:gridCol w:w="60"/>
        <w:gridCol w:w="219"/>
        <w:gridCol w:w="955"/>
        <w:gridCol w:w="80"/>
        <w:gridCol w:w="60"/>
        <w:gridCol w:w="307"/>
        <w:gridCol w:w="643"/>
        <w:gridCol w:w="60"/>
        <w:gridCol w:w="60"/>
        <w:gridCol w:w="375"/>
        <w:gridCol w:w="785"/>
        <w:gridCol w:w="60"/>
        <w:gridCol w:w="60"/>
        <w:gridCol w:w="125"/>
        <w:gridCol w:w="545"/>
        <w:gridCol w:w="80"/>
      </w:tblGrid>
      <w:tr>
        <w:trPr/>
        <w:tc>
          <w:tcPr>
            <w:tcW w:w="36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Quoted Prices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643"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in Active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Significant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Markets for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Significant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Identical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Observable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Unobservable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Assets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Inputs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Inputs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80" w:type="dxa"/>
            <w:tcBorders/>
            <w:shd w:fill="FFFFFF" w:val="cle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Commodity futures – financial liabilities, net</w:t>
            </w:r>
          </w:p>
        </w:tc>
        <w:tc>
          <w:tcPr>
            <w:tcW w:w="60" w:type="dxa"/>
            <w:tcBorders/>
            <w:shd w:fill="CCEEFF" w:val="clear"/>
            <w:vAlign w:val="center"/>
          </w:tcPr>
          <w:p>
            <w:pPr>
              <w:pStyle w:val="TableContents"/>
              <w:bidi w:val="0"/>
              <w:spacing w:before="0" w:after="283"/>
              <w:ind w:left="0" w:right="0" w:hanging="0"/>
              <w:jc w:val="left"/>
              <w:rPr/>
            </w:pPr>
            <w:r>
              <w:rPr/>
              <w:t> </w:t>
            </w:r>
          </w:p>
        </w:tc>
        <w:tc>
          <w:tcPr>
            <w:tcW w:w="21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(1,612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7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(1,612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6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21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(1,612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30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7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(1,612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firstLine="490"/>
        <w:jc w:val="both"/>
        <w:rPr/>
      </w:pPr>
      <w:r>
        <w:rPr/>
        <w:t> </w:t>
      </w:r>
    </w:p>
    <w:p>
      <w:pPr>
        <w:pStyle w:val="TextBody"/>
        <w:bidi w:val="0"/>
        <w:spacing w:before="0" w:after="0"/>
        <w:ind w:left="540" w:right="0" w:hanging="0"/>
        <w:jc w:val="both"/>
        <w:rPr/>
      </w:pPr>
      <w:r>
        <w:rPr>
          <w:rFonts w:ascii="Times New Roman;Times;serif" w:hAnsi="Times New Roman;Times;serif"/>
          <w:sz w:val="20"/>
          <w:shd w:fill="FFFFFF" w:val="clear"/>
        </w:rPr>
        <w:t>At </w:t>
      </w:r>
      <w:r>
        <w:rPr>
          <w:rStyle w:val="Emphasis"/>
          <w:rFonts w:ascii="Times New Roman;Times;serif" w:hAnsi="Times New Roman;Times;serif"/>
          <w:sz w:val="20"/>
        </w:rPr>
        <w:t xml:space="preserve"> June 30, 2024</w:t>
      </w:r>
      <w:r>
        <w:rPr>
          <w:rFonts w:ascii="Times New Roman;Times;serif" w:hAnsi="Times New Roman;Times;serif"/>
          <w:sz w:val="20"/>
          <w:shd w:fill="FFFFFF" w:val="clear"/>
        </w:rPr>
        <w:t> and </w:t>
      </w:r>
      <w:r>
        <w:rPr>
          <w:rStyle w:val="Emphasis"/>
          <w:rFonts w:ascii="Times New Roman;Times;serif" w:hAnsi="Times New Roman;Times;serif"/>
          <w:sz w:val="20"/>
        </w:rPr>
        <w:t xml:space="preserve"> March 31, 2024</w:t>
      </w:r>
      <w:r>
        <w:rPr>
          <w:rFonts w:ascii="Times New Roman;Times;serif" w:hAnsi="Times New Roman;Times;serif"/>
          <w:sz w:val="20"/>
          <w:shd w:fill="FFFFFF" w:val="clear"/>
        </w:rPr>
        <w:t xml:space="preserve">, the Company did </w:t>
      </w:r>
      <w:r>
        <w:rPr>
          <w:rStyle w:val="Emphasis"/>
          <w:rFonts w:ascii="Times New Roman;Times;serif" w:hAnsi="Times New Roman;Times;serif"/>
          <w:sz w:val="20"/>
          <w:shd w:fill="FFFFFF" w:val="clear"/>
        </w:rPr>
        <w:t>not</w:t>
      </w:r>
      <w:r>
        <w:rPr>
          <w:rFonts w:ascii="Times New Roman;Times;serif" w:hAnsi="Times New Roman;Times;serif"/>
          <w:sz w:val="20"/>
          <w:shd w:fill="FFFFFF" w:val="clear"/>
        </w:rPr>
        <w:t xml:space="preserve"> have any fair value measurements on a non-recurring basis.</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NOTE I — SEGMENT INFORMATION (in thousands)</w:t>
      </w:r>
    </w:p>
    <w:p>
      <w:pPr>
        <w:pStyle w:val="TextBody"/>
        <w:bidi w:val="0"/>
        <w:spacing w:before="0" w:after="0"/>
        <w:ind w:left="0" w:right="0" w:hanging="0"/>
        <w:jc w:val="left"/>
        <w:rPr/>
      </w:pPr>
      <w:r>
        <w:rPr/>
        <w:t> </w:t>
      </w:r>
    </w:p>
    <w:p>
      <w:pPr>
        <w:pStyle w:val="TextBody"/>
        <w:bidi w:val="0"/>
        <w:spacing w:before="0" w:after="0"/>
        <w:ind w:left="0" w:right="0" w:firstLine="540"/>
        <w:jc w:val="both"/>
        <w:rPr/>
      </w:pPr>
      <w:r>
        <w:rPr>
          <w:rFonts w:ascii="Times New Roman;Times;serif" w:hAnsi="Times New Roman;Times;serif"/>
          <w:sz w:val="20"/>
        </w:rPr>
        <w:t xml:space="preserve">The Company is engaged in the steel processing, pipe manufacturing and processing and steel and pipe distribution business. Within the Company, there are </w:t>
      </w:r>
      <w:r>
        <w:rPr>
          <w:rStyle w:val="Emphasis"/>
          <w:rFonts w:ascii="Times New Roman;Times;serif" w:hAnsi="Times New Roman;Times;serif"/>
          <w:sz w:val="20"/>
        </w:rPr>
        <w:t>two</w:t>
      </w:r>
      <w:r>
        <w:rPr>
          <w:rFonts w:ascii="Times New Roman;Times;serif" w:hAnsi="Times New Roman;Times;serif"/>
          <w:sz w:val="20"/>
        </w:rPr>
        <w:t xml:space="preserve"> product groups: flat-roll and tubular. The Company’s flat-roll operations consists primarily of converting steel coils into flat sheet and plate steel cut to customer specifications. Through its tubular operations, the Company purchases, processes, manufactures and markets tubular products. The following is a summary of significant financial information relating to the product groups (in thousands):</w:t>
      </w:r>
    </w:p>
    <w:p>
      <w:pPr>
        <w:pStyle w:val="TextBody"/>
        <w:bidi w:val="0"/>
        <w:spacing w:before="0" w:after="0"/>
        <w:ind w:left="0" w:right="0" w:firstLine="540"/>
        <w:jc w:val="both"/>
        <w:rPr/>
      </w:pPr>
      <w:r>
        <w:rPr/>
        <w:t> </w:t>
      </w:r>
    </w:p>
    <w:tbl>
      <w:tblPr>
        <w:tblW w:w="5840" w:type="dxa"/>
        <w:jc w:val="left"/>
        <w:tblInd w:w="0" w:type="dxa"/>
        <w:tblLayout w:type="fixed"/>
        <w:tblCellMar>
          <w:top w:w="0" w:type="dxa"/>
          <w:left w:w="0" w:type="dxa"/>
          <w:bottom w:w="0" w:type="dxa"/>
          <w:right w:w="0" w:type="dxa"/>
        </w:tblCellMar>
      </w:tblPr>
      <w:tblGrid>
        <w:gridCol w:w="3920"/>
        <w:gridCol w:w="60"/>
        <w:gridCol w:w="125"/>
        <w:gridCol w:w="695"/>
        <w:gridCol w:w="80"/>
        <w:gridCol w:w="60"/>
        <w:gridCol w:w="125"/>
        <w:gridCol w:w="695"/>
        <w:gridCol w:w="80"/>
      </w:tblGrid>
      <w:tr>
        <w:trPr/>
        <w:tc>
          <w:tcPr>
            <w:tcW w:w="3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0"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80" w:type="dxa"/>
            <w:tcBorders/>
            <w:shd w:fill="FFFF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Flat-Roll</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103,387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125,197</w:t>
            </w:r>
          </w:p>
        </w:tc>
        <w:tc>
          <w:tcPr>
            <w:tcW w:w="80" w:type="dxa"/>
            <w:tcBorders/>
            <w:shd w:fill="FFFFFF" w:val="cle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Tubular</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12,101</w:t>
            </w:r>
          </w:p>
        </w:tc>
        <w:tc>
          <w:tcPr>
            <w:tcW w:w="80"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NET SALES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114,551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137,298</w:t>
            </w:r>
          </w:p>
        </w:tc>
        <w:tc>
          <w:tcPr>
            <w:tcW w:w="80" w:type="dxa"/>
            <w:tcBorders/>
            <w:shd w:fill="FFFFFF" w:val="cle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PROFIT (LOSS):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Flat-Roll</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11,814</w:t>
            </w:r>
          </w:p>
        </w:tc>
        <w:tc>
          <w:tcPr>
            <w:tcW w:w="80" w:type="dxa"/>
            <w:tcBorders/>
            <w:shd w:fill="FFFFFF" w:val="cle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Tubular</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2,264</w:t>
            </w:r>
          </w:p>
        </w:tc>
        <w:tc>
          <w:tcPr>
            <w:tcW w:w="80"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PROFIT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14,078</w:t>
            </w:r>
          </w:p>
        </w:tc>
        <w:tc>
          <w:tcPr>
            <w:tcW w:w="80" w:type="dxa"/>
            <w:tcBorders/>
            <w:shd w:fill="FFFFFF" w:val="cle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corporate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(3,721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2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economic hedges of risk</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w:t>
            </w:r>
          </w:p>
        </w:tc>
        <w:tc>
          <w:tcPr>
            <w:tcW w:w="80" w:type="dxa"/>
            <w:tcBorders/>
            <w:shd w:fill="FFFFFF" w:val="cle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2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80" w:type="dxa"/>
            <w:tcBorders/>
            <w:shd w:fill="FFFFFF" w:val="cle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EARNINGS BEFORE INCOME TAXES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10,253</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540"/>
        <w:jc w:val="left"/>
        <w:rPr/>
      </w:pPr>
      <w:r>
        <w:rPr/>
        <w:t> </w:t>
      </w:r>
    </w:p>
    <w:tbl>
      <w:tblPr>
        <w:tblW w:w="4888" w:type="dxa"/>
        <w:jc w:val="left"/>
        <w:tblInd w:w="0" w:type="dxa"/>
        <w:tblLayout w:type="fixed"/>
        <w:tblCellMar>
          <w:top w:w="0" w:type="dxa"/>
          <w:left w:w="0" w:type="dxa"/>
          <w:bottom w:w="0" w:type="dxa"/>
          <w:right w:w="0" w:type="dxa"/>
        </w:tblCellMar>
      </w:tblPr>
      <w:tblGrid>
        <w:gridCol w:w="2120"/>
        <w:gridCol w:w="60"/>
        <w:gridCol w:w="181"/>
        <w:gridCol w:w="1008"/>
        <w:gridCol w:w="60"/>
        <w:gridCol w:w="60"/>
        <w:gridCol w:w="204"/>
        <w:gridCol w:w="1135"/>
        <w:gridCol w:w="60"/>
      </w:tblGrid>
      <w:tr>
        <w:trPr/>
        <w:tc>
          <w:tcPr>
            <w:tcW w:w="2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June 30, 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March 31, 2024</w:t>
            </w:r>
          </w:p>
        </w:tc>
        <w:tc>
          <w:tcPr>
            <w:tcW w:w="60" w:type="dxa"/>
            <w:tcBorders/>
            <w:shd w:fill="FFFFFF" w:val="clear"/>
            <w:vAlign w:val="center"/>
          </w:tcPr>
          <w:p>
            <w:pPr>
              <w:pStyle w:val="TableContents"/>
              <w:bidi w:val="0"/>
              <w:spacing w:before="0" w:after="283"/>
              <w:jc w:val="left"/>
              <w:rPr/>
            </w:pPr>
            <w:r>
              <w:rPr/>
              <w:t> </w:t>
            </w:r>
          </w:p>
        </w:tc>
      </w:tr>
      <w:tr>
        <w:trPr/>
        <w:tc>
          <w:tcPr>
            <w:tcW w:w="21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IDENTIFIABLE ASSETS: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120"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Flat-Roll</w:t>
            </w:r>
          </w:p>
        </w:tc>
        <w:tc>
          <w:tcPr>
            <w:tcW w:w="60" w:type="dxa"/>
            <w:tcBorders/>
            <w:shd w:fill="FFFFFF" w:val="clear"/>
            <w:vAlign w:val="center"/>
          </w:tcPr>
          <w:p>
            <w:pPr>
              <w:pStyle w:val="TableContents"/>
              <w:bidi w:val="0"/>
              <w:spacing w:before="0" w:after="283"/>
              <w:ind w:left="0" w:right="0" w:hanging="0"/>
              <w:jc w:val="left"/>
              <w:rPr/>
            </w:pPr>
            <w:r>
              <w:rPr/>
              <w:t> </w:t>
            </w:r>
          </w:p>
        </w:tc>
        <w:tc>
          <w:tcPr>
            <w:tcW w:w="18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199,090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205,797</w:t>
            </w:r>
          </w:p>
        </w:tc>
        <w:tc>
          <w:tcPr>
            <w:tcW w:w="60" w:type="dxa"/>
            <w:tcBorders/>
            <w:shd w:fill="FFFFFF" w:val="clear"/>
            <w:vAlign w:val="center"/>
          </w:tcPr>
          <w:p>
            <w:pPr>
              <w:pStyle w:val="TableContents"/>
              <w:bidi w:val="0"/>
              <w:spacing w:before="0" w:after="283"/>
              <w:jc w:val="left"/>
              <w:rPr/>
            </w:pPr>
            <w:r>
              <w:rPr/>
              <w:t> </w:t>
            </w:r>
          </w:p>
        </w:tc>
      </w:tr>
      <w:tr>
        <w:trPr/>
        <w:tc>
          <w:tcPr>
            <w:tcW w:w="2120"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Tubular</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19,589</w:t>
            </w:r>
          </w:p>
        </w:tc>
        <w:tc>
          <w:tcPr>
            <w:tcW w:w="60" w:type="dxa"/>
            <w:tcBorders/>
            <w:shd w:fill="CCEEFF" w:val="clear"/>
            <w:vAlign w:val="center"/>
          </w:tcPr>
          <w:p>
            <w:pPr>
              <w:pStyle w:val="TableContents"/>
              <w:bidi w:val="0"/>
              <w:spacing w:before="0" w:after="283"/>
              <w:jc w:val="left"/>
              <w:rPr/>
            </w:pPr>
            <w:r>
              <w:rPr/>
              <w:t> </w:t>
            </w:r>
          </w:p>
        </w:tc>
      </w:tr>
      <w:tr>
        <w:trPr/>
        <w:tc>
          <w:tcPr>
            <w:tcW w:w="2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217,117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11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225,386</w:t>
            </w:r>
          </w:p>
        </w:tc>
        <w:tc>
          <w:tcPr>
            <w:tcW w:w="60" w:type="dxa"/>
            <w:tcBorders/>
            <w:shd w:fill="FFFFFF" w:val="clear"/>
            <w:vAlign w:val="center"/>
          </w:tcPr>
          <w:p>
            <w:pPr>
              <w:pStyle w:val="TableContents"/>
              <w:bidi w:val="0"/>
              <w:spacing w:before="0" w:after="283"/>
              <w:jc w:val="left"/>
              <w:rPr/>
            </w:pPr>
            <w:r>
              <w:rPr/>
              <w:t> </w:t>
            </w:r>
          </w:p>
        </w:tc>
      </w:tr>
      <w:tr>
        <w:trPr/>
        <w:tc>
          <w:tcPr>
            <w:tcW w:w="2120"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General corporate assets</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4,633</w:t>
            </w:r>
          </w:p>
        </w:tc>
        <w:tc>
          <w:tcPr>
            <w:tcW w:w="60" w:type="dxa"/>
            <w:tcBorders/>
            <w:shd w:fill="CCEEFF" w:val="clear"/>
            <w:vAlign w:val="center"/>
          </w:tcPr>
          <w:p>
            <w:pPr>
              <w:pStyle w:val="TableContents"/>
              <w:bidi w:val="0"/>
              <w:spacing w:before="0" w:after="283"/>
              <w:jc w:val="left"/>
              <w:rPr/>
            </w:pPr>
            <w:r>
              <w:rPr/>
              <w:t> </w:t>
            </w:r>
          </w:p>
        </w:tc>
      </w:tr>
      <w:tr>
        <w:trPr/>
        <w:tc>
          <w:tcPr>
            <w:tcW w:w="2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222,790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230,019</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490"/>
        <w:jc w:val="both"/>
        <w:rPr/>
      </w:pPr>
      <w:r>
        <w:rPr>
          <w:rFonts w:ascii="Times New Roman;Times;serif" w:hAnsi="Times New Roman;Times;serif"/>
          <w:sz w:val="20"/>
        </w:rPr>
        <w:t xml:space="preserve">Operating profit is total net sales less operating expenses, excluding general corporate expenses, gain (loss) on economic hedges of risk, interest expense and other income. General corporate expenses reflect general and administrative expenses </w:t>
      </w:r>
      <w:r>
        <w:rPr>
          <w:rStyle w:val="Emphasis"/>
          <w:rFonts w:ascii="Times New Roman;Times;serif" w:hAnsi="Times New Roman;Times;serif"/>
          <w:sz w:val="20"/>
        </w:rPr>
        <w:t>not</w:t>
      </w:r>
      <w:r>
        <w:rPr>
          <w:rFonts w:ascii="Times New Roman;Times;serif" w:hAnsi="Times New Roman;Times;serif"/>
          <w:sz w:val="20"/>
        </w:rPr>
        <w:t xml:space="preserve"> directly associated with segment operations and consist primarily of corporate and accounting salaries, professional fees and services, bad debts, retirement plan contribution expense, corporate insurance expenses, restricted stock plan compensation expense and office supplies. At </w:t>
      </w:r>
      <w:r>
        <w:rPr>
          <w:rStyle w:val="Emphasis"/>
          <w:rFonts w:ascii="Times New Roman;Times;serif" w:hAnsi="Times New Roman;Times;serif"/>
          <w:sz w:val="20"/>
        </w:rPr>
        <w:t xml:space="preserve">June 30, 2024 </w:t>
      </w:r>
      <w:r>
        <w:rPr>
          <w:rFonts w:ascii="Times New Roman;Times;serif" w:hAnsi="Times New Roman;Times;serif"/>
          <w:sz w:val="20"/>
        </w:rPr>
        <w:t xml:space="preserve">and </w:t>
      </w:r>
      <w:r>
        <w:rPr>
          <w:rStyle w:val="Emphasis"/>
          <w:rFonts w:ascii="Times New Roman;Times;serif" w:hAnsi="Times New Roman;Times;serif"/>
          <w:sz w:val="20"/>
        </w:rPr>
        <w:t>March 31, 2024</w:t>
      </w:r>
      <w:r>
        <w:rPr>
          <w:rFonts w:ascii="Times New Roman;Times;serif" w:hAnsi="Times New Roman;Times;serif"/>
          <w:sz w:val="20"/>
        </w:rPr>
        <w:t xml:space="preserve">, corporate assets consist primarily of cash, restricted cash, unamortized debt issuance costs and the cash value of officers’ life insurance. Although inventory is transferred at cost between product groups, there are </w:t>
      </w:r>
      <w:r>
        <w:rPr>
          <w:rStyle w:val="Emphasis"/>
          <w:rFonts w:ascii="Times New Roman;Times;serif" w:hAnsi="Times New Roman;Times;serif"/>
          <w:sz w:val="20"/>
        </w:rPr>
        <w:t>no</w:t>
      </w:r>
      <w:r>
        <w:rPr>
          <w:rFonts w:ascii="Times New Roman;Times;serif" w:hAnsi="Times New Roman;Times;serif"/>
          <w:sz w:val="20"/>
        </w:rPr>
        <w:t xml:space="preserve"> sales between product groups.</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NOTE J — REVENUE</w:t>
      </w:r>
    </w:p>
    <w:p>
      <w:pPr>
        <w:pStyle w:val="TextBody"/>
        <w:bidi w:val="0"/>
        <w:spacing w:before="0" w:after="0"/>
        <w:ind w:left="0" w:right="0" w:hanging="0"/>
        <w:jc w:val="left"/>
        <w:rPr/>
      </w:pPr>
      <w:r>
        <w:rPr/>
        <w:t> </w:t>
      </w:r>
    </w:p>
    <w:p>
      <w:pPr>
        <w:pStyle w:val="TextBody"/>
        <w:bidi w:val="0"/>
        <w:spacing w:before="0" w:after="0"/>
        <w:ind w:left="0" w:right="0" w:firstLine="490"/>
        <w:jc w:val="both"/>
        <w:rPr/>
      </w:pPr>
      <w:r>
        <w:rPr>
          <w:rFonts w:ascii="Times New Roman;Times;serif" w:hAnsi="Times New Roman;Times;serif"/>
          <w:sz w:val="20"/>
        </w:rPr>
        <w:t xml:space="preserve">Revenue is generated primarily from contracts to manufacture or process steel products. Most of the Company’s revenue is generated by sales of material out of the Company’s inventory but a portion of the Company’s revenue is derived from processing or storage of customer owned material. Generally, the Company’s performance obligations are satisfied, control of our products is transferred, and revenue is recognized at a single point in time, when title transfers to our customer for product shipped or when services are provided. Revenues are recorded net of any sales incentives. Shipping and other transportation costs charged to customers are treated as fulfillment activities and are recorded in both revenue and cost of sales at the time control is transferred to the customer. Costs related to obtaining sales contracts are incidental and expensed when incurred. Because customers are invoiced at the time title transfers and the Company’s rights to consideration are unconditional at that time, the Company does </w:t>
      </w:r>
      <w:r>
        <w:rPr>
          <w:rStyle w:val="Emphasis"/>
          <w:rFonts w:ascii="Times New Roman;Times;serif" w:hAnsi="Times New Roman;Times;serif"/>
          <w:sz w:val="20"/>
        </w:rPr>
        <w:t>not</w:t>
      </w:r>
      <w:r>
        <w:rPr>
          <w:rFonts w:ascii="Times New Roman;Times;serif" w:hAnsi="Times New Roman;Times;serif"/>
          <w:sz w:val="20"/>
        </w:rPr>
        <w:t xml:space="preserve"> maintain contract asset balances. Additionally, the Company does </w:t>
      </w:r>
      <w:r>
        <w:rPr>
          <w:rStyle w:val="Emphasis"/>
          <w:rFonts w:ascii="Times New Roman;Times;serif" w:hAnsi="Times New Roman;Times;serif"/>
          <w:sz w:val="20"/>
        </w:rPr>
        <w:t>not</w:t>
      </w:r>
      <w:r>
        <w:rPr>
          <w:rFonts w:ascii="Times New Roman;Times;serif" w:hAnsi="Times New Roman;Times;serif"/>
          <w:sz w:val="20"/>
        </w:rPr>
        <w:t xml:space="preserve"> maintain contract liability balances, as performance obligations are satisfied prior to customer payment for product. The Company offers industry standard payment terms.</w:t>
      </w:r>
    </w:p>
    <w:p>
      <w:pPr>
        <w:pStyle w:val="TextBody"/>
        <w:bidi w:val="0"/>
        <w:spacing w:before="0" w:after="0"/>
        <w:ind w:left="0" w:right="0" w:firstLine="490"/>
        <w:jc w:val="both"/>
        <w:rPr/>
      </w:pPr>
      <w:r>
        <w:rPr/>
        <w:t> </w:t>
      </w:r>
    </w:p>
    <w:p>
      <w:pPr>
        <w:pStyle w:val="TextBody"/>
        <w:bidi w:val="0"/>
        <w:spacing w:before="0" w:after="0"/>
        <w:ind w:left="0" w:right="0" w:firstLine="490"/>
        <w:jc w:val="both"/>
        <w:rPr/>
      </w:pPr>
      <w:r>
        <w:rPr>
          <w:rFonts w:ascii="Times New Roman;Times;serif" w:hAnsi="Times New Roman;Times;serif"/>
          <w:sz w:val="20"/>
        </w:rPr>
        <w:t xml:space="preserve">The Company has two reportable segments: Flat-Roll and Tubular. Flat-roll primarily generates revenue from cutting to length hot-rolled steel coils. Flat-roll segment revenue consists of </w:t>
      </w:r>
      <w:r>
        <w:rPr>
          <w:rStyle w:val="Emphasis"/>
          <w:rFonts w:ascii="Times New Roman;Times;serif" w:hAnsi="Times New Roman;Times;serif"/>
          <w:sz w:val="20"/>
        </w:rPr>
        <w:t>two</w:t>
      </w:r>
      <w:r>
        <w:rPr>
          <w:rFonts w:ascii="Times New Roman;Times;serif" w:hAnsi="Times New Roman;Times;serif"/>
          <w:sz w:val="20"/>
        </w:rPr>
        <w:t xml:space="preserve"> product types: Company Owned Flat-Roll Products and Processing or Storage of Customer Owned Coil. Tubular primarily generates revenue from selling steel pipe it has manufactured resulting in a single product type: Manufactured Pipe.</w:t>
      </w:r>
    </w:p>
    <w:p>
      <w:pPr>
        <w:pStyle w:val="TextBody"/>
        <w:bidi w:val="0"/>
        <w:spacing w:before="0" w:after="0"/>
        <w:ind w:left="0" w:right="0" w:firstLine="490"/>
        <w:jc w:val="both"/>
        <w:rPr/>
      </w:pPr>
      <w:r>
        <w:rPr/>
        <w:t> </w:t>
      </w:r>
    </w:p>
    <w:p>
      <w:pPr>
        <w:pStyle w:val="TextBody"/>
        <w:bidi w:val="0"/>
        <w:spacing w:before="0" w:after="0"/>
        <w:ind w:left="0" w:right="0" w:firstLine="490"/>
        <w:jc w:val="both"/>
        <w:rPr/>
      </w:pPr>
      <w:r>
        <w:rPr>
          <w:rFonts w:ascii="Times New Roman;Times;serif" w:hAnsi="Times New Roman;Times;serif"/>
          <w:sz w:val="20"/>
        </w:rPr>
        <w:t xml:space="preserve">The following table disaggregates our revenue by product for each of our reportable business segments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 xml:space="preserve">June 30, 2024 </w:t>
      </w:r>
      <w:r>
        <w:rPr>
          <w:rFonts w:ascii="Times New Roman;Times;serif" w:hAnsi="Times New Roman;Times;serif"/>
          <w:sz w:val="20"/>
        </w:rPr>
        <w:t xml:space="preserve">and </w:t>
      </w:r>
      <w:r>
        <w:rPr>
          <w:rStyle w:val="Emphasis"/>
          <w:rFonts w:ascii="Times New Roman;Times;serif" w:hAnsi="Times New Roman;Times;serif"/>
          <w:sz w:val="20"/>
        </w:rPr>
        <w:t>2023</w:t>
      </w:r>
      <w:r>
        <w:rPr>
          <w:rFonts w:ascii="Times New Roman;Times;serif" w:hAnsi="Times New Roman;Times;serif"/>
          <w:sz w:val="20"/>
        </w:rPr>
        <w:t>, respectively (in thousands):</w:t>
      </w:r>
    </w:p>
    <w:p>
      <w:pPr>
        <w:pStyle w:val="TextBody"/>
        <w:bidi w:val="0"/>
        <w:spacing w:before="0" w:after="0"/>
        <w:ind w:left="0" w:right="0" w:firstLine="490"/>
        <w:jc w:val="both"/>
        <w:rPr/>
      </w:pPr>
      <w:r>
        <w:rPr/>
        <w:t> </w:t>
      </w:r>
    </w:p>
    <w:tbl>
      <w:tblPr>
        <w:tblW w:w="5691" w:type="dxa"/>
        <w:jc w:val="left"/>
        <w:tblInd w:w="0" w:type="dxa"/>
        <w:tblLayout w:type="fixed"/>
        <w:tblCellMar>
          <w:top w:w="0" w:type="dxa"/>
          <w:left w:w="0" w:type="dxa"/>
          <w:bottom w:w="0" w:type="dxa"/>
          <w:right w:w="0" w:type="dxa"/>
        </w:tblCellMar>
      </w:tblPr>
      <w:tblGrid>
        <w:gridCol w:w="3815"/>
        <w:gridCol w:w="60"/>
        <w:gridCol w:w="64"/>
        <w:gridCol w:w="750"/>
        <w:gridCol w:w="64"/>
        <w:gridCol w:w="64"/>
        <w:gridCol w:w="64"/>
        <w:gridCol w:w="750"/>
        <w:gridCol w:w="60"/>
      </w:tblGrid>
      <w:tr>
        <w:trPr/>
        <w:tc>
          <w:tcPr>
            <w:tcW w:w="38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6"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60" w:type="dxa"/>
            <w:tcBorders/>
            <w:shd w:fill="FFFF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8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Flat-Roll Segment:</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Company Owned Flat-Roll Products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7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101,834</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7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123,973</w:t>
            </w:r>
          </w:p>
        </w:tc>
        <w:tc>
          <w:tcPr>
            <w:tcW w:w="60" w:type="dxa"/>
            <w:tcBorders/>
            <w:shd w:fill="FFFFFF" w:val="clear"/>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Processing or Storage of Customer Owned Coil</w:t>
            </w:r>
          </w:p>
        </w:tc>
        <w:tc>
          <w:tcPr>
            <w:tcW w:w="60" w:type="dxa"/>
            <w:tcBorders/>
            <w:shd w:fill="CCEEFF" w:val="clear"/>
            <w:vAlign w:val="center"/>
          </w:tcPr>
          <w:p>
            <w:pPr>
              <w:pStyle w:val="TableContents"/>
              <w:bidi w:val="0"/>
              <w:spacing w:before="0" w:after="283"/>
              <w:jc w:val="left"/>
              <w:rPr/>
            </w:pPr>
            <w:r>
              <w:rPr/>
              <w:t> </w:t>
            </w:r>
          </w:p>
        </w:tc>
        <w:tc>
          <w:tcPr>
            <w:tcW w:w="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1,553</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1,224</w:t>
            </w:r>
          </w:p>
        </w:tc>
        <w:tc>
          <w:tcPr>
            <w:tcW w:w="60" w:type="dxa"/>
            <w:tcBorders/>
            <w:shd w:fill="CCEE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103,387</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125,197</w:t>
            </w:r>
          </w:p>
        </w:tc>
        <w:tc>
          <w:tcPr>
            <w:tcW w:w="60" w:type="dxa"/>
            <w:tcBorders/>
            <w:shd w:fill="FFFFFF" w:val="clear"/>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Tubular Segment:</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Manufactured Pipe</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11,164</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12,101</w:t>
            </w:r>
          </w:p>
        </w:tc>
        <w:tc>
          <w:tcPr>
            <w:tcW w:w="60" w:type="dxa"/>
            <w:tcBorders/>
            <w:shd w:fill="FFFFFF" w:val="clear"/>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11,164</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12,101</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490"/>
        <w:jc w:val="both"/>
        <w:rPr/>
      </w:pPr>
      <w:r>
        <w:rPr/>
        <w:t> </w:t>
      </w:r>
    </w:p>
    <w:p>
      <w:pPr>
        <w:pStyle w:val="TextBody"/>
        <w:bidi w:val="0"/>
        <w:spacing w:before="0" w:after="283"/>
        <w:jc w:val="left"/>
        <w:rPr/>
      </w:pPr>
      <w:r>
        <w:rPr/>
        <w:t xml:space="preserve">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NOTE K — STOCKHOLDERS’ EQUITY</w:t>
      </w:r>
    </w:p>
    <w:p>
      <w:pPr>
        <w:pStyle w:val="TextBody"/>
        <w:bidi w:val="0"/>
        <w:spacing w:before="0" w:after="0"/>
        <w:ind w:left="0" w:right="0" w:hanging="0"/>
        <w:jc w:val="left"/>
        <w:rPr/>
      </w:pPr>
      <w:r>
        <w:rPr/>
        <w:t> </w:t>
      </w:r>
    </w:p>
    <w:p>
      <w:pPr>
        <w:pStyle w:val="TextBody"/>
        <w:bidi w:val="0"/>
        <w:spacing w:before="0" w:after="0"/>
        <w:ind w:left="0" w:right="0" w:firstLine="490"/>
        <w:jc w:val="both"/>
        <w:rPr/>
      </w:pPr>
      <w:r>
        <w:rPr>
          <w:rFonts w:ascii="Times New Roman;Times;serif" w:hAnsi="Times New Roman;Times;serif"/>
          <w:sz w:val="20"/>
        </w:rPr>
        <w:t xml:space="preserve">The following tables reflect the changes in stockholders’ equity for each of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June 30, 2024</w:t>
      </w:r>
      <w:r>
        <w:rPr>
          <w:rFonts w:ascii="Times New Roman;Times;serif" w:hAnsi="Times New Roman;Times;serif"/>
          <w:sz w:val="20"/>
        </w:rPr>
        <w:t xml:space="preserve"> and </w:t>
      </w:r>
      <w:r>
        <w:rPr>
          <w:rStyle w:val="Emphasis"/>
          <w:rFonts w:ascii="Times New Roman;Times;serif" w:hAnsi="Times New Roman;Times;serif"/>
          <w:sz w:val="20"/>
        </w:rPr>
        <w:t>June 30, 2023</w:t>
      </w:r>
      <w:r>
        <w:rPr>
          <w:rFonts w:ascii="Times New Roman;Times;serif" w:hAnsi="Times New Roman;Times;serif"/>
          <w:sz w:val="20"/>
        </w:rPr>
        <w:t> (in thousands):</w:t>
      </w:r>
    </w:p>
    <w:p>
      <w:pPr>
        <w:pStyle w:val="TextBody"/>
        <w:bidi w:val="0"/>
        <w:spacing w:before="0" w:after="0"/>
        <w:ind w:left="0" w:right="0" w:firstLine="490"/>
        <w:jc w:val="left"/>
        <w:rPr/>
      </w:pPr>
      <w:r>
        <w:rPr/>
        <w:t> </w:t>
      </w:r>
    </w:p>
    <w:tbl>
      <w:tblPr>
        <w:tblW w:w="9210" w:type="dxa"/>
        <w:jc w:val="left"/>
        <w:tblInd w:w="0" w:type="dxa"/>
        <w:tblLayout w:type="fixed"/>
        <w:tblCellMar>
          <w:top w:w="0" w:type="dxa"/>
          <w:left w:w="0" w:type="dxa"/>
          <w:bottom w:w="0" w:type="dxa"/>
          <w:right w:w="0" w:type="dxa"/>
        </w:tblCellMar>
      </w:tblPr>
      <w:tblGrid>
        <w:gridCol w:w="3065"/>
        <w:gridCol w:w="60"/>
        <w:gridCol w:w="157"/>
        <w:gridCol w:w="613"/>
        <w:gridCol w:w="60"/>
        <w:gridCol w:w="60"/>
        <w:gridCol w:w="420"/>
        <w:gridCol w:w="875"/>
        <w:gridCol w:w="60"/>
        <w:gridCol w:w="60"/>
        <w:gridCol w:w="160"/>
        <w:gridCol w:w="760"/>
        <w:gridCol w:w="60"/>
        <w:gridCol w:w="60"/>
        <w:gridCol w:w="125"/>
        <w:gridCol w:w="650"/>
        <w:gridCol w:w="80"/>
        <w:gridCol w:w="60"/>
        <w:gridCol w:w="136"/>
        <w:gridCol w:w="649"/>
        <w:gridCol w:w="80"/>
        <w:gridCol w:w="60"/>
        <w:gridCol w:w="125"/>
        <w:gridCol w:w="695"/>
        <w:gridCol w:w="80"/>
      </w:tblGrid>
      <w:tr>
        <w:trPr/>
        <w:tc>
          <w:tcPr>
            <w:tcW w:w="30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Accumulated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Comprehensive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Additional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Common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Paid-In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Treasury</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Retained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Net of Tax</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Capital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Stock</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Earnings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80" w:type="dxa"/>
            <w:tcBorders/>
            <w:shd w:fill="FFFFFF" w:val="clear"/>
            <w:vAlign w:val="center"/>
          </w:tcPr>
          <w:p>
            <w:pPr>
              <w:pStyle w:val="TableContents"/>
              <w:bidi w:val="0"/>
              <w:spacing w:before="0" w:after="283"/>
              <w:ind w:left="900" w:right="0" w:hanging="0"/>
              <w:jc w:val="left"/>
              <w:rPr/>
            </w:pPr>
            <w:r>
              <w:rPr/>
              <w:t> </w:t>
            </w:r>
          </w:p>
        </w:tc>
      </w:tr>
      <w:tr>
        <w:trPr/>
        <w:tc>
          <w:tcPr>
            <w:tcW w:w="3065" w:type="dxa"/>
            <w:tcBorders/>
            <w:shd w:fill="CCEEFF" w:val="clear"/>
            <w:vAlign w:val="center"/>
          </w:tcPr>
          <w:p>
            <w:pPr>
              <w:pStyle w:val="TableContents"/>
              <w:bidi w:val="0"/>
              <w:spacing w:before="0" w:after="0"/>
              <w:ind w:left="1800" w:right="0" w:hanging="360"/>
              <w:jc w:val="left"/>
              <w:rPr>
                <w:rFonts w:ascii="Times New Roman" w:hAnsi="Times New Roman"/>
                <w:caps w:val="false"/>
                <w:smallCaps w:val="false"/>
                <w:sz w:val="20"/>
              </w:rPr>
            </w:pPr>
            <w:r>
              <w:rPr>
                <w:rFonts w:ascii="Times New Roman" w:hAnsi="Times New Roman"/>
                <w:caps w:val="false"/>
                <w:smallCaps w:val="false"/>
                <w:sz w:val="20"/>
              </w:rPr>
              <w:t>BALANCE AT MARCH 31, 2024</w:t>
            </w:r>
          </w:p>
        </w:tc>
        <w:tc>
          <w:tcPr>
            <w:tcW w:w="60" w:type="dxa"/>
            <w:tcBorders/>
            <w:shd w:fill="CCEEFF" w:val="clear"/>
            <w:vAlign w:val="center"/>
          </w:tcPr>
          <w:p>
            <w:pPr>
              <w:pStyle w:val="TableContents"/>
              <w:bidi w:val="0"/>
              <w:spacing w:before="0" w:after="283"/>
              <w:ind w:left="0" w:right="0" w:hanging="0"/>
              <w:jc w:val="left"/>
              <w:rPr/>
            </w:pPr>
            <w:r>
              <w:rPr/>
              <w:t> </w:t>
            </w:r>
          </w:p>
        </w:tc>
        <w:tc>
          <w:tcPr>
            <w:tcW w:w="15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1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0"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6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35,247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(12,929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96,284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127,475</w:t>
            </w:r>
          </w:p>
        </w:tc>
        <w:tc>
          <w:tcPr>
            <w:tcW w:w="80"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earnings</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613"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76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64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2,567</w:t>
            </w:r>
          </w:p>
        </w:tc>
        <w:tc>
          <w:tcPr>
            <w:tcW w:w="80"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Paid in capital – restricted stock units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61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0"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6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64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w:t>
            </w:r>
          </w:p>
        </w:tc>
        <w:tc>
          <w:tcPr>
            <w:tcW w:w="80"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Repurchase of shares</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(123</w:t>
            </w:r>
          </w:p>
        </w:tc>
        <w:tc>
          <w:tcPr>
            <w:tcW w:w="8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306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dividends ($0.04 per share)</w:t>
            </w:r>
          </w:p>
        </w:tc>
        <w:tc>
          <w:tcPr>
            <w:tcW w:w="60" w:type="dxa"/>
            <w:tcBorders/>
            <w:shd w:fill="CCEEFF" w:val="clear"/>
            <w:vAlign w:val="center"/>
          </w:tcPr>
          <w:p>
            <w:pPr>
              <w:pStyle w:val="TableContents"/>
              <w:bidi w:val="0"/>
              <w:spacing w:before="0" w:after="0"/>
              <w:ind w:left="0" w:right="0" w:hanging="0"/>
              <w:jc w:val="left"/>
              <w:rPr/>
            </w:pPr>
            <w:r>
              <w:rPr/>
              <w:t> </w:t>
            </w:r>
          </w:p>
        </w:tc>
        <w:tc>
          <w:tcPr>
            <w:tcW w:w="15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4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(279</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(279</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06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BALANCE AT JUNE 30, 2024</w:t>
            </w:r>
          </w:p>
        </w:tc>
        <w:tc>
          <w:tcPr>
            <w:tcW w:w="60" w:type="dxa"/>
            <w:tcBorders/>
            <w:shd w:fill="FFFFFF" w:val="clear"/>
            <w:vAlign w:val="center"/>
          </w:tcPr>
          <w:p>
            <w:pPr>
              <w:pStyle w:val="TableContents"/>
              <w:bidi w:val="0"/>
              <w:spacing w:before="0" w:after="0"/>
              <w:ind w:left="0" w:right="0" w:hanging="0"/>
              <w:jc w:val="left"/>
              <w:rPr/>
            </w:pPr>
            <w:r>
              <w:rPr/>
              <w:t> </w:t>
            </w:r>
          </w:p>
        </w:tc>
        <w:tc>
          <w:tcPr>
            <w:tcW w:w="157"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13"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8,873</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42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7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6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35,294</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(13,052</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3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49"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98,572</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129,687</w:t>
            </w:r>
          </w:p>
        </w:tc>
        <w:tc>
          <w:tcPr>
            <w:tcW w:w="80" w:type="dxa"/>
            <w:tcBorders/>
            <w:shd w:fill="FFFFFF" w:val="clear"/>
            <w:vAlign w:val="center"/>
          </w:tcPr>
          <w:p>
            <w:pPr>
              <w:pStyle w:val="TableContents"/>
              <w:bidi w:val="0"/>
              <w:spacing w:before="0" w:after="0"/>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tbl>
      <w:tblPr>
        <w:tblW w:w="9210" w:type="dxa"/>
        <w:jc w:val="left"/>
        <w:tblInd w:w="0" w:type="dxa"/>
        <w:tblLayout w:type="fixed"/>
        <w:tblCellMar>
          <w:top w:w="0" w:type="dxa"/>
          <w:left w:w="0" w:type="dxa"/>
          <w:bottom w:w="0" w:type="dxa"/>
          <w:right w:w="0" w:type="dxa"/>
        </w:tblCellMar>
      </w:tblPr>
      <w:tblGrid>
        <w:gridCol w:w="3065"/>
        <w:gridCol w:w="60"/>
        <w:gridCol w:w="157"/>
        <w:gridCol w:w="613"/>
        <w:gridCol w:w="60"/>
        <w:gridCol w:w="60"/>
        <w:gridCol w:w="311"/>
        <w:gridCol w:w="984"/>
        <w:gridCol w:w="80"/>
        <w:gridCol w:w="60"/>
        <w:gridCol w:w="160"/>
        <w:gridCol w:w="760"/>
        <w:gridCol w:w="60"/>
        <w:gridCol w:w="60"/>
        <w:gridCol w:w="140"/>
        <w:gridCol w:w="615"/>
        <w:gridCol w:w="80"/>
        <w:gridCol w:w="60"/>
        <w:gridCol w:w="136"/>
        <w:gridCol w:w="649"/>
        <w:gridCol w:w="80"/>
        <w:gridCol w:w="60"/>
        <w:gridCol w:w="125"/>
        <w:gridCol w:w="695"/>
        <w:gridCol w:w="80"/>
      </w:tblGrid>
      <w:tr>
        <w:trPr/>
        <w:tc>
          <w:tcPr>
            <w:tcW w:w="30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5" w:type="dxa"/>
            <w:gridSpan w:val="2"/>
            <w:tcBorders/>
            <w:shd w:fill="FFFFFF" w:val="clear"/>
            <w:vAlign w:val="center"/>
          </w:tcPr>
          <w:p>
            <w:pPr>
              <w:pStyle w:val="TableContents"/>
              <w:bidi w:val="0"/>
              <w:spacing w:before="0" w:after="283"/>
              <w:jc w:val="center"/>
              <w:rPr/>
            </w:pPr>
            <w:r>
              <w:rPr>
                <w:rStyle w:val="Emphasis"/>
                <w:rFonts w:ascii="Times New Roman" w:hAnsi="Times New Roman"/>
                <w:b/>
                <w:sz w:val="20"/>
              </w:rPr>
              <w:t>Other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Comprehensive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Additional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Common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Income,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Paid-In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Treasury</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Retained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Net of Tax</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Capital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Stock</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Earnings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80" w:type="dxa"/>
            <w:tcBorders/>
            <w:shd w:fill="FFFFFF" w:val="clear"/>
            <w:vAlign w:val="center"/>
          </w:tcPr>
          <w:p>
            <w:pPr>
              <w:pStyle w:val="TableContents"/>
              <w:bidi w:val="0"/>
              <w:spacing w:before="0" w:after="283"/>
              <w:ind w:left="900" w:right="0" w:hanging="0"/>
              <w:jc w:val="left"/>
              <w:rPr/>
            </w:pPr>
            <w:r>
              <w:rPr/>
              <w:t> </w:t>
            </w:r>
          </w:p>
        </w:tc>
      </w:tr>
      <w:tr>
        <w:trPr/>
        <w:tc>
          <w:tcPr>
            <w:tcW w:w="3065" w:type="dxa"/>
            <w:tcBorders/>
            <w:shd w:fill="CCEEFF" w:val="clear"/>
            <w:vAlign w:val="center"/>
          </w:tcPr>
          <w:p>
            <w:pPr>
              <w:pStyle w:val="TableContents"/>
              <w:bidi w:val="0"/>
              <w:spacing w:before="0" w:after="0"/>
              <w:ind w:left="1800" w:right="0" w:hanging="360"/>
              <w:jc w:val="left"/>
              <w:rPr>
                <w:rFonts w:ascii="Times New Roman" w:hAnsi="Times New Roman"/>
                <w:caps w:val="false"/>
                <w:smallCaps w:val="false"/>
                <w:sz w:val="20"/>
              </w:rPr>
            </w:pPr>
            <w:r>
              <w:rPr>
                <w:rFonts w:ascii="Times New Roman" w:hAnsi="Times New Roman"/>
                <w:caps w:val="false"/>
                <w:smallCaps w:val="false"/>
                <w:sz w:val="20"/>
              </w:rPr>
              <w:t>BALANCE AT MARCH 31, 2023</w:t>
            </w:r>
          </w:p>
        </w:tc>
        <w:tc>
          <w:tcPr>
            <w:tcW w:w="60" w:type="dxa"/>
            <w:tcBorders/>
            <w:shd w:fill="CCEEFF" w:val="clear"/>
            <w:vAlign w:val="center"/>
          </w:tcPr>
          <w:p>
            <w:pPr>
              <w:pStyle w:val="TableContents"/>
              <w:bidi w:val="0"/>
              <w:spacing w:before="0" w:after="283"/>
              <w:ind w:left="0" w:right="0" w:hanging="0"/>
              <w:jc w:val="left"/>
              <w:rPr/>
            </w:pPr>
            <w:r>
              <w:rPr/>
              <w:t> </w:t>
            </w:r>
          </w:p>
        </w:tc>
        <w:tc>
          <w:tcPr>
            <w:tcW w:w="15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1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ind w:left="0" w:right="0" w:hanging="0"/>
              <w:jc w:val="left"/>
              <w:rPr/>
            </w:pPr>
            <w:r>
              <w:rPr/>
              <w:t> </w:t>
            </w:r>
          </w:p>
        </w:tc>
        <w:tc>
          <w:tcPr>
            <w:tcW w:w="9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6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35,005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1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(7,778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79,653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115,432</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0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earnings</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613"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ind w:left="0" w:right="0" w:hanging="0"/>
              <w:jc w:val="left"/>
              <w:rPr/>
            </w:pPr>
            <w:r>
              <w:rPr/>
              <w:t> </w:t>
            </w:r>
          </w:p>
        </w:tc>
        <w:tc>
          <w:tcPr>
            <w:tcW w:w="98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76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64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7,690</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0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comprehensive income</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61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ind w:left="0" w:right="0" w:hanging="0"/>
              <w:jc w:val="left"/>
              <w:rPr/>
            </w:pPr>
            <w:r>
              <w:rPr/>
              <w:t> </w:t>
            </w:r>
          </w:p>
        </w:tc>
        <w:tc>
          <w:tcPr>
            <w:tcW w:w="9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6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64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317</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0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Paid in capital – restricted stock units</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613"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ind w:left="0" w:right="0" w:hanging="0"/>
              <w:jc w:val="left"/>
              <w:rPr/>
            </w:pPr>
            <w:r>
              <w:rPr/>
              <w:t> </w:t>
            </w:r>
          </w:p>
        </w:tc>
        <w:tc>
          <w:tcPr>
            <w:tcW w:w="98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76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64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0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dividends ($0.02 per share)</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(148</w:t>
            </w:r>
          </w:p>
        </w:tc>
        <w:tc>
          <w:tcPr>
            <w:tcW w:w="8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306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BALANCE AT JUNE 30, 2023</w:t>
            </w:r>
          </w:p>
        </w:tc>
        <w:tc>
          <w:tcPr>
            <w:tcW w:w="60" w:type="dxa"/>
            <w:tcBorders/>
            <w:shd w:fill="FFFFFF" w:val="clear"/>
            <w:vAlign w:val="center"/>
          </w:tcPr>
          <w:p>
            <w:pPr>
              <w:pStyle w:val="TableContents"/>
              <w:bidi w:val="0"/>
              <w:spacing w:before="0" w:after="0"/>
              <w:ind w:left="0" w:right="0" w:hanging="0"/>
              <w:jc w:val="left"/>
              <w:rPr/>
            </w:pPr>
            <w:r>
              <w:rPr/>
              <w:t> </w:t>
            </w:r>
          </w:p>
        </w:tc>
        <w:tc>
          <w:tcPr>
            <w:tcW w:w="157"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13"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8,869</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11"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84"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6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35,083</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1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(7,778</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3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49"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87,195</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123,369</w:t>
            </w:r>
          </w:p>
        </w:tc>
        <w:tc>
          <w:tcPr>
            <w:tcW w:w="80" w:type="dxa"/>
            <w:tcBorders/>
            <w:shd w:fill="FFFFFF" w:val="clear"/>
            <w:vAlign w:val="center"/>
          </w:tcPr>
          <w:p>
            <w:pPr>
              <w:pStyle w:val="TableContents"/>
              <w:bidi w:val="0"/>
              <w:spacing w:before="0" w:after="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NOTE L — OTHER COMPREHENSIVE INCOME</w:t>
      </w:r>
    </w:p>
    <w:p>
      <w:pPr>
        <w:pStyle w:val="TextBody"/>
        <w:bidi w:val="0"/>
        <w:spacing w:before="0" w:after="0"/>
        <w:ind w:left="0" w:right="0" w:hanging="0"/>
        <w:jc w:val="both"/>
        <w:rPr/>
      </w:pPr>
      <w:r>
        <w:rPr/>
        <w:t> </w:t>
      </w:r>
    </w:p>
    <w:p>
      <w:pPr>
        <w:pStyle w:val="TextBody"/>
        <w:bidi w:val="0"/>
        <w:spacing w:before="0" w:after="0"/>
        <w:ind w:left="0" w:right="0" w:firstLine="490"/>
        <w:jc w:val="both"/>
        <w:rPr/>
      </w:pPr>
      <w:r>
        <w:rPr>
          <w:rFonts w:ascii="Times New Roman;Times;serif" w:hAnsi="Times New Roman;Times;serif"/>
          <w:sz w:val="20"/>
        </w:rPr>
        <w:t xml:space="preserve">The following table summarizes the tax effects on each component of Other Comprehensive Income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June 30, 2023</w:t>
      </w:r>
      <w:r>
        <w:rPr>
          <w:rFonts w:ascii="Times New Roman;Times;serif" w:hAnsi="Times New Roman;Times;serif"/>
          <w:sz w:val="20"/>
        </w:rPr>
        <w:t> (in thousands):</w:t>
      </w:r>
    </w:p>
    <w:p>
      <w:pPr>
        <w:pStyle w:val="TextBody"/>
        <w:bidi w:val="0"/>
        <w:spacing w:before="0" w:after="0"/>
        <w:ind w:left="0" w:right="0" w:firstLine="490"/>
        <w:jc w:val="both"/>
        <w:rPr/>
      </w:pPr>
      <w:r>
        <w:rPr/>
        <w:t> </w:t>
      </w:r>
    </w:p>
    <w:p>
      <w:pPr>
        <w:pStyle w:val="TextBody"/>
        <w:bidi w:val="0"/>
        <w:spacing w:before="0" w:after="0"/>
        <w:ind w:left="0" w:right="0" w:hanging="0"/>
        <w:jc w:val="left"/>
        <w:rPr/>
      </w:pPr>
      <w:r>
        <w:rPr/>
        <w:t> </w:t>
      </w:r>
    </w:p>
    <w:tbl>
      <w:tblPr>
        <w:tblW w:w="5864" w:type="dxa"/>
        <w:jc w:val="left"/>
        <w:tblInd w:w="0" w:type="dxa"/>
        <w:tblLayout w:type="fixed"/>
        <w:tblCellMar>
          <w:top w:w="0" w:type="dxa"/>
          <w:left w:w="0" w:type="dxa"/>
          <w:bottom w:w="0" w:type="dxa"/>
          <w:right w:w="0" w:type="dxa"/>
        </w:tblCellMar>
      </w:tblPr>
      <w:tblGrid>
        <w:gridCol w:w="2495"/>
        <w:gridCol w:w="60"/>
        <w:gridCol w:w="262"/>
        <w:gridCol w:w="703"/>
        <w:gridCol w:w="105"/>
        <w:gridCol w:w="105"/>
        <w:gridCol w:w="218"/>
        <w:gridCol w:w="691"/>
        <w:gridCol w:w="140"/>
        <w:gridCol w:w="105"/>
        <w:gridCol w:w="250"/>
        <w:gridCol w:w="670"/>
        <w:gridCol w:w="60"/>
      </w:tblGrid>
      <w:tr>
        <w:trPr/>
        <w:tc>
          <w:tcPr>
            <w:tcW w:w="24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49"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 2023</w:t>
            </w:r>
          </w:p>
        </w:tc>
        <w:tc>
          <w:tcPr>
            <w:tcW w:w="60" w:type="dxa"/>
            <w:tcBorders/>
            <w:shd w:fill="FFFFFF" w:val="clear"/>
            <w:vAlign w:val="center"/>
          </w:tcPr>
          <w:p>
            <w:pPr>
              <w:pStyle w:val="TableContents"/>
              <w:bidi w:val="0"/>
              <w:spacing w:before="0" w:after="283"/>
              <w:jc w:val="left"/>
              <w:rPr/>
            </w:pPr>
            <w:r>
              <w:rPr/>
              <w:t> </w:t>
            </w:r>
          </w:p>
        </w:tc>
      </w:tr>
      <w:tr>
        <w:trPr/>
        <w:tc>
          <w:tcPr>
            <w:tcW w:w="24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Before-Tax</w:t>
            </w:r>
          </w:p>
        </w:tc>
        <w:tc>
          <w:tcPr>
            <w:tcW w:w="105"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ind w:left="0" w:right="0" w:hanging="0"/>
              <w:jc w:val="left"/>
              <w:rPr/>
            </w:pPr>
            <w:r>
              <w:rPr/>
              <w:t> </w:t>
            </w:r>
          </w:p>
        </w:tc>
        <w:tc>
          <w:tcPr>
            <w:tcW w:w="9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Tax</w:t>
            </w:r>
          </w:p>
        </w:tc>
        <w:tc>
          <w:tcPr>
            <w:tcW w:w="14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Net-of-Tax</w:t>
            </w:r>
          </w:p>
        </w:tc>
        <w:tc>
          <w:tcPr>
            <w:tcW w:w="60" w:type="dxa"/>
            <w:tcBorders/>
            <w:shd w:fill="FFFFFF" w:val="clear"/>
            <w:vAlign w:val="center"/>
          </w:tcPr>
          <w:p>
            <w:pPr>
              <w:pStyle w:val="TableContents"/>
              <w:bidi w:val="0"/>
              <w:spacing w:before="0" w:after="283"/>
              <w:jc w:val="left"/>
              <w:rPr/>
            </w:pPr>
            <w:r>
              <w:rPr/>
              <w:t> </w:t>
            </w:r>
          </w:p>
        </w:tc>
      </w:tr>
      <w:tr>
        <w:trPr/>
        <w:tc>
          <w:tcPr>
            <w:tcW w:w="24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703"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 hedges</w:t>
            </w:r>
          </w:p>
        </w:tc>
        <w:tc>
          <w:tcPr>
            <w:tcW w:w="60" w:type="dxa"/>
            <w:tcBorders/>
            <w:shd w:fill="CCEEFF" w:val="clear"/>
            <w:vAlign w:val="center"/>
          </w:tcPr>
          <w:p>
            <w:pPr>
              <w:pStyle w:val="TableContents"/>
              <w:bidi w:val="0"/>
              <w:spacing w:before="0" w:after="283"/>
              <w:ind w:left="0" w:right="0" w:hanging="0"/>
              <w:jc w:val="left"/>
              <w:rPr/>
            </w:pPr>
            <w:r>
              <w:rPr/>
              <w:t> </w:t>
            </w:r>
          </w:p>
        </w:tc>
        <w:tc>
          <w:tcPr>
            <w:tcW w:w="2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ind w:left="0" w:right="0" w:hanging="0"/>
              <w:jc w:val="left"/>
              <w:rPr/>
            </w:pPr>
            <w:r>
              <w:rPr/>
              <w:t> </w:t>
            </w:r>
          </w:p>
        </w:tc>
        <w:tc>
          <w:tcPr>
            <w:tcW w:w="21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w:t>
            </w:r>
          </w:p>
        </w:tc>
        <w:tc>
          <w:tcPr>
            <w:tcW w:w="1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 w:type="dxa"/>
            <w:tcBorders/>
            <w:shd w:fill="CCEEFF" w:val="clear"/>
            <w:vAlign w:val="center"/>
          </w:tcPr>
          <w:p>
            <w:pPr>
              <w:pStyle w:val="TableContents"/>
              <w:bidi w:val="0"/>
              <w:spacing w:before="0" w:after="283"/>
              <w:ind w:left="0" w:right="0" w:hanging="0"/>
              <w:jc w:val="left"/>
              <w:rPr/>
            </w:pPr>
            <w:r>
              <w:rPr/>
              <w:t> </w:t>
            </w:r>
          </w:p>
        </w:tc>
        <w:tc>
          <w:tcPr>
            <w:tcW w:w="2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317</w:t>
            </w:r>
          </w:p>
        </w:tc>
        <w:tc>
          <w:tcPr>
            <w:tcW w:w="60" w:type="dxa"/>
            <w:tcBorders/>
            <w:shd w:fill="CCEEFF" w:val="clear"/>
            <w:vAlign w:val="center"/>
          </w:tcPr>
          <w:p>
            <w:pPr>
              <w:pStyle w:val="TableContents"/>
              <w:bidi w:val="0"/>
              <w:spacing w:before="0" w:after="283"/>
              <w:jc w:val="left"/>
              <w:rPr/>
            </w:pPr>
            <w:r>
              <w:rPr/>
              <w:t> </w:t>
            </w:r>
          </w:p>
        </w:tc>
      </w:tr>
      <w:tr>
        <w:trPr/>
        <w:tc>
          <w:tcPr>
            <w:tcW w:w="249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comprehensive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26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w:t>
            </w:r>
          </w:p>
        </w:tc>
        <w:tc>
          <w:tcPr>
            <w:tcW w:w="105"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ind w:left="0" w:right="0" w:hanging="0"/>
              <w:jc w:val="left"/>
              <w:rPr/>
            </w:pPr>
            <w:r>
              <w:rPr/>
              <w:t> </w:t>
            </w:r>
          </w:p>
        </w:tc>
        <w:tc>
          <w:tcPr>
            <w:tcW w:w="21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w:t>
            </w:r>
          </w:p>
        </w:tc>
        <w:tc>
          <w:tcPr>
            <w:tcW w:w="1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 w:type="dxa"/>
            <w:tcBorders/>
            <w:shd w:fill="FFFFFF" w:val="clear"/>
            <w:vAlign w:val="center"/>
          </w:tcPr>
          <w:p>
            <w:pPr>
              <w:pStyle w:val="TableContents"/>
              <w:bidi w:val="0"/>
              <w:spacing w:before="0" w:after="283"/>
              <w:ind w:left="0" w:right="0" w:hanging="0"/>
              <w:jc w:val="left"/>
              <w:rPr/>
            </w:pPr>
            <w:r>
              <w:rPr/>
              <w:t> </w:t>
            </w:r>
          </w:p>
        </w:tc>
        <w:tc>
          <w:tcPr>
            <w:tcW w:w="25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317</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NOTE M — EARNINGS PER SHARE</w:t>
      </w:r>
    </w:p>
    <w:p>
      <w:pPr>
        <w:pStyle w:val="TextBody"/>
        <w:bidi w:val="0"/>
        <w:spacing w:before="0" w:after="0"/>
        <w:ind w:left="0" w:right="0" w:hanging="0"/>
        <w:jc w:val="both"/>
        <w:rPr/>
      </w:pPr>
      <w:r>
        <w:rPr/>
        <w:t> </w:t>
      </w:r>
    </w:p>
    <w:p>
      <w:pPr>
        <w:pStyle w:val="TextBody"/>
        <w:bidi w:val="0"/>
        <w:spacing w:before="0" w:after="0"/>
        <w:ind w:left="0" w:right="0" w:firstLine="490"/>
        <w:jc w:val="both"/>
        <w:rPr>
          <w:rFonts w:ascii="Times New Roman" w:hAnsi="Times New Roman"/>
          <w:caps w:val="false"/>
          <w:smallCaps w:val="false"/>
          <w:sz w:val="20"/>
        </w:rPr>
      </w:pPr>
      <w:r>
        <w:rPr>
          <w:rFonts w:ascii="Times New Roman" w:hAnsi="Times New Roman"/>
          <w:caps w:val="false"/>
          <w:smallCaps w:val="false"/>
          <w:sz w:val="20"/>
        </w:rPr>
        <w:t>Basic and dilutive net earnings per share is computed based on the following information (in thousands, except for share data):</w:t>
      </w:r>
    </w:p>
    <w:p>
      <w:pPr>
        <w:pStyle w:val="TextBody"/>
        <w:bidi w:val="0"/>
        <w:spacing w:before="0" w:after="0"/>
        <w:ind w:left="0" w:right="0" w:firstLine="490"/>
        <w:jc w:val="both"/>
        <w:rPr>
          <w:caps w:val="false"/>
          <w:smallCaps w:val="false"/>
        </w:rPr>
      </w:pPr>
      <w:r>
        <w:rPr>
          <w:caps w:val="false"/>
          <w:smallCaps w:val="false"/>
        </w:rPr>
        <w:t> </w:t>
      </w:r>
    </w:p>
    <w:tbl>
      <w:tblPr>
        <w:tblW w:w="6250" w:type="dxa"/>
        <w:jc w:val="left"/>
        <w:tblInd w:w="0" w:type="dxa"/>
        <w:tblLayout w:type="fixed"/>
        <w:tblCellMar>
          <w:top w:w="0" w:type="dxa"/>
          <w:left w:w="0" w:type="dxa"/>
          <w:bottom w:w="0" w:type="dxa"/>
          <w:right w:w="0" w:type="dxa"/>
        </w:tblCellMar>
      </w:tblPr>
      <w:tblGrid>
        <w:gridCol w:w="4070"/>
        <w:gridCol w:w="60"/>
        <w:gridCol w:w="125"/>
        <w:gridCol w:w="845"/>
        <w:gridCol w:w="60"/>
        <w:gridCol w:w="60"/>
        <w:gridCol w:w="125"/>
        <w:gridCol w:w="845"/>
        <w:gridCol w:w="60"/>
      </w:tblGrid>
      <w:tr>
        <w:trPr/>
        <w:tc>
          <w:tcPr>
            <w:tcW w:w="40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60"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6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60" w:type="dxa"/>
            <w:tcBorders/>
            <w:shd w:fill="FFFF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Numerator (basic and diluted)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7,690</w:t>
            </w:r>
          </w:p>
        </w:tc>
        <w:tc>
          <w:tcPr>
            <w:tcW w:w="60"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Allocation to unvested restricted stock units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w:t>
            </w:r>
          </w:p>
        </w:tc>
        <w:tc>
          <w:tcPr>
            <w:tcW w:w="60"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 attributable to common shareholders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7,600</w:t>
            </w:r>
          </w:p>
        </w:tc>
        <w:tc>
          <w:tcPr>
            <w:tcW w:w="60"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Denominator (basic and diluted)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common shares outstanding</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6,939,208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7,288,906</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pPr>
      <w:r>
        <w:rPr>
          <w:rFonts w:ascii="Times New Roman" w:hAnsi="Times New Roman"/>
          <w:caps w:val="false"/>
          <w:smallCaps w:val="false"/>
          <w:sz w:val="20"/>
        </w:rPr>
        <w:t xml:space="preserve">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2024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2023</w:t>
      </w:r>
      <w:r>
        <w:rPr>
          <w:rFonts w:ascii="Times New Roman" w:hAnsi="Times New Roman"/>
          <w:caps w:val="false"/>
          <w:smallCaps w:val="false"/>
          <w:sz w:val="20"/>
        </w:rPr>
        <w:t>, the Company allocated dividends and undistributed earnings to the unvested restricted stock units.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90"/>
        <w:jc w:val="both"/>
        <w:rPr/>
      </w:pPr>
      <w:r>
        <w:rPr>
          <w:rFonts w:ascii="Times New Roman" w:hAnsi="Times New Roman"/>
          <w:caps w:val="false"/>
          <w:smallCaps w:val="false"/>
          <w:sz w:val="20"/>
        </w:rPr>
        <w:t xml:space="preserve">As the restricted stock qualifies as participating securities, the following restricted stock units were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accounted in the computation of weighted average diluted common shares outstanding under the </w:t>
      </w:r>
      <w:r>
        <w:rPr>
          <w:rStyle w:val="Emphasis"/>
          <w:rFonts w:ascii="Times New Roman" w:hAnsi="Times New Roman"/>
          <w:caps w:val="false"/>
          <w:smallCaps w:val="false"/>
          <w:sz w:val="20"/>
        </w:rPr>
        <w:t>two</w:t>
      </w:r>
      <w:r>
        <w:rPr>
          <w:rFonts w:ascii="Times New Roman" w:hAnsi="Times New Roman"/>
          <w:caps w:val="false"/>
          <w:smallCaps w:val="false"/>
          <w:sz w:val="20"/>
        </w:rPr>
        <w:t>-class method:</w:t>
      </w:r>
    </w:p>
    <w:p>
      <w:pPr>
        <w:pStyle w:val="TextBody"/>
        <w:bidi w:val="0"/>
        <w:spacing w:before="0" w:after="0"/>
        <w:ind w:left="0" w:right="0" w:firstLine="490"/>
        <w:jc w:val="both"/>
        <w:rPr>
          <w:caps w:val="false"/>
          <w:smallCaps w:val="false"/>
        </w:rPr>
      </w:pPr>
      <w:r>
        <w:rPr>
          <w:caps w:val="false"/>
          <w:smallCaps w:val="false"/>
        </w:rPr>
        <w:t> </w:t>
      </w:r>
    </w:p>
    <w:tbl>
      <w:tblPr>
        <w:tblW w:w="3743" w:type="dxa"/>
        <w:jc w:val="left"/>
        <w:tblInd w:w="0" w:type="dxa"/>
        <w:tblLayout w:type="fixed"/>
        <w:tblCellMar>
          <w:top w:w="0" w:type="dxa"/>
          <w:left w:w="0" w:type="dxa"/>
          <w:bottom w:w="0" w:type="dxa"/>
          <w:right w:w="0" w:type="dxa"/>
        </w:tblCellMar>
      </w:tblPr>
      <w:tblGrid>
        <w:gridCol w:w="1865"/>
        <w:gridCol w:w="60"/>
        <w:gridCol w:w="74"/>
        <w:gridCol w:w="731"/>
        <w:gridCol w:w="74"/>
        <w:gridCol w:w="74"/>
        <w:gridCol w:w="74"/>
        <w:gridCol w:w="731"/>
        <w:gridCol w:w="60"/>
      </w:tblGrid>
      <w:tr>
        <w:trPr/>
        <w:tc>
          <w:tcPr>
            <w:tcW w:w="18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8"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60" w:type="dxa"/>
            <w:tcBorders/>
            <w:shd w:fill="FFFF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ind w:left="0" w:right="0" w:hanging="0"/>
              <w:jc w:val="left"/>
              <w:rPr/>
            </w:pPr>
            <w:r>
              <w:rPr/>
              <w:t> </w:t>
            </w:r>
          </w:p>
        </w:tc>
        <w:tc>
          <w:tcPr>
            <w:tcW w:w="8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Restricted Stock Units</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ind w:left="0" w:right="0" w:hanging="0"/>
              <w:jc w:val="left"/>
              <w:rPr/>
            </w:pPr>
            <w:r>
              <w:rPr/>
              <w:t> </w:t>
            </w:r>
          </w:p>
        </w:tc>
        <w:tc>
          <w:tcPr>
            <w:tcW w:w="7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24,218</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ind w:left="0" w:right="0" w:hanging="0"/>
              <w:jc w:val="left"/>
              <w:rPr/>
            </w:pPr>
            <w:r>
              <w:rPr/>
              <w:t> </w:t>
            </w:r>
          </w:p>
        </w:tc>
        <w:tc>
          <w:tcPr>
            <w:tcW w:w="7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60,524</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NOTE N — SUPPLEMENTAL CASH FLOW INFORMATION</w:t>
      </w:r>
    </w:p>
    <w:p>
      <w:pPr>
        <w:pStyle w:val="TextBody"/>
        <w:bidi w:val="0"/>
        <w:spacing w:before="0" w:after="0"/>
        <w:ind w:left="0" w:right="0" w:hanging="0"/>
        <w:jc w:val="left"/>
        <w:rPr/>
      </w:pPr>
      <w:r>
        <w:rPr/>
        <w:t> </w:t>
      </w:r>
    </w:p>
    <w:p>
      <w:pPr>
        <w:pStyle w:val="TextBody"/>
        <w:bidi w:val="0"/>
        <w:spacing w:before="0" w:after="0"/>
        <w:ind w:left="0" w:right="0" w:firstLine="490"/>
        <w:jc w:val="both"/>
        <w:rPr/>
      </w:pPr>
      <w:r>
        <w:rPr>
          <w:rFonts w:ascii="Times New Roman;Times;serif" w:hAnsi="Times New Roman;Times;serif"/>
          <w:sz w:val="20"/>
        </w:rPr>
        <w:t>The Company paid interest o</w:t>
      </w:r>
      <w:r>
        <w:rPr>
          <w:rFonts w:ascii="Times New Roman;Times;serif" w:hAnsi="Times New Roman;Times;serif"/>
          <w:sz w:val="20"/>
          <w:shd w:fill="FFFFFF" w:val="clear"/>
        </w:rPr>
        <w:t>f approximately</w:t>
      </w:r>
      <w:r>
        <w:rPr>
          <w:rFonts w:ascii="Times New Roman;Times;serif" w:hAnsi="Times New Roman;Times;serif"/>
          <w:sz w:val="20"/>
        </w:rPr>
        <w:t xml:space="preserve"> $0.7 </w:t>
      </w:r>
      <w:r>
        <w:rPr>
          <w:rFonts w:ascii="Times New Roman;Times;serif" w:hAnsi="Times New Roman;Times;serif"/>
          <w:sz w:val="20"/>
          <w:shd w:fill="FFFFFF" w:val="clear"/>
        </w:rPr>
        <w:t xml:space="preserve">million and $0.5 million during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June 30, 2024</w:t>
      </w:r>
      <w:r>
        <w:rPr>
          <w:rFonts w:ascii="Times New Roman;Times;serif" w:hAnsi="Times New Roman;Times;serif"/>
          <w:sz w:val="20"/>
          <w:shd w:fill="FFFFFF" w:val="clear"/>
        </w:rPr>
        <w:t xml:space="preserve"> and </w:t>
      </w:r>
      <w:r>
        <w:rPr>
          <w:rStyle w:val="Emphasis"/>
          <w:rFonts w:ascii="Times New Roman;Times;serif" w:hAnsi="Times New Roman;Times;serif"/>
          <w:sz w:val="20"/>
          <w:shd w:fill="FFFFFF" w:val="clear"/>
        </w:rPr>
        <w:t>2023,</w:t>
      </w:r>
      <w:r>
        <w:rPr>
          <w:rFonts w:ascii="Times New Roman;Times;serif" w:hAnsi="Times New Roman;Times;serif"/>
          <w:sz w:val="20"/>
          <w:shd w:fill="FFFFFF" w:val="clear"/>
        </w:rPr>
        <w:t xml:space="preserve"> respectively. Additionally, the Company paid income taxes of approximately </w:t>
      </w:r>
      <w:r>
        <w:rPr>
          <w:rFonts w:ascii="Times New Roman;Times;serif" w:hAnsi="Times New Roman;Times;serif"/>
          <w:sz w:val="20"/>
        </w:rPr>
        <w:t>$113,000 </w:t>
      </w:r>
      <w:r>
        <w:rPr>
          <w:rFonts w:ascii="Times New Roman;Times;serif" w:hAnsi="Times New Roman;Times;serif"/>
          <w:sz w:val="20"/>
          <w:shd w:fill="FFFFFF" w:val="clear"/>
        </w:rPr>
        <w:t xml:space="preserve">and $47,000 during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June 30, 2024</w:t>
      </w:r>
      <w:r>
        <w:rPr>
          <w:rFonts w:ascii="Times New Roman;Times;serif" w:hAnsi="Times New Roman;Times;serif"/>
          <w:sz w:val="20"/>
          <w:shd w:fill="FFFFFF" w:val="clear"/>
        </w:rPr>
        <w:t xml:space="preserve"> and </w:t>
      </w:r>
      <w:r>
        <w:rPr>
          <w:rStyle w:val="Emphasis"/>
          <w:rFonts w:ascii="Times New Roman;Times;serif" w:hAnsi="Times New Roman;Times;serif"/>
          <w:sz w:val="20"/>
          <w:shd w:fill="FFFFFF" w:val="clear"/>
        </w:rPr>
        <w:t>2023,</w:t>
      </w:r>
      <w:r>
        <w:rPr>
          <w:rFonts w:ascii="Times New Roman;Times;serif" w:hAnsi="Times New Roman;Times;serif"/>
          <w:sz w:val="20"/>
          <w:shd w:fill="FFFFFF" w:val="clear"/>
        </w:rPr>
        <w:t xml:space="preserve"> respectively.</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NOTE O — INCOME TAXES</w:t>
      </w:r>
    </w:p>
    <w:p>
      <w:pPr>
        <w:pStyle w:val="TextBody"/>
        <w:bidi w:val="0"/>
        <w:spacing w:before="0" w:after="0"/>
        <w:ind w:left="0" w:right="0" w:hanging="0"/>
        <w:jc w:val="left"/>
        <w:rPr/>
      </w:pPr>
      <w:r>
        <w:rPr/>
        <w:t> </w:t>
      </w:r>
    </w:p>
    <w:p>
      <w:pPr>
        <w:pStyle w:val="TextBody"/>
        <w:bidi w:val="0"/>
        <w:spacing w:before="0" w:after="0"/>
        <w:ind w:left="0" w:right="0" w:firstLine="490"/>
        <w:jc w:val="both"/>
        <w:rPr/>
      </w:pPr>
      <w:r>
        <w:rPr>
          <w:rFonts w:ascii="Times New Roman;Times;serif" w:hAnsi="Times New Roman;Times;serif"/>
          <w:sz w:val="20"/>
          <w:shd w:fill="FFFFFF" w:val="clear"/>
        </w:rPr>
        <w:t xml:space="preserve">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June 30, 2024</w:t>
      </w:r>
      <w:r>
        <w:rPr>
          <w:rFonts w:ascii="Times New Roman;Times;serif" w:hAnsi="Times New Roman;Times;serif"/>
          <w:sz w:val="20"/>
          <w:shd w:fill="FFFFFF" w:val="clear"/>
        </w:rPr>
        <w:t xml:space="preserve"> and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June 30, 2023</w:t>
      </w:r>
      <w:r>
        <w:rPr>
          <w:rFonts w:ascii="Times New Roman;Times;serif" w:hAnsi="Times New Roman;Times;serif"/>
          <w:sz w:val="20"/>
          <w:shd w:fill="FFFFFF" w:val="clear"/>
        </w:rPr>
        <w:t xml:space="preserve">, the Company recorded an income tax provisions of approximately </w:t>
      </w:r>
      <w:r>
        <w:rPr>
          <w:rFonts w:ascii="Times New Roman;Times;serif" w:hAnsi="Times New Roman;Times;serif"/>
          <w:sz w:val="20"/>
        </w:rPr>
        <w:t>$0.7 </w:t>
      </w:r>
      <w:r>
        <w:rPr>
          <w:rFonts w:ascii="Times New Roman;Times;serif" w:hAnsi="Times New Roman;Times;serif"/>
          <w:sz w:val="20"/>
          <w:shd w:fill="FFFFFF" w:val="clear"/>
        </w:rPr>
        <w:t>million and $2.6 million, respectively.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June 30, 2024</w:t>
      </w:r>
      <w:r>
        <w:rPr>
          <w:rFonts w:ascii="Times New Roman;Times;serif" w:hAnsi="Times New Roman;Times;serif"/>
          <w:sz w:val="20"/>
          <w:shd w:fill="FFFFFF" w:val="clear"/>
        </w:rPr>
        <w:t>, the effective tax rate differed from the federal statutory rate due primarily to the inclusion of state tax expenses in the provision with this impact partially reduced by the tax effect of restricted stock vesting during the quarter.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June 30, 2023</w:t>
      </w:r>
      <w:r>
        <w:rPr>
          <w:rFonts w:ascii="Times New Roman;Times;serif" w:hAnsi="Times New Roman;Times;serif"/>
          <w:sz w:val="20"/>
          <w:shd w:fill="FFFFFF" w:val="clear"/>
        </w:rPr>
        <w:t>, the effective tax rate differed from the federal statutory rate due primarily to the inclusion of state tax expenses in the provision.</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rPr>
      </w:pPr>
      <w:bookmarkStart w:id="5" w:name="mgmtdis"/>
      <w:bookmarkEnd w:id="5"/>
      <w:r>
        <w:rPr>
          <w:rFonts w:ascii="Times New Roman;Times;serif" w:hAnsi="Times New Roman;Times;serif"/>
          <w:b/>
          <w:sz w:val="20"/>
        </w:rPr>
        <w:t>Item 2. Management’s Discussion and Analysis of Financial Condition and Results of Operations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shd w:fill="FFFFFF" w:val="clear"/>
        </w:rPr>
      </w:pPr>
      <w:r>
        <w:rPr>
          <w:rFonts w:ascii="Times New Roman;Times;serif" w:hAnsi="Times New Roman;Times;serif"/>
          <w:sz w:val="20"/>
          <w:shd w:fill="FFFFFF" w:val="clear"/>
        </w:rPr>
        <w:t>Friedman Industries, Incorporated is a manufacturer and processor of steel products and operates in two reportable segments: flat-roll products and tubular products.</w:t>
      </w:r>
    </w:p>
    <w:p>
      <w:pPr>
        <w:pStyle w:val="TextBody"/>
        <w:bidi w:val="0"/>
        <w:spacing w:before="0" w:after="0"/>
        <w:ind w:left="0" w:right="0" w:firstLine="490"/>
        <w:jc w:val="both"/>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flat-roll product segment consists of the operation of five hot-rolled coil processing facilities located in Hickman, Arkansas; Decatur, Alabama; East Chicago, Indiana; Granite City, Illinois and Sinton, Texas. The Hickman, Granite City and East Chicago facilities operate temper mills and cut-to-length lines. The Decatur and Sinton facilities operate stretcher leveler cut-to-length lines. The equipment at all locations improve the flatness and surface quality of the coils and cut the coils into sheet and plate of prescribed lengths. On a combined basis, the facilities are capable of cutting sheet and plate with thicknesses ranging from 16 gauge to 1” thick in widths ranging from 36” wide to 96” wide. The vast majority of flat-roll product segment revenue is generated from sales of Company owned inventory but the segment also generates revenue from the processing or storage of customer owned coils on a fee basis.</w:t>
      </w:r>
    </w:p>
    <w:p>
      <w:pPr>
        <w:pStyle w:val="TextBody"/>
        <w:bidi w:val="0"/>
        <w:spacing w:before="0" w:after="0"/>
        <w:ind w:left="0" w:right="0" w:firstLine="490"/>
        <w:jc w:val="both"/>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tubular product segment consists of the Company’s Texas Tubular Products division (“TTP”) located in Lone Star, Texas. TTP operates two electric resistance welded pipe mills with a combined outside diameter (“OD”) size range of 2 3/8” OD to 8 5/8” OD. Both pipe mills are American Petroleum Institute (“API”) licensed to manufacture line pipe and oil country pipe and also manufacture pipe for structural purposes that meets other recognized industry standards. All of the tubular segment's revenue is generated from sales of Company owned inventory.</w:t>
      </w:r>
    </w:p>
    <w:p>
      <w:pPr>
        <w:pStyle w:val="TextBody"/>
        <w:bidi w:val="0"/>
        <w:spacing w:before="0" w:after="0"/>
        <w:ind w:left="0" w:right="0" w:firstLine="49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0"/>
        <w:ind w:left="0" w:right="0" w:hanging="0"/>
        <w:jc w:val="left"/>
        <w:rPr/>
      </w:pPr>
      <w:r>
        <w:rPr/>
        <w:t> </w:t>
      </w:r>
    </w:p>
    <w:p>
      <w:pPr>
        <w:pStyle w:val="TextBody"/>
        <w:bidi w:val="0"/>
        <w:spacing w:before="0" w:after="0"/>
        <w:ind w:left="489" w:right="0" w:hanging="0"/>
        <w:jc w:val="left"/>
        <w:rPr>
          <w:rFonts w:ascii="Times New Roman;Times;serif" w:hAnsi="Times New Roman;Times;serif"/>
          <w:b/>
          <w:i/>
          <w:sz w:val="20"/>
          <w:u w:val="single"/>
        </w:rPr>
      </w:pPr>
      <w:r>
        <w:rPr>
          <w:rFonts w:ascii="Times New Roman;Times;serif" w:hAnsi="Times New Roman;Times;serif"/>
          <w:b/>
          <w:i/>
          <w:sz w:val="20"/>
          <w:u w:val="single"/>
        </w:rPr>
        <w:t>Three Months Ended June 30, 2024 Compared to Three Months Ended June 30, 2023</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During</w:t>
      </w:r>
      <w:r>
        <w:rPr>
          <w:rFonts w:ascii="Times New Roman;Times;serif" w:hAnsi="Times New Roman;Times;serif"/>
          <w:sz w:val="20"/>
          <w:shd w:fill="FFFFFF" w:val="clear"/>
        </w:rPr>
        <w:t xml:space="preserve"> the three months ended </w:t>
      </w:r>
      <w:r>
        <w:rPr>
          <w:rFonts w:ascii="Times New Roman;Times;serif" w:hAnsi="Times New Roman;Times;serif"/>
          <w:sz w:val="20"/>
        </w:rPr>
        <w:t>June 30, 2024</w:t>
      </w:r>
      <w:r>
        <w:rPr>
          <w:rFonts w:ascii="Times New Roman;Times;serif" w:hAnsi="Times New Roman;Times;serif"/>
          <w:sz w:val="20"/>
          <w:shd w:fill="FFFFFF" w:val="clear"/>
        </w:rPr>
        <w:t xml:space="preserve"> (the “</w:t>
      </w:r>
      <w:r>
        <w:rPr>
          <w:rFonts w:ascii="Times New Roman;Times;serif" w:hAnsi="Times New Roman;Times;serif"/>
          <w:sz w:val="20"/>
        </w:rPr>
        <w:t>2024</w:t>
      </w:r>
      <w:r>
        <w:rPr>
          <w:rFonts w:ascii="Times New Roman;Times;serif" w:hAnsi="Times New Roman;Times;serif"/>
          <w:sz w:val="20"/>
          <w:shd w:fill="FFFFFF" w:val="clear"/>
        </w:rPr>
        <w:t xml:space="preserve"> quarter”), sales, costs of materials and gross margin decreased approximately</w:t>
      </w:r>
      <w:r>
        <w:rPr>
          <w:rFonts w:ascii="Times New Roman;Times;serif" w:hAnsi="Times New Roman;Times;serif"/>
          <w:sz w:val="20"/>
        </w:rPr>
        <w:t xml:space="preserve"> $22.7 million, $11.8 million and $10.9 million</w:t>
      </w:r>
      <w:r>
        <w:rPr>
          <w:rFonts w:ascii="Times New Roman;Times;serif" w:hAnsi="Times New Roman;Times;serif"/>
          <w:sz w:val="20"/>
          <w:shd w:fill="FFFFFF" w:val="clear"/>
        </w:rPr>
        <w:t xml:space="preserve">, respectively, compared to the amounts recorded during the three months ended </w:t>
      </w:r>
      <w:r>
        <w:rPr>
          <w:rFonts w:ascii="Times New Roman;Times;serif" w:hAnsi="Times New Roman;Times;serif"/>
          <w:sz w:val="20"/>
        </w:rPr>
        <w:t>June 30, 2023</w:t>
      </w:r>
      <w:r>
        <w:rPr>
          <w:rFonts w:ascii="Times New Roman;Times;serif" w:hAnsi="Times New Roman;Times;serif"/>
          <w:sz w:val="20"/>
          <w:shd w:fill="FFFFFF" w:val="clear"/>
        </w:rPr>
        <w:t xml:space="preserve"> (the “</w:t>
      </w:r>
      <w:r>
        <w:rPr>
          <w:rFonts w:ascii="Times New Roman;Times;serif" w:hAnsi="Times New Roman;Times;serif"/>
          <w:sz w:val="20"/>
        </w:rPr>
        <w:t>2023</w:t>
      </w:r>
      <w:r>
        <w:rPr>
          <w:rFonts w:ascii="Times New Roman;Times;serif" w:hAnsi="Times New Roman;Times;serif"/>
          <w:sz w:val="20"/>
          <w:shd w:fill="FFFFFF" w:val="clear"/>
        </w:rPr>
        <w:t xml:space="preserve"> quarter”). </w:t>
      </w:r>
      <w:r>
        <w:rPr>
          <w:rFonts w:ascii="Times New Roman;Times;serif" w:hAnsi="Times New Roman;Times;serif"/>
          <w:sz w:val="20"/>
        </w:rPr>
        <w:t>The</w:t>
      </w:r>
      <w:r>
        <w:rPr>
          <w:rFonts w:ascii="Times New Roman;Times;serif" w:hAnsi="Times New Roman;Times;serif"/>
          <w:sz w:val="20"/>
          <w:shd w:fill="FFFFFF" w:val="clear"/>
        </w:rPr>
        <w:t xml:space="preserve"> decrease in sales was associated with both a decline in sales volume and a decrease in the average selling price per ton. Sales volume for the 2024 quarter consisted of approximately 119,000 tons from inventory and another 24,000 tons of toll processing customer owned material </w:t>
      </w:r>
      <w:r>
        <w:rPr>
          <w:rFonts w:ascii="Times New Roman;Times;serif" w:hAnsi="Times New Roman;Times;serif"/>
          <w:sz w:val="20"/>
        </w:rPr>
        <w:t>compared to the 2023 quarter volume consisting of approximately 129,000 tons from inventory and 24,000 tons of toll processing. The decline in sales volume for the 2024 quarter was related to a combination of challenging conditions for some of our customers and extended planned downtime for equipment upgrades and maintenance at the Company's Sinton and Decatur facilities. Gross margin was approximately $18.1 million for the 2024 quarter compared to approximately $29.1 million for the 2023 quarter. Gross margin is calculated as net sales minus cost of materials sold. Gross margin as a percentage of sales was approximately 15.8% for the 2024 quarter compared to approximately 21.2% for</w:t>
      </w:r>
      <w:r>
        <w:rPr>
          <w:rFonts w:ascii="Times New Roman;Times;serif" w:hAnsi="Times New Roman;Times;serif"/>
          <w:sz w:val="20"/>
          <w:shd w:fill="FFFFFF" w:val="clear"/>
        </w:rPr>
        <w:t xml:space="preserve"> the </w:t>
      </w:r>
      <w:r>
        <w:rPr>
          <w:rFonts w:ascii="Times New Roman;Times;serif" w:hAnsi="Times New Roman;Times;serif"/>
          <w:sz w:val="20"/>
        </w:rPr>
        <w:t>2023</w:t>
      </w:r>
      <w:r>
        <w:rPr>
          <w:rFonts w:ascii="Times New Roman;Times;serif" w:hAnsi="Times New Roman;Times;serif"/>
          <w:sz w:val="20"/>
          <w:shd w:fill="FFFFFF" w:val="clear"/>
        </w:rPr>
        <w:t> quarter.</w:t>
      </w:r>
    </w:p>
    <w:p>
      <w:pPr>
        <w:pStyle w:val="TextBody"/>
        <w:bidi w:val="0"/>
        <w:spacing w:before="0" w:after="0"/>
        <w:ind w:left="0" w:right="0" w:firstLine="490"/>
        <w:jc w:val="both"/>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Our operating results are significantly impacted by the market price of hot-rolled steel coil ("HRC"). Entering the 2023 quarter, HRC prices had increased approximately 95% from November 2022 to April 2023. As a result, the Company experienced strong physical margins during the 2023 quarter. Entering the 2024 quarter, HRC prices were on a predominately declining trend dropping approximately 40% from January 2024 through the end of the 2024 quarter. As a result, the Company experienced compressed physical margins during the 2024 quarter. The Company utilizes HRC futures to partially manage exposure to commodity price risk. The Company recognized hedging related gains of approximately $5.4 million in the 2024 quarter compared to hedging activities having a neutral impact on the 2023 quarter results.</w:t>
      </w:r>
    </w:p>
    <w:p>
      <w:pPr>
        <w:pStyle w:val="TextBody"/>
        <w:bidi w:val="0"/>
        <w:spacing w:before="0" w:after="0"/>
        <w:ind w:left="0" w:right="0" w:hanging="0"/>
        <w:jc w:val="left"/>
        <w:rPr/>
      </w:pPr>
      <w:r>
        <w:rPr/>
        <w:t> </w:t>
      </w:r>
    </w:p>
    <w:p>
      <w:pPr>
        <w:pStyle w:val="TextBody"/>
        <w:bidi w:val="0"/>
        <w:spacing w:before="0" w:after="0"/>
        <w:ind w:left="0" w:right="0" w:firstLine="490"/>
        <w:jc w:val="left"/>
        <w:rPr>
          <w:rFonts w:ascii="Times New Roman;Times;serif" w:hAnsi="Times New Roman;Times;serif"/>
          <w:b/>
          <w:i/>
          <w:sz w:val="20"/>
          <w:shd w:fill="FFFFFF" w:val="clear"/>
        </w:rPr>
      </w:pPr>
      <w:r>
        <w:rPr>
          <w:rFonts w:ascii="Times New Roman;Times;serif" w:hAnsi="Times New Roman;Times;serif"/>
          <w:b/>
          <w:i/>
          <w:sz w:val="20"/>
          <w:shd w:fill="FFFFFF" w:val="clear"/>
        </w:rPr>
        <w:t>Flat-roll Segment</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Flat-roll product segment sales for the 2024 quarter totaled approximately $103.4 million compared to approximately $125.2 million for the 2023 quarter. For a more complete understanding of the average selling prices of goods sold, it is helpful to exclude any sales generated from processing or storage of customer owned material. Sales generated from processing or storage of customer owned material totaled approximately $1.6 million for the 2024 quarter compared to approximately $1.2 million for the 2023 quarter. Sales generated from flat-roll segment inventory totaled approximately $101.8 million for the 2024 quarter compared to approximately $124.0 million for the 2023 quarter. The average per ton selling price related to these shipments decreased from approximately $1,038 per ton in the 2023 quarter to approximately $932 per ton in the 2024 quarter. </w:t>
      </w:r>
      <w:r>
        <w:rPr>
          <w:rFonts w:ascii="Times New Roman;Times;serif" w:hAnsi="Times New Roman;Times;serif"/>
          <w:sz w:val="20"/>
          <w:shd w:fill="FFFFFF" w:val="clear"/>
        </w:rPr>
        <w:t>Sales volume for the 2024 quarter consisted of approximately 109,000 tons from inventory and another 24,000 tons of toll processing customer owned material compared to the 2023 quarter volume consisting of approximately 120,000 tons from inventory and 24,000 tons of toll processing.</w:t>
      </w:r>
      <w:r>
        <w:rPr>
          <w:rFonts w:ascii="Times New Roman;Times;serif" w:hAnsi="Times New Roman;Times;serif"/>
          <w:sz w:val="20"/>
        </w:rPr>
        <w:t xml:space="preserve"> The decline in sales volume for the 2024 quarter was related to a combination of challenging conditions for some of our customers and extended planned downtime for equipment upgrades and maintenance at the Company's Sinton and Decatur facilities.</w:t>
      </w:r>
      <w:r>
        <w:rPr>
          <w:rFonts w:ascii="Times New Roman;Times;serif" w:hAnsi="Times New Roman;Times;serif"/>
          <w:sz w:val="20"/>
          <w:shd w:fill="FFFFFF" w:val="clear"/>
        </w:rPr>
        <w:t> </w:t>
      </w:r>
      <w:r>
        <w:rPr>
          <w:rFonts w:ascii="Times New Roman;Times;serif" w:hAnsi="Times New Roman;Times;serif"/>
          <w:sz w:val="20"/>
        </w:rPr>
        <w:t>Flat-roll segment operations recorded operating profits of approximately $2.7 million and $11.8 million for the 2024 quarter and 2023 quarter, respectively.</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Company’s flat-roll segment purchases its inventory from a limited number of suppliers. Loss of any of these suppliers could have a material adverse effect on the Company’s business.</w:t>
      </w:r>
    </w:p>
    <w:p>
      <w:pPr>
        <w:pStyle w:val="TextBody"/>
        <w:bidi w:val="0"/>
        <w:spacing w:before="0" w:after="0"/>
        <w:ind w:left="0" w:right="0" w:hanging="0"/>
        <w:jc w:val="left"/>
        <w:rPr/>
      </w:pPr>
      <w:r>
        <w:rPr/>
        <w:t> </w:t>
      </w:r>
    </w:p>
    <w:p>
      <w:pPr>
        <w:pStyle w:val="TextBody"/>
        <w:bidi w:val="0"/>
        <w:spacing w:before="0" w:after="0"/>
        <w:ind w:left="0" w:right="0" w:firstLine="490"/>
        <w:jc w:val="left"/>
        <w:rPr>
          <w:rFonts w:ascii="Times New Roman;Times;serif" w:hAnsi="Times New Roman;Times;serif"/>
          <w:b/>
          <w:i/>
          <w:sz w:val="20"/>
          <w:shd w:fill="FFFFFF" w:val="clear"/>
        </w:rPr>
      </w:pPr>
      <w:r>
        <w:rPr>
          <w:rFonts w:ascii="Times New Roman;Times;serif" w:hAnsi="Times New Roman;Times;serif"/>
          <w:b/>
          <w:i/>
          <w:sz w:val="20"/>
          <w:shd w:fill="FFFFFF" w:val="clear"/>
        </w:rPr>
        <w:t>Tubular Segment</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Tubular product segment sales for the 2024 quarter totaled approximately $11.2 million compared to approximately $12.1 million for the 2023 quarter. Sales decreased due primarily to a decrease in the average selling price per ton from approximately $1,358 per ton for the 2023 quarter to approximately $1,140 per ton for the 2024 quarter. Sales volume was comparable between period with approximately 10,000 tons sold in the 2024 quarter compared to approximately 9,000 tons sold in the 2023 quarter. </w:t>
      </w:r>
      <w:r>
        <w:rPr>
          <w:rFonts w:ascii="Times New Roman;Times;serif" w:hAnsi="Times New Roman;Times;serif"/>
          <w:sz w:val="20"/>
          <w:shd w:fill="FFFFFF" w:val="clear"/>
        </w:rPr>
        <w:t xml:space="preserve">The tubular segment recorded an operating loss of approximately </w:t>
      </w:r>
      <w:r>
        <w:rPr>
          <w:rFonts w:ascii="Times New Roman;Times;serif" w:hAnsi="Times New Roman;Times;serif"/>
          <w:sz w:val="20"/>
        </w:rPr>
        <w:t>$1.2 million for t</w:t>
      </w:r>
      <w:r>
        <w:rPr>
          <w:rFonts w:ascii="Times New Roman;Times;serif" w:hAnsi="Times New Roman;Times;serif"/>
          <w:sz w:val="20"/>
          <w:shd w:fill="FFFFFF" w:val="clear"/>
        </w:rPr>
        <w:t>he </w:t>
      </w:r>
      <w:r>
        <w:rPr>
          <w:rFonts w:ascii="Times New Roman;Times;serif" w:hAnsi="Times New Roman;Times;serif"/>
          <w:sz w:val="20"/>
        </w:rPr>
        <w:t>2024</w:t>
      </w:r>
      <w:r>
        <w:rPr>
          <w:rFonts w:ascii="Times New Roman;Times;serif" w:hAnsi="Times New Roman;Times;serif"/>
          <w:sz w:val="20"/>
          <w:shd w:fill="FFFFFF" w:val="clear"/>
        </w:rPr>
        <w:t xml:space="preserve"> quarter compared to recording operating profit of approximately $2.3 million for the </w:t>
      </w:r>
      <w:r>
        <w:rPr>
          <w:rFonts w:ascii="Times New Roman;Times;serif" w:hAnsi="Times New Roman;Times;serif"/>
          <w:sz w:val="20"/>
        </w:rPr>
        <w:t>2023</w:t>
      </w:r>
      <w:r>
        <w:rPr>
          <w:rFonts w:ascii="Times New Roman;Times;serif" w:hAnsi="Times New Roman;Times;serif"/>
          <w:sz w:val="20"/>
          <w:shd w:fill="FFFFFF" w:val="clear"/>
        </w:rPr>
        <w:t xml:space="preserve"> quarter.</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shd w:fill="FFFFFF" w:val="clear"/>
        </w:rPr>
      </w:pPr>
      <w:r>
        <w:rPr>
          <w:rFonts w:ascii="Times New Roman;Times;serif" w:hAnsi="Times New Roman;Times;serif"/>
          <w:sz w:val="20"/>
          <w:shd w:fill="FFFFFF" w:val="clear"/>
        </w:rPr>
        <w:t>The tubular segment purchases its inventory from a limited number of suppliers. Loss of any of these suppliers could have a material adverse effect on the Company’s business. </w:t>
      </w:r>
    </w:p>
    <w:p>
      <w:pPr>
        <w:pStyle w:val="TextBody"/>
        <w:bidi w:val="0"/>
        <w:spacing w:before="0" w:after="0"/>
        <w:ind w:left="0" w:right="0" w:firstLine="490"/>
        <w:jc w:val="both"/>
        <w:rPr/>
      </w:pPr>
      <w:r>
        <w:rPr/>
        <w:t> </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b/>
          <w:i/>
          <w:sz w:val="20"/>
          <w:shd w:fill="FFFFFF" w:val="clear"/>
        </w:rPr>
        <w:t>General, Selling and Administrative Costs</w:t>
      </w:r>
      <w:r>
        <w:rPr>
          <w:rFonts w:ascii="Times New Roman;Times;serif" w:hAnsi="Times New Roman;Times;serif"/>
          <w:sz w:val="20"/>
        </w:rPr>
        <w:t xml:space="preserve"> </w:t>
      </w:r>
    </w:p>
    <w:p>
      <w:pPr>
        <w:pStyle w:val="TextBody"/>
        <w:bidi w:val="0"/>
        <w:spacing w:before="0" w:after="0"/>
        <w:jc w:val="left"/>
        <w:rPr/>
      </w:pPr>
      <w:r>
        <w:rPr/>
        <w:t xml:space="preserve">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 xml:space="preserve">During the 2024 quarter, selling, general and administrative costs decreased approximately $1.4 million compared to the 2023 quarter. This decrease is primarily related to lower incentive compensation expense due to the lower earnings in the 2024 quarter. </w:t>
      </w:r>
    </w:p>
    <w:p>
      <w:pPr>
        <w:pStyle w:val="TextBody"/>
        <w:bidi w:val="0"/>
        <w:jc w:val="left"/>
        <w:rPr>
          <w:caps w:val="false"/>
          <w:smallCaps w:val="false"/>
        </w:rPr>
      </w:pPr>
      <w:r>
        <w:rPr>
          <w:caps w:val="false"/>
          <w:smallCaps w:val="false"/>
        </w:rPr>
        <w:t xml:space="preserve">  </w:t>
      </w:r>
    </w:p>
    <w:p>
      <w:pPr>
        <w:pStyle w:val="TextBody"/>
        <w:bidi w:val="0"/>
        <w:spacing w:before="0" w:after="0"/>
        <w:ind w:left="0" w:right="0" w:firstLine="490"/>
        <w:jc w:val="left"/>
        <w:rPr>
          <w:rFonts w:ascii="Times New Roman;Times;serif" w:hAnsi="Times New Roman;Times;serif"/>
          <w:b/>
          <w:i/>
          <w:sz w:val="20"/>
          <w:shd w:fill="FFFFFF" w:val="clear"/>
        </w:rPr>
      </w:pPr>
      <w:r>
        <w:rPr>
          <w:rFonts w:ascii="Times New Roman;Times;serif" w:hAnsi="Times New Roman;Times;serif"/>
          <w:b/>
          <w:i/>
          <w:sz w:val="20"/>
          <w:shd w:fill="FFFFFF" w:val="clear"/>
        </w:rPr>
        <w:t>Income Taxes</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shd w:fill="FFFFFF" w:val="clear"/>
        </w:rPr>
        <w:t>Income taxes decreased from a provision for the </w:t>
      </w:r>
      <w:r>
        <w:rPr>
          <w:rFonts w:ascii="Times New Roman;Times;serif" w:hAnsi="Times New Roman;Times;serif"/>
          <w:sz w:val="20"/>
        </w:rPr>
        <w:t>2023</w:t>
      </w:r>
      <w:r>
        <w:rPr>
          <w:rFonts w:ascii="Times New Roman;Times;serif" w:hAnsi="Times New Roman;Times;serif"/>
          <w:sz w:val="20"/>
          <w:shd w:fill="FFFFFF" w:val="clear"/>
        </w:rPr>
        <w:t xml:space="preserve"> quarter of approximately $2.6 million to a provision for the </w:t>
      </w:r>
      <w:r>
        <w:rPr>
          <w:rFonts w:ascii="Times New Roman;Times;serif" w:hAnsi="Times New Roman;Times;serif"/>
          <w:sz w:val="20"/>
        </w:rPr>
        <w:t>2024</w:t>
      </w:r>
      <w:r>
        <w:rPr>
          <w:rFonts w:ascii="Times New Roman;Times;serif" w:hAnsi="Times New Roman;Times;serif"/>
          <w:sz w:val="20"/>
          <w:shd w:fill="FFFFFF" w:val="clear"/>
        </w:rPr>
        <w:t> quarter of approximately </w:t>
      </w:r>
      <w:r>
        <w:rPr>
          <w:rFonts w:ascii="Times New Roman;Times;serif" w:hAnsi="Times New Roman;Times;serif"/>
          <w:sz w:val="20"/>
        </w:rPr>
        <w:t>$0.7 million. This decrease was primarily related to lower earnings before taxes for the 2024 quarter. The income tax provision as a percentage of earnings before tax was approximately 22.2% and 25.0% for the three months ended June 30, 2024 and 2023, respectively. </w:t>
      </w:r>
      <w:r>
        <w:rPr>
          <w:rFonts w:ascii="Times New Roman;Times;serif" w:hAnsi="Times New Roman;Times;serif"/>
          <w:sz w:val="20"/>
          <w:shd w:fill="FFFFFF" w:val="clear"/>
        </w:rPr>
        <w:t>For the </w:t>
      </w:r>
      <w:r>
        <w:rPr>
          <w:rFonts w:ascii="Times New Roman;Times;serif" w:hAnsi="Times New Roman;Times;serif"/>
          <w:sz w:val="20"/>
        </w:rPr>
        <w:t>three months ended June 30, 2024</w:t>
      </w:r>
      <w:r>
        <w:rPr>
          <w:rFonts w:ascii="Times New Roman;Times;serif" w:hAnsi="Times New Roman;Times;serif"/>
          <w:sz w:val="20"/>
          <w:shd w:fill="FFFFFF" w:val="clear"/>
        </w:rPr>
        <w:t>, the effective tax rate differed from the federal statutory rate due primarily to the inclusion of state tax expenses in the provision with this impact partially reduced by the tax effect of restricted stock vesting during the quarter. For the </w:t>
      </w:r>
      <w:r>
        <w:rPr>
          <w:rFonts w:ascii="Times New Roman;Times;serif" w:hAnsi="Times New Roman;Times;serif"/>
          <w:sz w:val="20"/>
        </w:rPr>
        <w:t>three months ended June 30, 2023</w:t>
      </w:r>
      <w:r>
        <w:rPr>
          <w:rFonts w:ascii="Times New Roman;Times;serif" w:hAnsi="Times New Roman;Times;serif"/>
          <w:sz w:val="20"/>
          <w:shd w:fill="FFFFFF" w:val="clear"/>
        </w:rPr>
        <w:t>, the effective tax rate differed from the federal statutory rate due primarily to the inclusion of state tax expenses in the provision.</w:t>
      </w:r>
    </w:p>
    <w:p>
      <w:pPr>
        <w:pStyle w:val="TextBody"/>
        <w:bidi w:val="0"/>
        <w:spacing w:before="0" w:after="0"/>
        <w:ind w:left="0" w:right="0" w:firstLine="49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FINANCIAL POSITION, LIQUIDITY AND CAPITAL RESOURCES </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shd w:fill="FFFFFF" w:val="clear"/>
        </w:rPr>
        <w:t>The Company’s current ratio amounted to</w:t>
      </w:r>
      <w:r>
        <w:rPr>
          <w:rFonts w:ascii="Times New Roman;Times;serif" w:hAnsi="Times New Roman;Times;serif"/>
          <w:sz w:val="20"/>
        </w:rPr>
        <w:t> 4.2 a</w:t>
      </w:r>
      <w:r>
        <w:rPr>
          <w:rFonts w:ascii="Times New Roman;Times;serif" w:hAnsi="Times New Roman;Times;serif"/>
          <w:sz w:val="20"/>
          <w:shd w:fill="FFFFFF" w:val="clear"/>
        </w:rPr>
        <w:t xml:space="preserve">t </w:t>
      </w:r>
      <w:r>
        <w:rPr>
          <w:rFonts w:ascii="Times New Roman;Times;serif" w:hAnsi="Times New Roman;Times;serif"/>
          <w:sz w:val="20"/>
        </w:rPr>
        <w:t>June 30, 2024</w:t>
      </w:r>
      <w:r>
        <w:rPr>
          <w:rFonts w:ascii="Times New Roman;Times;serif" w:hAnsi="Times New Roman;Times;serif"/>
          <w:sz w:val="20"/>
          <w:shd w:fill="FFFFFF" w:val="clear"/>
        </w:rPr>
        <w:t xml:space="preserve"> and 3.1 at </w:t>
      </w:r>
      <w:r>
        <w:rPr>
          <w:rFonts w:ascii="Times New Roman;Times;serif" w:hAnsi="Times New Roman;Times;serif"/>
          <w:sz w:val="20"/>
        </w:rPr>
        <w:t>March 31, 2024</w:t>
      </w:r>
      <w:r>
        <w:rPr>
          <w:rFonts w:ascii="Times New Roman;Times;serif" w:hAnsi="Times New Roman;Times;serif"/>
          <w:sz w:val="20"/>
          <w:shd w:fill="FFFFFF" w:val="clear"/>
        </w:rPr>
        <w:t>. Working capital was approximately</w:t>
      </w:r>
      <w:r>
        <w:rPr>
          <w:rFonts w:ascii="Times New Roman;Times;serif" w:hAnsi="Times New Roman;Times;serif"/>
          <w:sz w:val="20"/>
        </w:rPr>
        <w:t> $123.6 million</w:t>
      </w:r>
      <w:r>
        <w:rPr>
          <w:rFonts w:ascii="Times New Roman;Times;serif" w:hAnsi="Times New Roman;Times;serif"/>
          <w:sz w:val="20"/>
          <w:shd w:fill="FFFFFF" w:val="clear"/>
        </w:rPr>
        <w:t xml:space="preserve"> at </w:t>
      </w:r>
      <w:r>
        <w:rPr>
          <w:rFonts w:ascii="Times New Roman;Times;serif" w:hAnsi="Times New Roman;Times;serif"/>
          <w:sz w:val="20"/>
        </w:rPr>
        <w:t>June 30, 2024</w:t>
      </w:r>
      <w:r>
        <w:rPr>
          <w:rFonts w:ascii="Times New Roman;Times;serif" w:hAnsi="Times New Roman;Times;serif"/>
          <w:sz w:val="20"/>
          <w:shd w:fill="FFFFFF" w:val="clear"/>
        </w:rPr>
        <w:t xml:space="preserve"> and $116.0 million at </w:t>
      </w:r>
      <w:r>
        <w:rPr>
          <w:rFonts w:ascii="Times New Roman;Times;serif" w:hAnsi="Times New Roman;Times;serif"/>
          <w:sz w:val="20"/>
        </w:rPr>
        <w:t>March 31, 2024</w:t>
      </w:r>
      <w:r>
        <w:rPr>
          <w:rFonts w:ascii="Times New Roman;Times;serif" w:hAnsi="Times New Roman;Times;serif"/>
          <w:sz w:val="20"/>
          <w:shd w:fill="FFFFFF" w:val="clear"/>
        </w:rPr>
        <w:t>.</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During the three months ended June 30, 2024, the Company maintained assets and liabilities at levels it believed were commensurate with operations. Changes in balance sheet amounts occurred in the ordinary course of business. Cash and restricted cash decreased due primarily to cash used in operating activities and investing activities exceeding cash provided by financing activities. The Com</w:t>
      </w:r>
      <w:r>
        <w:rPr>
          <w:rFonts w:ascii="Times New Roman;Times;serif" w:hAnsi="Times New Roman;Times;serif"/>
          <w:sz w:val="20"/>
          <w:shd w:fill="FFFFFF" w:val="clear"/>
        </w:rPr>
        <w:t>pany expects to continue to monitor, evaluate and manage balance sheet components depending on changes in market conditions and the Company’s operations.</w:t>
      </w:r>
    </w:p>
    <w:p>
      <w:pPr>
        <w:pStyle w:val="TextBody"/>
        <w:bidi w:val="0"/>
        <w:spacing w:before="0" w:after="0"/>
        <w:ind w:left="0" w:right="0" w:firstLine="490"/>
        <w:jc w:val="both"/>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Company has a $150 million asset-based lending facility ("ABL Facility") which matures on May 19, 2026 and is secured by substantially all of the assets of the Company. The Company can elect borrowings on a floating rate basis or a term basis. Floating rate borrowings accrue interest at a rate equal to the prime rate minus 1% per annum. Term rate borrowings accrue interest at a rate equal to the SOFR rate applicable to the selected term plus 1.8% per annum. Availability of funds under the ABL Facility is subject to a borrowing base calculation determined as the sum of (a) 90% of eligible accounts receivable, plus (b) the product of 85% multiplied by the net orderly liquidating value percentage identified in the most recent inventory appraisal multiplied by eligible inventory. The ABL Facility contains a springing financial covenant whereby the financial covenant is only tested when availability falls below the greater of 15% of the revolving commitment or $22.5 million. The financial covenant restricts the Company from allowing its fixed charge coverage ratio to be, as of the end of any calendar month, less than 1.10 to 1.00 for the trailing twelve month period then ending. The fixed charge coverage ratio is calculated as the ratio of (a) EBITDA, as defined in the ABL Facility, minus unfinanced capital expenditures to (b) cash interest expense plus scheduled principal payments on indebtedness plus taxes paid in cash plus restricted payments paid in cash plus capital lease obligation payments plus cash contributions to any employee pension benefit plans. The ABL Facility contains other representations and warranties and affirmative and negative covenants that are usual and customary. If certain conditions precedent are satisfied, the ABL facility may be increased by up to an aggregate of $25 million, in minimum increments of $5 million. At June 30, 2024, the Company had a balance of approximately $46.1 million under the ABL Facility with an applicable interest rate of 7.5%. At June 30, 2024, the Company's applicable borrowing base calculation supported access to approximately $112.4 million of the ABL Facility. As of the filing date of this Form 10-Q, the Company had borrowings of approximately $50.6 million outstanding under the ABL Facility and the Company's most recent borrowing base calculation provided access to approximately $120.2 million of the ABL Facility.</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Company believes that its current cash position along with cash flows from operations and borrowing capability due to its financial position are adequate to fund its expected cash requirements for the next 12 months.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HEDGING ACTIVITIES</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Company utilizes hot-rolled coil futures to manage price risk on unsold inventory and longer-term fixed price sales agreements. The Company has elected hedge accounting for some of its hedging activities previously but most recently the Company has classified its hedging activities as economic hedges of risk with mark-to-market ("MTM") accounting treatment. Hedging decisions are intended to protect the value of the Company's inventory and produce more consistent financial results over price cycles. The Company recognized a gain of approximately $5.4 million in the 2024 quarter related to it hedging activities with all of this being classified as economic hedges of risk. With MTM accounting treatment it is possible that hedging related gains or losses might be recognized in a different fiscal quarter or fiscal year than the corresponding improvement or contraction in our physical margins. See Note G for additional information related to the Company's hedging activities.</w:t>
      </w:r>
    </w:p>
    <w:p>
      <w:pPr>
        <w:pStyle w:val="TextBody"/>
        <w:bidi w:val="0"/>
        <w:spacing w:before="0" w:after="0"/>
        <w:ind w:left="0" w:right="0" w:firstLine="54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OUTLOOK</w:t>
      </w:r>
    </w:p>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The Company expects sales volume for its second quarter of fiscal 2025 to be similar to the sales volume for the first quarter. The second quarter started with further decline in HRC price but as of the filing date of this Form 10-Q, HRC index prices have started to increase and HRC futures are pricing in further increases. The Company may experience a generally challenging margin environment in the second quarter but, if sustained, the increasing HRC price should result in improved physical margins toward the end of the second quarter and entering the third quarter.</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CRITICAL ACCOUNTING ESTIMATES</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preparation of financial statements in conformity with U.S. generally accepted accounting principles may require management to make estimates and assumptions that affect the amounts reported in the consolidated financial statements and accompanying notes. Actual results could differ from any estimates. The Company did not identify any significant estimates or judgements related to the consolidated financial statements and accompanying notes presented in this Form 10-Q filing.</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CAUTIONARY NOTE REGARDING FORWARD-LOOKING STATEMENTS </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From time to time, the Company may make certain statements that contain forward-looking information (as defined in the Private Securities Litigation Reform Act of 1996, as amended) and that involve risk and uncertainty. Such statements may include those risks disclosed in the Management’s Discussion and Analysis of Financial Condition and Results of Operations section of this report, including the adequacy of cash and expectations as to future sales, prices and margins. These forward-looking statements may include, but are not limited to, future changes in the Company’s financial condition or results of operations, future production capacity, product quality and proposed expansion plans. Forward-looking statements may be made by management orally or in writing including, but not limited to, this Management’s Discussion and Analysis of Financial Condition and Results of Operations and other sections of the Company’s filings with the U.S. Securities and Exchange Commission (the “SEC”) under the Securities Act of 1933, as amended, and the Securities Exchange Act of 1934, as amended (the “Exchange Act”), including the Company’s Annual Report on Form 10-K and its other Quarterly Reports on Form 10-Q. Forward-looking statements include those preceded by, followed by or including the words “will,” “expect,” “intended,” “anticipated,” “believe,” “project,” “forecast,” “propose,” “plan,” “estimate,” “enable,” and similar expressions, including, for example, statements about our business strategy, our industry, our future profitability, growth in the industry sectors we serve, our expectations, beliefs, plans, strategies, objectives, prospects and assumptions, and estimates and projections of future activity and trends in the oil and natural gas industry. These forward-looking statements are not guarantees of future performance. These statements are based on management’s expectations that involve a number of business risks and uncertainties, any of which could cause actual results to differ materially from those expressed in or implied by the forward-looking statements. Although forward-looking statements reflect our current beliefs, reliance should not be placed on forward-looking statements because they involve known and unknown risks, uncertainties and other factors, which may cause our actual results, performance or achievements to differ materially from anticipated future results, performance or achievements expressed or implied by such forward-looking statements. Actual results and trends in the future may differ materially depending on a variety of factors including, but not limited to, changes in the demand for and prices of the Company’s products, changes in government policy regarding steel, changes in the demand for steel and steel products in general and the Company’s success in executing its internal operating plans, changes in and availability of raw materials, unplanned shutdowns of our production facilities due to equipment failures or other issues, increased competition from alternative materials and risks concerning innovation, new technologies, products and increasing customer requirements. Accordingly, undue reliance should not be placed on our forward-looking statements. We undertake no obligation to publicly update or revise any forward-looking statement, whether as a result of new information, future events, changed circumstances or otherwise, except to the extent law requires.</w:t>
      </w:r>
    </w:p>
    <w:p>
      <w:pPr>
        <w:pStyle w:val="TextBody"/>
        <w:bidi w:val="0"/>
        <w:spacing w:before="0" w:after="0"/>
        <w:ind w:left="0" w:right="0" w:hanging="0"/>
        <w:jc w:val="left"/>
        <w:rPr/>
      </w:pPr>
      <w:r>
        <w:rPr/>
        <w:t> </w:t>
      </w:r>
    </w:p>
    <w:p>
      <w:pPr>
        <w:pStyle w:val="TextBody"/>
        <w:bidi w:val="0"/>
        <w:jc w:val="left"/>
        <w:rPr/>
      </w:pPr>
      <w:r>
        <w:rPr/>
        <w:t> </w:t>
      </w:r>
    </w:p>
    <w:p>
      <w:pPr>
        <w:pStyle w:val="TextBody"/>
        <w:bidi w:val="0"/>
        <w:spacing w:before="0" w:after="0"/>
        <w:ind w:left="0" w:right="0" w:hanging="0"/>
        <w:jc w:val="left"/>
        <w:rPr>
          <w:rFonts w:ascii="Times New Roman;Times;serif" w:hAnsi="Times New Roman;Times;serif"/>
          <w:b/>
          <w:sz w:val="20"/>
        </w:rPr>
      </w:pPr>
      <w:bookmarkStart w:id="6" w:name="quan"/>
      <w:bookmarkEnd w:id="6"/>
      <w:r>
        <w:rPr>
          <w:rFonts w:ascii="Times New Roman;Times;serif" w:hAnsi="Times New Roman;Times;serif"/>
          <w:b/>
          <w:sz w:val="20"/>
        </w:rPr>
        <w:t xml:space="preserve">Item 3. Quantitative and Qualitative Disclosures About Market Risk </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Not required.</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bookmarkStart w:id="7" w:name="conpro"/>
      <w:bookmarkEnd w:id="7"/>
      <w:r>
        <w:rPr>
          <w:rFonts w:ascii="Times New Roman;Times;serif" w:hAnsi="Times New Roman;Times;serif"/>
          <w:b/>
          <w:sz w:val="20"/>
        </w:rPr>
        <w:t xml:space="preserve">Item 4. Controls and Procedures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Our management is responsible for establishing and maintaining adequate internal control over financial reporting (as defined in Rule 13a-15(f) and 15(d)-15(f) promulgated under the Securities Exchange Act of 1934, as amended). We have established disclosure controls and procedures designed to ensure that material information required to be disclosed in our reports filed under the Exchange Act is recorded, processed, summarized and reported within the time periods specified by the Securities and Exchange Commission and that any material information relating to us is recorded, processed, summarized and reported to our management including our Chief Executive Officer and Chief Financial Officer, as appropriate, to allow timely decisions regarding required disclosures. In designing and evaluating our disclosure controls and procedures, our management recognizes that controls and procedures, no matter how well designed and operated, can provide only reasonable assurance of achieving desired control objectives. In reaching a reasonable level of assurance, our management necessarily was required to apply its judgment in evaluating the cost-benefit relationship of possible controls and procedures. As required by Rule 13a-15(b) under the Exchange Act, we have evaluated, under the supervision and with the participation of our management, including our Chief Executive Officer and Chief Financial Officer, the effectiveness of the design and operation of our disclosure controls and procedures (as defined in rules 13a-15(e) and 15d-15(e) under the Exchange Act) as of the end of the period covered by this quarterly report. Based on this evaluation, the Company’s CEO and principal financial officer have concluded that the Company’s disclosure controls and procedures were effective as of the end of the fiscal quarter ended June 30, 2024 to ensure that information that is required to be disclosed by the Company in the reports it files or submits under the Exchange Act is (i) recorded, processed, summarized and reported within the time periods specified in the SEC’s rules and forms and (ii) accumulated and communicated to the Company’s management, including the CEO and principal financial officer, as appropriate, to allow timely decisions regarding required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There were no changes in the Company’s internal control over financial reporting that occurred during the fiscal quarter ended June 30, 2024 that have materially affected, or are reasonably likely to materially affect, the Company’s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9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FRIEDMAN INDUSTRIES, INCORPORATED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Three Months Ended June 30, 2024</w:t>
      </w:r>
      <w:r>
        <w:rPr>
          <w:rFonts w:ascii="Times New Roman;Times;serif" w:hAnsi="Times New Roman;Times;serif"/>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bookmarkStart w:id="8" w:name="ptwo"/>
      <w:bookmarkEnd w:id="8"/>
      <w:r>
        <w:rPr>
          <w:rFonts w:ascii="Times New Roman;Times;serif" w:hAnsi="Times New Roman;Times;serif"/>
          <w:b/>
          <w:sz w:val="20"/>
        </w:rPr>
        <w:t xml:space="preserve">Part II — OTHER INFORMATION </w:t>
      </w:r>
      <w:r>
        <w:rPr>
          <w:rFonts w:ascii="Times New Roman;Times;serif" w:hAnsi="Times New Roman;Times;serif"/>
          <w:sz w:val="20"/>
        </w:rPr>
        <w:t>  </w:t>
      </w:r>
    </w:p>
    <w:p>
      <w:pPr>
        <w:pStyle w:val="TextBody"/>
        <w:bidi w:val="0"/>
        <w:spacing w:before="0" w:after="283"/>
        <w:jc w:val="left"/>
        <w:rPr/>
      </w:pPr>
      <w:r>
        <w:rPr/>
        <w:t xml:space="preserve">  </w:t>
      </w:r>
    </w:p>
    <w:p>
      <w:pPr>
        <w:pStyle w:val="TextBody"/>
        <w:bidi w:val="0"/>
        <w:spacing w:before="0" w:after="0"/>
        <w:ind w:left="0" w:right="0" w:hanging="0"/>
        <w:jc w:val="left"/>
        <w:rPr/>
      </w:pPr>
      <w:bookmarkStart w:id="9" w:name="I5OI"/>
      <w:bookmarkEnd w:id="9"/>
      <w:r>
        <w:rPr>
          <w:rFonts w:ascii="Times New Roman;Times;serif" w:hAnsi="Times New Roman;Times;serif"/>
          <w:b/>
          <w:sz w:val="20"/>
        </w:rPr>
        <w:t>Item </w:t>
      </w:r>
      <w:r>
        <w:rPr>
          <w:rStyle w:val="Emphasis"/>
          <w:rFonts w:ascii="Times New Roman;Times;serif" w:hAnsi="Times New Roman;Times;serif"/>
          <w:b/>
          <w:sz w:val="20"/>
        </w:rPr>
        <w:t>5.</w:t>
      </w:r>
      <w:r>
        <w:rPr>
          <w:rFonts w:ascii="Times New Roman;Times;serif" w:hAnsi="Times New Roman;Times;serif"/>
          <w:b/>
          <w:sz w:val="20"/>
        </w:rPr>
        <w:t xml:space="preserve"> Other Information</w:t>
      </w:r>
    </w:p>
    <w:p>
      <w:pPr>
        <w:pStyle w:val="TextBody"/>
        <w:bidi w:val="0"/>
        <w:spacing w:before="0" w:after="0"/>
        <w:ind w:left="0" w:right="0" w:hanging="0"/>
        <w:jc w:val="left"/>
        <w:rPr/>
      </w:pPr>
      <w:r>
        <w:rPr/>
        <w:t> </w:t>
      </w:r>
    </w:p>
    <w:p>
      <w:pPr>
        <w:pStyle w:val="TextBody"/>
        <w:bidi w:val="0"/>
        <w:spacing w:before="0" w:after="0"/>
        <w:ind w:left="0" w:right="0" w:firstLine="540"/>
        <w:jc w:val="both"/>
        <w:rPr/>
      </w:pPr>
      <w:r>
        <w:rPr>
          <w:rFonts w:ascii="Times New Roman;Times;serif" w:hAnsi="Times New Roman;Times;serif"/>
          <w:sz w:val="20"/>
        </w:rPr>
        <w:t xml:space="preserve">During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June 30, 2024, none</w:t>
      </w:r>
      <w:r>
        <w:rPr>
          <w:rFonts w:ascii="Times New Roman;Times;serif" w:hAnsi="Times New Roman;Times;serif"/>
          <w:sz w:val="20"/>
        </w:rPr>
        <w:t xml:space="preserve"> of our officers or directors adopted, modified or terminated a “Rule </w:t>
      </w:r>
      <w:r>
        <w:rPr>
          <w:rStyle w:val="Emphasis"/>
          <w:rFonts w:ascii="Times New Roman;Times;serif" w:hAnsi="Times New Roman;Times;serif"/>
          <w:sz w:val="20"/>
        </w:rPr>
        <w:t>10b5</w:t>
      </w:r>
      <w:r>
        <w:rPr>
          <w:rFonts w:ascii="Times New Roman;Times;serif" w:hAnsi="Times New Roman;Times;serif"/>
          <w:sz w:val="20"/>
        </w:rPr>
        <w:t>-</w:t>
      </w:r>
      <w:r>
        <w:rPr>
          <w:rStyle w:val="Emphasis"/>
          <w:rFonts w:ascii="Times New Roman;Times;serif" w:hAnsi="Times New Roman;Times;serif"/>
          <w:sz w:val="20"/>
        </w:rPr>
        <w:t>1</w:t>
      </w:r>
      <w:r>
        <w:rPr>
          <w:rFonts w:ascii="Times New Roman;Times;serif" w:hAnsi="Times New Roman;Times;serif"/>
          <w:sz w:val="20"/>
        </w:rPr>
        <w:t xml:space="preserve"> trading arrangement” or a “non-Rule </w:t>
      </w:r>
      <w:r>
        <w:rPr>
          <w:rStyle w:val="Emphasis"/>
          <w:rFonts w:ascii="Times New Roman;Times;serif" w:hAnsi="Times New Roman;Times;serif"/>
          <w:sz w:val="20"/>
        </w:rPr>
        <w:t>10b5</w:t>
      </w:r>
      <w:r>
        <w:rPr>
          <w:rFonts w:ascii="Times New Roman;Times;serif" w:hAnsi="Times New Roman;Times;serif"/>
          <w:sz w:val="20"/>
        </w:rPr>
        <w:t>-</w:t>
      </w:r>
      <w:r>
        <w:rPr>
          <w:rStyle w:val="Emphasis"/>
          <w:rFonts w:ascii="Times New Roman;Times;serif" w:hAnsi="Times New Roman;Times;serif"/>
          <w:sz w:val="20"/>
        </w:rPr>
        <w:t>1</w:t>
      </w:r>
      <w:r>
        <w:rPr>
          <w:rFonts w:ascii="Times New Roman;Times;serif" w:hAnsi="Times New Roman;Times;serif"/>
          <w:sz w:val="20"/>
        </w:rPr>
        <w:t xml:space="preserve"> trading arrangement,” as each term is defined in Item </w:t>
      </w:r>
      <w:r>
        <w:rPr>
          <w:rStyle w:val="Emphasis"/>
          <w:rFonts w:ascii="Times New Roman;Times;serif" w:hAnsi="Times New Roman;Times;serif"/>
          <w:sz w:val="20"/>
        </w:rPr>
        <w:t>408</w:t>
      </w:r>
      <w:r>
        <w:rPr>
          <w:rFonts w:ascii="Times New Roman;Times;serif" w:hAnsi="Times New Roman;Times;serif"/>
          <w:sz w:val="20"/>
        </w:rPr>
        <w:t>(a) and (c), respectively, of Regulation S-K, for the purchase or sale of our securities.</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rPr>
      </w:pPr>
      <w:bookmarkStart w:id="10" w:name="exes"/>
      <w:bookmarkEnd w:id="10"/>
      <w:r>
        <w:rPr>
          <w:rFonts w:ascii="Times New Roman;Times;serif" w:hAnsi="Times New Roman;Times;serif"/>
          <w:b/>
          <w:sz w:val="20"/>
        </w:rPr>
        <w:t xml:space="preserve">Item 6. Exhibits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44"/>
        <w:gridCol w:w="260"/>
        <w:gridCol w:w="9201"/>
      </w:tblGrid>
      <w:tr>
        <w:trPr/>
        <w:tc>
          <w:tcPr>
            <w:tcW w:w="744"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Exhibits</w:t>
            </w:r>
          </w:p>
        </w:tc>
        <w:tc>
          <w:tcPr>
            <w:tcW w:w="260" w:type="dxa"/>
            <w:tcBorders/>
            <w:vAlign w:val="center"/>
          </w:tcPr>
          <w:p>
            <w:pPr>
              <w:pStyle w:val="TableContents"/>
              <w:bidi w:val="0"/>
              <w:spacing w:before="0" w:after="0"/>
              <w:ind w:left="0" w:right="0" w:hanging="0"/>
              <w:jc w:val="left"/>
              <w:rPr/>
            </w:pPr>
            <w:r>
              <w:rPr/>
              <w:t> </w:t>
            </w:r>
          </w:p>
        </w:tc>
        <w:tc>
          <w:tcPr>
            <w:tcW w:w="9201" w:type="dxa"/>
            <w:tcBorders/>
            <w:vAlign w:val="center"/>
          </w:tcPr>
          <w:p>
            <w:pPr>
              <w:pStyle w:val="TableContents"/>
              <w:bidi w:val="0"/>
              <w:spacing w:before="0" w:after="0"/>
              <w:ind w:left="0" w:right="0" w:hanging="0"/>
              <w:jc w:val="left"/>
              <w:rPr/>
            </w:pPr>
            <w:r>
              <w:rPr/>
              <w:t> </w:t>
            </w:r>
          </w:p>
        </w:tc>
      </w:tr>
      <w:tr>
        <w:trPr/>
        <w:tc>
          <w:tcPr>
            <w:tcW w:w="744"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9201" w:type="dxa"/>
            <w:tcBorders/>
            <w:vAlign w:val="center"/>
          </w:tcPr>
          <w:p>
            <w:pPr>
              <w:pStyle w:val="TableContents"/>
              <w:bidi w:val="0"/>
              <w:spacing w:before="0" w:after="283"/>
              <w:jc w:val="left"/>
              <w:rPr/>
            </w:pPr>
            <w:r>
              <w:rPr/>
              <w:t> </w:t>
            </w:r>
          </w:p>
        </w:tc>
      </w:tr>
      <w:tr>
        <w:trPr/>
        <w:tc>
          <w:tcPr>
            <w:tcW w:w="744"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3.1</w:t>
            </w:r>
          </w:p>
        </w:tc>
        <w:tc>
          <w:tcPr>
            <w:tcW w:w="260" w:type="dxa"/>
            <w:tcBorders/>
            <w:vAlign w:val="center"/>
          </w:tcPr>
          <w:p>
            <w:pPr>
              <w:pStyle w:val="TableContents"/>
              <w:bidi w:val="0"/>
              <w:spacing w:before="0" w:after="0"/>
              <w:ind w:left="38" w:right="0" w:hanging="0"/>
              <w:jc w:val="left"/>
              <w:rPr/>
            </w:pPr>
            <w:r>
              <w:rPr/>
              <w:t>—</w:t>
            </w:r>
          </w:p>
        </w:tc>
        <w:tc>
          <w:tcPr>
            <w:tcW w:w="9201" w:type="dxa"/>
            <w:tcBorders/>
            <w:vAlign w:val="center"/>
          </w:tcPr>
          <w:p>
            <w:pPr>
              <w:pStyle w:val="TableContents"/>
              <w:bidi w:val="0"/>
              <w:spacing w:before="0" w:after="0"/>
              <w:ind w:left="0" w:right="0" w:hanging="0"/>
              <w:jc w:val="both"/>
              <w:rPr/>
            </w:pPr>
            <w:hyperlink r:id="rId2">
              <w:r>
                <w:rPr>
                  <w:rStyle w:val="InternetLink"/>
                  <w:rFonts w:ascii="Times New Roman;Times;serif" w:hAnsi="Times New Roman;Times;serif"/>
                  <w:sz w:val="20"/>
                </w:rPr>
                <w:t>Articles of Incorporation of the Company, as amended (incorporated by reference from Exhibit 3.1 to the Company’s Form S-8 filed on December 21, 2016).</w:t>
              </w:r>
            </w:hyperlink>
          </w:p>
        </w:tc>
      </w:tr>
      <w:tr>
        <w:trPr/>
        <w:tc>
          <w:tcPr>
            <w:tcW w:w="744"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9201" w:type="dxa"/>
            <w:tcBorders/>
            <w:vAlign w:val="center"/>
          </w:tcPr>
          <w:p>
            <w:pPr>
              <w:pStyle w:val="TableContents"/>
              <w:bidi w:val="0"/>
              <w:spacing w:before="0" w:after="283"/>
              <w:jc w:val="left"/>
              <w:rPr/>
            </w:pPr>
            <w:r>
              <w:rPr/>
              <w:t> </w:t>
            </w:r>
          </w:p>
        </w:tc>
      </w:tr>
      <w:tr>
        <w:trPr/>
        <w:tc>
          <w:tcPr>
            <w:tcW w:w="744"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3.2</w:t>
            </w:r>
          </w:p>
        </w:tc>
        <w:tc>
          <w:tcPr>
            <w:tcW w:w="260" w:type="dxa"/>
            <w:tcBorders/>
            <w:vAlign w:val="center"/>
          </w:tcPr>
          <w:p>
            <w:pPr>
              <w:pStyle w:val="TableContents"/>
              <w:bidi w:val="0"/>
              <w:spacing w:before="0" w:after="0"/>
              <w:ind w:left="38" w:right="0" w:hanging="0"/>
              <w:jc w:val="left"/>
              <w:rPr/>
            </w:pPr>
            <w:r>
              <w:rPr/>
              <w:t>—</w:t>
            </w:r>
          </w:p>
        </w:tc>
        <w:tc>
          <w:tcPr>
            <w:tcW w:w="9201" w:type="dxa"/>
            <w:tcBorders/>
            <w:vAlign w:val="center"/>
          </w:tcPr>
          <w:p>
            <w:pPr>
              <w:pStyle w:val="TableContents"/>
              <w:bidi w:val="0"/>
              <w:spacing w:before="0" w:after="0"/>
              <w:ind w:left="0" w:right="0" w:hanging="0"/>
              <w:jc w:val="both"/>
              <w:rPr/>
            </w:pPr>
            <w:hyperlink r:id="rId3">
              <w:r>
                <w:rPr>
                  <w:rStyle w:val="InternetLink"/>
                  <w:rFonts w:ascii="Times New Roman;Times;serif" w:hAnsi="Times New Roman;Times;serif"/>
                  <w:sz w:val="20"/>
                </w:rPr>
                <w:t>Articles of Amendment to the Articles of Incorporation of the Company, as filed with the Texas Secretary of State on September 22, 1987 (incorporated by reference from Exhibit 3.1 to the Company’s Form S-8 filed on December 21, 2016).</w:t>
              </w:r>
            </w:hyperlink>
          </w:p>
        </w:tc>
      </w:tr>
      <w:tr>
        <w:trPr/>
        <w:tc>
          <w:tcPr>
            <w:tcW w:w="744"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9201" w:type="dxa"/>
            <w:tcBorders/>
            <w:vAlign w:val="center"/>
          </w:tcPr>
          <w:p>
            <w:pPr>
              <w:pStyle w:val="TableContents"/>
              <w:bidi w:val="0"/>
              <w:spacing w:before="0" w:after="283"/>
              <w:jc w:val="left"/>
              <w:rPr/>
            </w:pPr>
            <w:r>
              <w:rPr/>
              <w:t> </w:t>
            </w:r>
          </w:p>
        </w:tc>
      </w:tr>
      <w:tr>
        <w:trPr/>
        <w:tc>
          <w:tcPr>
            <w:tcW w:w="744"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3.3</w:t>
            </w:r>
          </w:p>
        </w:tc>
        <w:tc>
          <w:tcPr>
            <w:tcW w:w="260" w:type="dxa"/>
            <w:tcBorders/>
            <w:vAlign w:val="center"/>
          </w:tcPr>
          <w:p>
            <w:pPr>
              <w:pStyle w:val="TableContents"/>
              <w:bidi w:val="0"/>
              <w:spacing w:before="0" w:after="0"/>
              <w:ind w:left="38" w:right="0" w:hanging="0"/>
              <w:jc w:val="left"/>
              <w:rPr/>
            </w:pPr>
            <w:r>
              <w:rPr/>
              <w:t>—</w:t>
            </w:r>
          </w:p>
        </w:tc>
        <w:tc>
          <w:tcPr>
            <w:tcW w:w="9201" w:type="dxa"/>
            <w:tcBorders/>
            <w:vAlign w:val="center"/>
          </w:tcPr>
          <w:p>
            <w:pPr>
              <w:pStyle w:val="TableContents"/>
              <w:bidi w:val="0"/>
              <w:spacing w:before="0" w:after="0"/>
              <w:ind w:left="0" w:right="0" w:hanging="0"/>
              <w:jc w:val="both"/>
              <w:rPr/>
            </w:pPr>
            <w:hyperlink r:id="rId4">
              <w:r>
                <w:rPr>
                  <w:rStyle w:val="InternetLink"/>
                  <w:rFonts w:ascii="Times New Roman;Times;serif" w:hAnsi="Times New Roman;Times;serif"/>
                  <w:sz w:val="20"/>
                </w:rPr>
                <w:t>Amended and Restated Bylaws of the Company, as amended on November 8, 2021. (incorporated by reference from Exhibit 3.3 to the Company's Form 10-Q filed on November 19, 2021).</w:t>
              </w:r>
            </w:hyperlink>
          </w:p>
        </w:tc>
      </w:tr>
      <w:tr>
        <w:trPr/>
        <w:tc>
          <w:tcPr>
            <w:tcW w:w="744"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9201" w:type="dxa"/>
            <w:tcBorders/>
            <w:vAlign w:val="center"/>
          </w:tcPr>
          <w:p>
            <w:pPr>
              <w:pStyle w:val="TableContents"/>
              <w:bidi w:val="0"/>
              <w:spacing w:before="0" w:after="283"/>
              <w:jc w:val="left"/>
              <w:rPr/>
            </w:pPr>
            <w:r>
              <w:rPr/>
              <w:t> </w:t>
            </w:r>
          </w:p>
        </w:tc>
      </w:tr>
      <w:tr>
        <w:trPr/>
        <w:tc>
          <w:tcPr>
            <w:tcW w:w="744"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31.1</w:t>
            </w:r>
          </w:p>
        </w:tc>
        <w:tc>
          <w:tcPr>
            <w:tcW w:w="260" w:type="dxa"/>
            <w:tcBorders/>
            <w:vAlign w:val="center"/>
          </w:tcPr>
          <w:p>
            <w:pPr>
              <w:pStyle w:val="TableContents"/>
              <w:bidi w:val="0"/>
              <w:spacing w:before="0" w:after="0"/>
              <w:ind w:left="38" w:right="0" w:hanging="0"/>
              <w:jc w:val="left"/>
              <w:rPr/>
            </w:pPr>
            <w:r>
              <w:rPr/>
              <w:t>—</w:t>
            </w:r>
          </w:p>
        </w:tc>
        <w:tc>
          <w:tcPr>
            <w:tcW w:w="9201" w:type="dxa"/>
            <w:tcBorders/>
            <w:vAlign w:val="center"/>
          </w:tcPr>
          <w:p>
            <w:pPr>
              <w:pStyle w:val="TableContents"/>
              <w:bidi w:val="0"/>
              <w:spacing w:before="0" w:after="0"/>
              <w:ind w:left="0" w:right="0" w:hanging="0"/>
              <w:jc w:val="both"/>
              <w:rPr/>
            </w:pPr>
            <w:hyperlink w:anchor="ex_688528.htm">
              <w:r>
                <w:rPr>
                  <w:rStyle w:val="InternetLink"/>
                  <w:rFonts w:ascii="Times New Roman;Times;serif" w:hAnsi="Times New Roman;Times;serif"/>
                  <w:sz w:val="20"/>
                </w:rPr>
                <w:t>Certification Pursuant to Section 302 of the Sarbanes-Oxley Act of 2002, signed by Michael J. Taylor.</w:t>
              </w:r>
            </w:hyperlink>
          </w:p>
        </w:tc>
      </w:tr>
      <w:tr>
        <w:trPr/>
        <w:tc>
          <w:tcPr>
            <w:tcW w:w="744"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9201" w:type="dxa"/>
            <w:tcBorders/>
            <w:vAlign w:val="center"/>
          </w:tcPr>
          <w:p>
            <w:pPr>
              <w:pStyle w:val="TableContents"/>
              <w:bidi w:val="0"/>
              <w:spacing w:before="0" w:after="283"/>
              <w:jc w:val="left"/>
              <w:rPr/>
            </w:pPr>
            <w:r>
              <w:rPr/>
              <w:t> </w:t>
            </w:r>
          </w:p>
        </w:tc>
      </w:tr>
      <w:tr>
        <w:trPr/>
        <w:tc>
          <w:tcPr>
            <w:tcW w:w="744"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31.2</w:t>
            </w:r>
          </w:p>
        </w:tc>
        <w:tc>
          <w:tcPr>
            <w:tcW w:w="260" w:type="dxa"/>
            <w:tcBorders/>
            <w:vAlign w:val="center"/>
          </w:tcPr>
          <w:p>
            <w:pPr>
              <w:pStyle w:val="TableContents"/>
              <w:bidi w:val="0"/>
              <w:spacing w:before="0" w:after="0"/>
              <w:ind w:left="38" w:right="0" w:hanging="0"/>
              <w:jc w:val="left"/>
              <w:rPr/>
            </w:pPr>
            <w:r>
              <w:rPr/>
              <w:t>—</w:t>
            </w:r>
          </w:p>
        </w:tc>
        <w:tc>
          <w:tcPr>
            <w:tcW w:w="9201" w:type="dxa"/>
            <w:tcBorders/>
            <w:vAlign w:val="center"/>
          </w:tcPr>
          <w:p>
            <w:pPr>
              <w:pStyle w:val="TableContents"/>
              <w:bidi w:val="0"/>
              <w:spacing w:before="0" w:after="0"/>
              <w:ind w:left="0" w:right="0" w:hanging="0"/>
              <w:jc w:val="both"/>
              <w:rPr/>
            </w:pPr>
            <w:hyperlink w:anchor="ex_688529.htm">
              <w:r>
                <w:rPr>
                  <w:rStyle w:val="InternetLink"/>
                  <w:rFonts w:ascii="Times New Roman;Times;serif" w:hAnsi="Times New Roman;Times;serif"/>
                  <w:sz w:val="20"/>
                </w:rPr>
                <w:t>Certification Pursuant to Section 302 of the Sarbanes-Oxley Act of 2002, signed by Alex LaRue.</w:t>
              </w:r>
            </w:hyperlink>
          </w:p>
        </w:tc>
      </w:tr>
      <w:tr>
        <w:trPr/>
        <w:tc>
          <w:tcPr>
            <w:tcW w:w="744"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9201" w:type="dxa"/>
            <w:tcBorders/>
            <w:vAlign w:val="center"/>
          </w:tcPr>
          <w:p>
            <w:pPr>
              <w:pStyle w:val="TableContents"/>
              <w:bidi w:val="0"/>
              <w:spacing w:before="0" w:after="283"/>
              <w:jc w:val="left"/>
              <w:rPr/>
            </w:pPr>
            <w:r>
              <w:rPr/>
              <w:t> </w:t>
            </w:r>
          </w:p>
        </w:tc>
      </w:tr>
      <w:tr>
        <w:trPr/>
        <w:tc>
          <w:tcPr>
            <w:tcW w:w="744"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32.1</w:t>
            </w:r>
          </w:p>
        </w:tc>
        <w:tc>
          <w:tcPr>
            <w:tcW w:w="260" w:type="dxa"/>
            <w:tcBorders/>
            <w:vAlign w:val="center"/>
          </w:tcPr>
          <w:p>
            <w:pPr>
              <w:pStyle w:val="TableContents"/>
              <w:bidi w:val="0"/>
              <w:spacing w:before="0" w:after="0"/>
              <w:ind w:left="38" w:right="0" w:hanging="0"/>
              <w:jc w:val="left"/>
              <w:rPr/>
            </w:pPr>
            <w:r>
              <w:rPr/>
              <w:t>—</w:t>
            </w:r>
          </w:p>
        </w:tc>
        <w:tc>
          <w:tcPr>
            <w:tcW w:w="9201" w:type="dxa"/>
            <w:tcBorders/>
            <w:vAlign w:val="center"/>
          </w:tcPr>
          <w:p>
            <w:pPr>
              <w:pStyle w:val="TableContents"/>
              <w:bidi w:val="0"/>
              <w:spacing w:before="0" w:after="0"/>
              <w:ind w:left="0" w:right="0" w:hanging="0"/>
              <w:jc w:val="both"/>
              <w:rPr/>
            </w:pPr>
            <w:hyperlink w:anchor="ex_688530.htm">
              <w:r>
                <w:rPr>
                  <w:rStyle w:val="InternetLink"/>
                  <w:rFonts w:ascii="Times New Roman;Times;serif" w:hAnsi="Times New Roman;Times;serif"/>
                  <w:sz w:val="20"/>
                </w:rPr>
                <w:t>Certification Pursuant to 18 U.S.C. Section 1350, as Adopted Pursuant to Section 906 of the Sarbanes-Oxley Act of 2002, signed by Michael J. Taylor.</w:t>
              </w:r>
            </w:hyperlink>
          </w:p>
        </w:tc>
      </w:tr>
      <w:tr>
        <w:trPr/>
        <w:tc>
          <w:tcPr>
            <w:tcW w:w="744"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9201" w:type="dxa"/>
            <w:tcBorders/>
            <w:vAlign w:val="center"/>
          </w:tcPr>
          <w:p>
            <w:pPr>
              <w:pStyle w:val="TableContents"/>
              <w:bidi w:val="0"/>
              <w:spacing w:before="0" w:after="283"/>
              <w:jc w:val="left"/>
              <w:rPr/>
            </w:pPr>
            <w:r>
              <w:rPr/>
              <w:t> </w:t>
            </w:r>
          </w:p>
        </w:tc>
      </w:tr>
      <w:tr>
        <w:trPr/>
        <w:tc>
          <w:tcPr>
            <w:tcW w:w="744"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32.2</w:t>
            </w:r>
          </w:p>
        </w:tc>
        <w:tc>
          <w:tcPr>
            <w:tcW w:w="260" w:type="dxa"/>
            <w:tcBorders/>
            <w:vAlign w:val="center"/>
          </w:tcPr>
          <w:p>
            <w:pPr>
              <w:pStyle w:val="TableContents"/>
              <w:bidi w:val="0"/>
              <w:spacing w:before="0" w:after="0"/>
              <w:ind w:left="38" w:right="0" w:hanging="0"/>
              <w:jc w:val="left"/>
              <w:rPr/>
            </w:pPr>
            <w:r>
              <w:rPr/>
              <w:t>—</w:t>
            </w:r>
          </w:p>
        </w:tc>
        <w:tc>
          <w:tcPr>
            <w:tcW w:w="9201" w:type="dxa"/>
            <w:tcBorders/>
            <w:vAlign w:val="center"/>
          </w:tcPr>
          <w:p>
            <w:pPr>
              <w:pStyle w:val="TableContents"/>
              <w:bidi w:val="0"/>
              <w:spacing w:before="0" w:after="0"/>
              <w:ind w:left="0" w:right="0" w:hanging="0"/>
              <w:jc w:val="both"/>
              <w:rPr/>
            </w:pPr>
            <w:hyperlink w:anchor="ex_688531.htm">
              <w:r>
                <w:rPr>
                  <w:rStyle w:val="InternetLink"/>
                  <w:rFonts w:ascii="Times New Roman;Times;serif" w:hAnsi="Times New Roman;Times;serif"/>
                  <w:sz w:val="20"/>
                </w:rPr>
                <w:t>Certification Pursuant to 18 U.S.C. Section 1350, as Adopted Pursuant to Section 906 of the Sarbanes-Oxley Act of 2002, signed by Alex LaRue.</w:t>
              </w:r>
            </w:hyperlink>
          </w:p>
        </w:tc>
      </w:tr>
      <w:tr>
        <w:trPr/>
        <w:tc>
          <w:tcPr>
            <w:tcW w:w="744"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9201" w:type="dxa"/>
            <w:tcBorders/>
            <w:vAlign w:val="center"/>
          </w:tcPr>
          <w:p>
            <w:pPr>
              <w:pStyle w:val="TableContents"/>
              <w:bidi w:val="0"/>
              <w:spacing w:before="0" w:after="283"/>
              <w:jc w:val="left"/>
              <w:rPr/>
            </w:pPr>
            <w:r>
              <w:rPr/>
              <w:t> </w:t>
            </w:r>
          </w:p>
        </w:tc>
      </w:tr>
      <w:tr>
        <w:trPr/>
        <w:tc>
          <w:tcPr>
            <w:tcW w:w="7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260" w:type="dxa"/>
            <w:tcBorders/>
            <w:vAlign w:val="center"/>
          </w:tcPr>
          <w:p>
            <w:pPr>
              <w:pStyle w:val="TableContents"/>
              <w:bidi w:val="0"/>
              <w:spacing w:before="0" w:after="0"/>
              <w:ind w:left="38" w:right="0" w:hanging="0"/>
              <w:jc w:val="left"/>
              <w:rPr/>
            </w:pPr>
            <w:r>
              <w:rPr/>
              <w:t>—</w:t>
            </w:r>
          </w:p>
        </w:tc>
        <w:tc>
          <w:tcPr>
            <w:tcW w:w="9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w:t>
            </w:r>
          </w:p>
        </w:tc>
      </w:tr>
      <w:tr>
        <w:trPr/>
        <w:tc>
          <w:tcPr>
            <w:tcW w:w="744"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9201" w:type="dxa"/>
            <w:tcBorders/>
            <w:vAlign w:val="center"/>
          </w:tcPr>
          <w:p>
            <w:pPr>
              <w:pStyle w:val="TableContents"/>
              <w:bidi w:val="0"/>
              <w:spacing w:before="0" w:after="283"/>
              <w:jc w:val="left"/>
              <w:rPr/>
            </w:pPr>
            <w:r>
              <w:rPr/>
              <w:t> </w:t>
            </w:r>
          </w:p>
        </w:tc>
      </w:tr>
      <w:tr>
        <w:trPr/>
        <w:tc>
          <w:tcPr>
            <w:tcW w:w="7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260" w:type="dxa"/>
            <w:tcBorders/>
            <w:vAlign w:val="center"/>
          </w:tcPr>
          <w:p>
            <w:pPr>
              <w:pStyle w:val="TableContents"/>
              <w:bidi w:val="0"/>
              <w:spacing w:before="0" w:after="0"/>
              <w:ind w:left="38" w:right="0" w:hanging="0"/>
              <w:jc w:val="left"/>
              <w:rPr/>
            </w:pPr>
            <w:r>
              <w:rPr/>
              <w:t>—</w:t>
            </w:r>
          </w:p>
        </w:tc>
        <w:tc>
          <w:tcPr>
            <w:tcW w:w="9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Schema Document.</w:t>
            </w:r>
          </w:p>
        </w:tc>
      </w:tr>
      <w:tr>
        <w:trPr/>
        <w:tc>
          <w:tcPr>
            <w:tcW w:w="744"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9201" w:type="dxa"/>
            <w:tcBorders/>
            <w:vAlign w:val="center"/>
          </w:tcPr>
          <w:p>
            <w:pPr>
              <w:pStyle w:val="TableContents"/>
              <w:bidi w:val="0"/>
              <w:spacing w:before="0" w:after="283"/>
              <w:jc w:val="left"/>
              <w:rPr/>
            </w:pPr>
            <w:r>
              <w:rPr/>
              <w:t> </w:t>
            </w:r>
          </w:p>
        </w:tc>
      </w:tr>
      <w:tr>
        <w:trPr/>
        <w:tc>
          <w:tcPr>
            <w:tcW w:w="7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260" w:type="dxa"/>
            <w:tcBorders/>
            <w:vAlign w:val="center"/>
          </w:tcPr>
          <w:p>
            <w:pPr>
              <w:pStyle w:val="TableContents"/>
              <w:bidi w:val="0"/>
              <w:spacing w:before="0" w:after="0"/>
              <w:ind w:left="38" w:right="0" w:hanging="0"/>
              <w:jc w:val="left"/>
              <w:rPr/>
            </w:pPr>
            <w:r>
              <w:rPr/>
              <w:t>—</w:t>
            </w:r>
          </w:p>
        </w:tc>
        <w:tc>
          <w:tcPr>
            <w:tcW w:w="9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Calculation Linkbase Document.</w:t>
            </w:r>
          </w:p>
        </w:tc>
      </w:tr>
      <w:tr>
        <w:trPr/>
        <w:tc>
          <w:tcPr>
            <w:tcW w:w="744"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9201" w:type="dxa"/>
            <w:tcBorders/>
            <w:vAlign w:val="center"/>
          </w:tcPr>
          <w:p>
            <w:pPr>
              <w:pStyle w:val="TableContents"/>
              <w:bidi w:val="0"/>
              <w:spacing w:before="0" w:after="283"/>
              <w:jc w:val="left"/>
              <w:rPr/>
            </w:pPr>
            <w:r>
              <w:rPr/>
              <w:t> </w:t>
            </w:r>
          </w:p>
        </w:tc>
      </w:tr>
      <w:tr>
        <w:trPr/>
        <w:tc>
          <w:tcPr>
            <w:tcW w:w="7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260" w:type="dxa"/>
            <w:tcBorders/>
            <w:vAlign w:val="center"/>
          </w:tcPr>
          <w:p>
            <w:pPr>
              <w:pStyle w:val="TableContents"/>
              <w:bidi w:val="0"/>
              <w:spacing w:before="0" w:after="0"/>
              <w:ind w:left="38" w:right="0" w:hanging="0"/>
              <w:jc w:val="left"/>
              <w:rPr/>
            </w:pPr>
            <w:r>
              <w:rPr/>
              <w:t>—</w:t>
            </w:r>
          </w:p>
        </w:tc>
        <w:tc>
          <w:tcPr>
            <w:tcW w:w="9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Definition Linkbase Document.</w:t>
            </w:r>
          </w:p>
        </w:tc>
      </w:tr>
      <w:tr>
        <w:trPr/>
        <w:tc>
          <w:tcPr>
            <w:tcW w:w="744"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9201" w:type="dxa"/>
            <w:tcBorders/>
            <w:vAlign w:val="center"/>
          </w:tcPr>
          <w:p>
            <w:pPr>
              <w:pStyle w:val="TableContents"/>
              <w:bidi w:val="0"/>
              <w:spacing w:before="0" w:after="283"/>
              <w:jc w:val="left"/>
              <w:rPr/>
            </w:pPr>
            <w:r>
              <w:rPr/>
              <w:t> </w:t>
            </w:r>
          </w:p>
        </w:tc>
      </w:tr>
      <w:tr>
        <w:trPr/>
        <w:tc>
          <w:tcPr>
            <w:tcW w:w="7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260" w:type="dxa"/>
            <w:tcBorders/>
            <w:vAlign w:val="center"/>
          </w:tcPr>
          <w:p>
            <w:pPr>
              <w:pStyle w:val="TableContents"/>
              <w:bidi w:val="0"/>
              <w:spacing w:before="0" w:after="0"/>
              <w:ind w:left="38" w:right="0" w:hanging="0"/>
              <w:jc w:val="left"/>
              <w:rPr/>
            </w:pPr>
            <w:r>
              <w:rPr/>
              <w:t>—</w:t>
            </w:r>
          </w:p>
        </w:tc>
        <w:tc>
          <w:tcPr>
            <w:tcW w:w="9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Label Linkbase Document.</w:t>
            </w:r>
          </w:p>
        </w:tc>
      </w:tr>
      <w:tr>
        <w:trPr/>
        <w:tc>
          <w:tcPr>
            <w:tcW w:w="744"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9201" w:type="dxa"/>
            <w:tcBorders/>
            <w:vAlign w:val="center"/>
          </w:tcPr>
          <w:p>
            <w:pPr>
              <w:pStyle w:val="TableContents"/>
              <w:bidi w:val="0"/>
              <w:spacing w:before="0" w:after="283"/>
              <w:jc w:val="left"/>
              <w:rPr/>
            </w:pPr>
            <w:r>
              <w:rPr/>
              <w:t> </w:t>
            </w:r>
          </w:p>
        </w:tc>
      </w:tr>
      <w:tr>
        <w:trPr/>
        <w:tc>
          <w:tcPr>
            <w:tcW w:w="7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260" w:type="dxa"/>
            <w:tcBorders/>
            <w:vAlign w:val="center"/>
          </w:tcPr>
          <w:p>
            <w:pPr>
              <w:pStyle w:val="TableContents"/>
              <w:bidi w:val="0"/>
              <w:spacing w:before="0" w:after="0"/>
              <w:ind w:left="38" w:right="0" w:hanging="0"/>
              <w:jc w:val="left"/>
              <w:rPr/>
            </w:pPr>
            <w:r>
              <w:rPr/>
              <w:t>—</w:t>
            </w:r>
          </w:p>
        </w:tc>
        <w:tc>
          <w:tcPr>
            <w:tcW w:w="9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Presentation Linkbase Document.</w:t>
            </w:r>
          </w:p>
        </w:tc>
      </w:tr>
      <w:tr>
        <w:trPr/>
        <w:tc>
          <w:tcPr>
            <w:tcW w:w="744"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9201" w:type="dxa"/>
            <w:tcBorders/>
            <w:vAlign w:val="center"/>
          </w:tcPr>
          <w:p>
            <w:pPr>
              <w:pStyle w:val="TableContents"/>
              <w:bidi w:val="0"/>
              <w:spacing w:before="0" w:after="283"/>
              <w:jc w:val="left"/>
              <w:rPr/>
            </w:pPr>
            <w:r>
              <w:rPr/>
              <w:t> </w:t>
            </w:r>
          </w:p>
        </w:tc>
      </w:tr>
      <w:tr>
        <w:trPr/>
        <w:tc>
          <w:tcPr>
            <w:tcW w:w="744" w:type="dxa"/>
            <w:tcBorders/>
            <w:vAlign w:val="center"/>
          </w:tcPr>
          <w:p>
            <w:pPr>
              <w:pStyle w:val="TableContents"/>
              <w:bidi w:val="0"/>
              <w:spacing w:before="0" w:after="283"/>
              <w:jc w:val="left"/>
              <w:rPr/>
            </w:pPr>
            <w:r>
              <w:rPr/>
              <w:t>104</w:t>
            </w:r>
          </w:p>
        </w:tc>
        <w:tc>
          <w:tcPr>
            <w:tcW w:w="260" w:type="dxa"/>
            <w:tcBorders/>
            <w:vAlign w:val="center"/>
          </w:tcPr>
          <w:p>
            <w:pPr>
              <w:pStyle w:val="TableContents"/>
              <w:bidi w:val="0"/>
              <w:spacing w:before="0" w:after="283"/>
              <w:jc w:val="left"/>
              <w:rPr/>
            </w:pPr>
            <w:r>
              <w:rPr/>
              <w:t>—</w:t>
            </w:r>
          </w:p>
        </w:tc>
        <w:tc>
          <w:tcPr>
            <w:tcW w:w="9201" w:type="dxa"/>
            <w:tcBorders/>
            <w:vAlign w:val="center"/>
          </w:tcPr>
          <w:p>
            <w:pPr>
              <w:pStyle w:val="TableContents"/>
              <w:bidi w:val="0"/>
              <w:spacing w:before="0" w:after="283"/>
              <w:jc w:val="both"/>
              <w:rPr/>
            </w:pPr>
            <w:r>
              <w:rPr/>
              <w:t>Cover Page Interactive File (formatted as Inline XBRL and contained in Exhibit 101)</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jc w:val="left"/>
        <w:rPr/>
      </w:pPr>
      <w:r>
        <w:rPr/>
        <w:t> </w:t>
      </w:r>
    </w:p>
    <w:p>
      <w:pPr>
        <w:pStyle w:val="TextBody"/>
        <w:bidi w:val="0"/>
        <w:spacing w:before="0" w:after="0"/>
        <w:ind w:left="0" w:right="0" w:hanging="0"/>
        <w:jc w:val="center"/>
        <w:rPr>
          <w:rFonts w:ascii="Times New Roman;Times;serif" w:hAnsi="Times New Roman;Times;serif"/>
          <w:b/>
          <w:sz w:val="20"/>
        </w:rPr>
      </w:pPr>
      <w:bookmarkStart w:id="11" w:name="sigs"/>
      <w:bookmarkEnd w:id="11"/>
      <w:r>
        <w:rPr>
          <w:rFonts w:ascii="Times New Roman;Times;serif" w:hAnsi="Times New Roman;Times;serif"/>
          <w:b/>
          <w:sz w:val="20"/>
        </w:rPr>
        <w:t xml:space="preserve">SIGNATURES </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pPr>
      <w:r>
        <w:rPr/>
        <w:t> </w:t>
      </w:r>
    </w:p>
    <w:tbl>
      <w:tblPr>
        <w:tblW w:w="6330" w:type="dxa"/>
        <w:jc w:val="left"/>
        <w:tblInd w:w="0" w:type="dxa"/>
        <w:tblLayout w:type="fixed"/>
        <w:tblCellMar>
          <w:top w:w="0" w:type="dxa"/>
          <w:left w:w="0" w:type="dxa"/>
          <w:bottom w:w="0" w:type="dxa"/>
          <w:right w:w="0" w:type="dxa"/>
        </w:tblCellMar>
      </w:tblPr>
      <w:tblGrid>
        <w:gridCol w:w="1760"/>
        <w:gridCol w:w="60"/>
        <w:gridCol w:w="260"/>
        <w:gridCol w:w="4250"/>
      </w:tblGrid>
      <w:tr>
        <w:trPr/>
        <w:tc>
          <w:tcPr>
            <w:tcW w:w="17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451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FRIEDMAN INDUSTRIES, INCORPORATED</w:t>
            </w:r>
          </w:p>
        </w:tc>
      </w:tr>
      <w:tr>
        <w:trPr/>
        <w:tc>
          <w:tcPr>
            <w:tcW w:w="1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8, 2024</w:t>
            </w:r>
          </w:p>
        </w:tc>
        <w:tc>
          <w:tcPr>
            <w:tcW w:w="60"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25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ALEX LARUE        </w:t>
            </w:r>
          </w:p>
        </w:tc>
      </w:tr>
      <w:tr>
        <w:trPr/>
        <w:tc>
          <w:tcPr>
            <w:tcW w:w="17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425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Alex LaRue, Chief Financial Officer – Secretary and</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Treasurer (Principal Financial Officer)</w:t>
            </w:r>
          </w:p>
        </w:tc>
      </w:tr>
    </w:tbl>
    <w:p>
      <w:pPr>
        <w:pStyle w:val="TextBody"/>
        <w:bidi w:val="0"/>
        <w:spacing w:before="0" w:after="0"/>
        <w:ind w:left="0" w:right="0" w:hanging="0"/>
        <w:jc w:val="left"/>
        <w:rPr/>
      </w:pPr>
      <w:r>
        <w:rPr/>
        <w:t> </w:t>
      </w:r>
    </w:p>
    <w:p>
      <w:pPr>
        <w:pStyle w:val="TextBody"/>
        <w:bidi w:val="0"/>
        <w:jc w:val="center"/>
        <w:rPr>
          <w:rFonts w:ascii="Times New Roman" w:hAnsi="Times New Roman"/>
          <w:sz w:val="20"/>
        </w:rPr>
      </w:pPr>
      <w:r>
        <w:rPr>
          <w:rFonts w:ascii="Times New Roman" w:hAnsi="Times New Roman"/>
          <w:sz w:val="20"/>
        </w:rPr>
        <w:t xml:space="preserve">21 </w:t>
      </w:r>
    </w:p>
    <w:p>
      <w:pPr>
        <w:pStyle w:val="TextBody"/>
        <w:bidi w:val="0"/>
        <w:spacing w:before="0" w:after="0"/>
        <w:ind w:left="0" w:right="0" w:hanging="0"/>
        <w:jc w:val="right"/>
        <w:rPr>
          <w:rFonts w:ascii="Times New Roman;Times;serif" w:hAnsi="Times New Roman;Times;serif"/>
          <w:b/>
          <w:sz w:val="20"/>
        </w:rPr>
      </w:pPr>
      <w:bookmarkStart w:id="12" w:name="ex_688528.htm"/>
      <w:bookmarkStart w:id="13" w:name="ksex_688528"/>
      <w:bookmarkEnd w:id="12"/>
      <w:bookmarkEnd w:id="13"/>
      <w:r>
        <w:rPr>
          <w:rFonts w:ascii="Times New Roman;Times;serif" w:hAnsi="Times New Roman;Times;serif"/>
          <w:b/>
          <w:sz w:val="20"/>
        </w:rPr>
        <w:t xml:space="preserve">EXHIBIT 31.1 </w:t>
      </w:r>
      <w:r>
        <w:br w:type="page"/>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Michael J. Taylor, certify that:</w:t>
      </w:r>
    </w:p>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1. I have reviewed this report on Form 10-Q of Friedman Industries, Incorporated;</w:t>
      </w:r>
    </w:p>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pPr>
      <w:r>
        <w:rPr/>
        <w:t> </w:t>
      </w:r>
    </w:p>
    <w:p>
      <w:pPr>
        <w:pStyle w:val="TextBody"/>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540" w:right="0" w:firstLine="540"/>
        <w:jc w:val="left"/>
        <w:rPr/>
      </w:pPr>
      <w:r>
        <w:rPr/>
        <w:t> </w:t>
      </w:r>
    </w:p>
    <w:p>
      <w:pPr>
        <w:pStyle w:val="TextBody"/>
        <w:bidi w:val="0"/>
        <w:spacing w:before="0" w:after="0"/>
        <w:ind w:left="540" w:right="0" w:firstLine="54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pPr>
      <w:r>
        <w:rPr/>
        <w:t> </w:t>
      </w:r>
    </w:p>
    <w:p>
      <w:pPr>
        <w:pStyle w:val="TextBody"/>
        <w:bidi w:val="0"/>
        <w:spacing w:before="0" w:after="0"/>
        <w:ind w:left="540" w:right="0" w:firstLine="540"/>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pPr>
      <w:r>
        <w:rPr/>
        <w:t> </w:t>
      </w:r>
    </w:p>
    <w:p>
      <w:pPr>
        <w:pStyle w:val="TextBody"/>
        <w:bidi w:val="0"/>
        <w:spacing w:before="0" w:after="0"/>
        <w:ind w:left="540" w:right="0" w:firstLine="54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pPr>
      <w:r>
        <w:rPr/>
        <w:t> </w:t>
      </w:r>
    </w:p>
    <w:p>
      <w:pPr>
        <w:pStyle w:val="TextBody"/>
        <w:bidi w:val="0"/>
        <w:spacing w:before="0" w:after="0"/>
        <w:ind w:left="540" w:right="0" w:firstLine="54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pPr>
      <w:r>
        <w:rPr/>
        <w:t> </w:t>
      </w:r>
    </w:p>
    <w:p>
      <w:pPr>
        <w:pStyle w:val="TextBody"/>
        <w:bidi w:val="0"/>
        <w:spacing w:before="0" w:after="0"/>
        <w:ind w:left="540" w:right="0" w:firstLine="54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pPr>
      <w:r>
        <w:rPr/>
        <w:t> </w:t>
      </w:r>
    </w:p>
    <w:p>
      <w:pPr>
        <w:pStyle w:val="TextBody"/>
        <w:bidi w:val="0"/>
        <w:spacing w:before="0" w:after="0"/>
        <w:ind w:left="540" w:right="0" w:firstLine="54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August 8, 2024</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3140" w:type="dxa"/>
        <w:jc w:val="left"/>
        <w:tblInd w:w="0" w:type="dxa"/>
        <w:tblLayout w:type="fixed"/>
        <w:tblCellMar>
          <w:top w:w="0" w:type="dxa"/>
          <w:left w:w="0" w:type="dxa"/>
          <w:bottom w:w="28" w:type="dxa"/>
          <w:right w:w="0" w:type="dxa"/>
        </w:tblCellMar>
      </w:tblPr>
      <w:tblGrid>
        <w:gridCol w:w="3140"/>
      </w:tblGrid>
      <w:tr>
        <w:trPr/>
        <w:tc>
          <w:tcPr>
            <w:tcW w:w="314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MICHAEL J.  TAYLOR</w:t>
            </w:r>
          </w:p>
        </w:tc>
      </w:tr>
      <w:tr>
        <w:trPr/>
        <w:tc>
          <w:tcPr>
            <w:tcW w:w="3140" w:type="dxa"/>
            <w:tcBorders/>
            <w:tcMar>
              <w:bottom w:w="0" w:type="dxa"/>
            </w:tcM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President and Chief Executive Officer</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14" w:name="ex_688529.htm"/>
      <w:bookmarkStart w:id="15" w:name="ksex_688529"/>
      <w:bookmarkEnd w:id="14"/>
      <w:bookmarkEnd w:id="15"/>
      <w:r>
        <w:rPr>
          <w:rFonts w:ascii="Times New Roman;Times;serif" w:hAnsi="Times New Roman;Times;serif"/>
          <w:b/>
          <w:sz w:val="20"/>
        </w:rPr>
        <w:t xml:space="preserve">EXHIBIT 31.2 </w:t>
      </w:r>
      <w:r>
        <w:br w:type="page"/>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Alex LaRue, certify that:</w:t>
      </w:r>
    </w:p>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1. I have reviewed this report on Form 10-Q of Friedman Industries, Incorporated;</w:t>
      </w:r>
    </w:p>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pPr>
      <w:r>
        <w:rPr/>
        <w:t> </w:t>
      </w:r>
    </w:p>
    <w:p>
      <w:pPr>
        <w:pStyle w:val="TextBody"/>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pPr>
      <w:r>
        <w:rPr/>
        <w:t> </w:t>
      </w:r>
    </w:p>
    <w:p>
      <w:pPr>
        <w:pStyle w:val="TextBody"/>
        <w:bidi w:val="0"/>
        <w:spacing w:before="0" w:after="0"/>
        <w:ind w:left="540" w:right="0" w:firstLine="54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pPr>
      <w:r>
        <w:rPr/>
        <w:t> </w:t>
      </w:r>
    </w:p>
    <w:p>
      <w:pPr>
        <w:pStyle w:val="TextBody"/>
        <w:bidi w:val="0"/>
        <w:spacing w:before="0" w:after="0"/>
        <w:ind w:left="540" w:right="0" w:firstLine="540"/>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pPr>
      <w:r>
        <w:rPr/>
        <w:t> </w:t>
      </w:r>
    </w:p>
    <w:p>
      <w:pPr>
        <w:pStyle w:val="TextBody"/>
        <w:bidi w:val="0"/>
        <w:spacing w:before="0" w:after="0"/>
        <w:ind w:left="0" w:right="0" w:firstLine="108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pPr>
      <w:r>
        <w:rPr/>
        <w:t> </w:t>
      </w:r>
    </w:p>
    <w:p>
      <w:pPr>
        <w:pStyle w:val="TextBody"/>
        <w:bidi w:val="0"/>
        <w:spacing w:before="0" w:after="0"/>
        <w:ind w:left="540" w:right="0" w:firstLine="54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pPr>
      <w:r>
        <w:rPr/>
        <w:t> </w:t>
      </w:r>
    </w:p>
    <w:p>
      <w:pPr>
        <w:pStyle w:val="TextBody"/>
        <w:bidi w:val="0"/>
        <w:spacing w:before="0" w:after="0"/>
        <w:ind w:left="540" w:right="0" w:firstLine="54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pPr>
      <w:r>
        <w:rPr/>
        <w:t> </w:t>
      </w:r>
    </w:p>
    <w:p>
      <w:pPr>
        <w:pStyle w:val="TextBody"/>
        <w:bidi w:val="0"/>
        <w:spacing w:before="0" w:after="0"/>
        <w:ind w:left="540" w:right="0" w:firstLine="54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August 8, 2024</w:t>
      </w:r>
    </w:p>
    <w:p>
      <w:pPr>
        <w:pStyle w:val="TextBody"/>
        <w:bidi w:val="0"/>
        <w:spacing w:before="0" w:after="0"/>
        <w:ind w:left="0" w:right="0" w:hanging="0"/>
        <w:jc w:val="left"/>
        <w:rPr/>
      </w:pPr>
      <w:r>
        <w:rPr/>
        <w:t> </w:t>
      </w:r>
    </w:p>
    <w:tbl>
      <w:tblPr>
        <w:tblW w:w="4145" w:type="dxa"/>
        <w:jc w:val="left"/>
        <w:tblInd w:w="0" w:type="dxa"/>
        <w:tblLayout w:type="fixed"/>
        <w:tblCellMar>
          <w:top w:w="0" w:type="dxa"/>
          <w:left w:w="0" w:type="dxa"/>
          <w:bottom w:w="28" w:type="dxa"/>
          <w:right w:w="0" w:type="dxa"/>
        </w:tblCellMar>
      </w:tblPr>
      <w:tblGrid>
        <w:gridCol w:w="4145"/>
      </w:tblGrid>
      <w:tr>
        <w:trPr/>
        <w:tc>
          <w:tcPr>
            <w:tcW w:w="414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ALEX LARUE</w:t>
            </w:r>
          </w:p>
        </w:tc>
      </w:tr>
      <w:tr>
        <w:trPr/>
        <w:tc>
          <w:tcPr>
            <w:tcW w:w="4145" w:type="dxa"/>
            <w:tcBorders/>
            <w:tcMar>
              <w:bottom w:w="0" w:type="dxa"/>
            </w:tcM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Chief Financial Officer – Secretary and Treasurer</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16" w:name="ex_688530.htm"/>
      <w:bookmarkStart w:id="17" w:name="ksex_688530"/>
      <w:bookmarkEnd w:id="16"/>
      <w:bookmarkEnd w:id="17"/>
      <w:r>
        <w:rPr>
          <w:rFonts w:ascii="Times New Roman;Times;serif" w:hAnsi="Times New Roman;Times;serif"/>
          <w:b/>
          <w:sz w:val="20"/>
        </w:rPr>
        <w:t xml:space="preserve">EXHIBIT 32.1 </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Certification Pursuant to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18 U.S.C. Section 1350,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as Adopted Pursuant to Section 906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of The Sarbanes-Oxley Act of 2002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 Filed Pursuant to the Securities Exchange Act of 1934 </w:t>
      </w:r>
    </w:p>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In connection with the Quarterly Report of Friedman Industries, Incorporated (the “Company”) on Form 10-Q for the period ended</w:t>
      </w:r>
      <w:r>
        <w:rPr>
          <w:rFonts w:ascii="Times New Roman;Times;serif" w:hAnsi="Times New Roman;Times;serif"/>
          <w:sz w:val="20"/>
          <w:shd w:fill="FFFFFF" w:val="clear"/>
        </w:rPr>
        <w:t xml:space="preserve"> </w:t>
      </w:r>
      <w:bookmarkStart w:id="18" w:name="led83830F2021121612298839707"/>
      <w:bookmarkEnd w:id="18"/>
      <w:r>
        <w:rPr>
          <w:rFonts w:ascii="Times New Roman;Times;serif" w:hAnsi="Times New Roman;Times;serif"/>
          <w:sz w:val="20"/>
        </w:rPr>
        <w:t>June 30, 2024, as filed with the U.S. Securities and Exchange Commission on the date hereof (the “Report”), I, Michael J. Taylor, President and Chief Executive Officer of the Company, certify, pursuant to 18 U.S.C. Section 1350, as adopted pursuant to Section 906 of the Sarbanes-Oxley Act of 2002, as amended, that:</w:t>
      </w:r>
    </w:p>
    <w:p>
      <w:pPr>
        <w:pStyle w:val="TextBody"/>
        <w:bidi w:val="0"/>
        <w:spacing w:before="0" w:after="0"/>
        <w:ind w:left="0" w:right="0" w:hanging="0"/>
        <w:jc w:val="left"/>
        <w:rPr/>
      </w:pPr>
      <w:r>
        <w:rPr/>
        <w:t> </w:t>
      </w:r>
    </w:p>
    <w:tbl>
      <w:tblPr>
        <w:tblW w:w="9920" w:type="dxa"/>
        <w:jc w:val="left"/>
        <w:tblInd w:w="0" w:type="dxa"/>
        <w:tblLayout w:type="fixed"/>
        <w:tblCellMar>
          <w:top w:w="0" w:type="dxa"/>
          <w:left w:w="0" w:type="dxa"/>
          <w:bottom w:w="0" w:type="dxa"/>
          <w:right w:w="0" w:type="dxa"/>
        </w:tblCellMar>
      </w:tblPr>
      <w:tblGrid>
        <w:gridCol w:w="60"/>
        <w:gridCol w:w="9860"/>
      </w:tblGrid>
      <w:tr>
        <w:trPr/>
        <w:tc>
          <w:tcPr>
            <w:tcW w:w="60" w:type="dxa"/>
            <w:tcBorders/>
            <w:vAlign w:val="center"/>
          </w:tcPr>
          <w:p>
            <w:pPr>
              <w:pStyle w:val="TableContents"/>
              <w:bidi w:val="0"/>
              <w:spacing w:before="0" w:after="283"/>
              <w:jc w:val="left"/>
              <w:rPr/>
            </w:pPr>
            <w:r>
              <w:rPr/>
              <w:t> </w:t>
            </w:r>
          </w:p>
        </w:tc>
        <w:tc>
          <w:tcPr>
            <w:tcW w:w="98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 The Report fully complies with the requirements of Section 13(a) or 15(d) of the Securities Exchange Act of 1934;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0145"/>
      </w:tblGrid>
      <w:tr>
        <w:trPr/>
        <w:tc>
          <w:tcPr>
            <w:tcW w:w="60" w:type="dxa"/>
            <w:tcBorders/>
            <w:vAlign w:val="center"/>
          </w:tcPr>
          <w:p>
            <w:pPr>
              <w:pStyle w:val="TableContents"/>
              <w:bidi w:val="0"/>
              <w:spacing w:before="0" w:after="283"/>
              <w:jc w:val="left"/>
              <w:rPr/>
            </w:pPr>
            <w:r>
              <w:rPr/>
              <w:t> </w:t>
            </w:r>
          </w:p>
        </w:tc>
        <w:tc>
          <w:tcPr>
            <w:tcW w:w="101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August 8, 2024</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3655" w:type="dxa"/>
        <w:jc w:val="left"/>
        <w:tblInd w:w="0" w:type="dxa"/>
        <w:tblLayout w:type="fixed"/>
        <w:tblCellMar>
          <w:top w:w="0" w:type="dxa"/>
          <w:left w:w="0" w:type="dxa"/>
          <w:bottom w:w="0" w:type="dxa"/>
          <w:right w:w="0" w:type="dxa"/>
        </w:tblCellMar>
      </w:tblPr>
      <w:tblGrid>
        <w:gridCol w:w="560"/>
        <w:gridCol w:w="3095"/>
      </w:tblGrid>
      <w:tr>
        <w:trPr/>
        <w:tc>
          <w:tcPr>
            <w:tcW w:w="5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09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Michael J. Taylor</w:t>
            </w:r>
          </w:p>
        </w:tc>
      </w:tr>
      <w:tr>
        <w:trPr/>
        <w:tc>
          <w:tcPr>
            <w:tcW w:w="5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0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Michael J. Taylor</w:t>
            </w:r>
          </w:p>
        </w:tc>
      </w:tr>
      <w:tr>
        <w:trPr/>
        <w:tc>
          <w:tcPr>
            <w:tcW w:w="5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0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19" w:name="ex_688531.htm"/>
      <w:bookmarkStart w:id="20" w:name="ksex_688531"/>
      <w:bookmarkEnd w:id="19"/>
      <w:bookmarkEnd w:id="20"/>
      <w:r>
        <w:rPr>
          <w:rFonts w:ascii="Times New Roman;Times;serif" w:hAnsi="Times New Roman;Times;serif"/>
          <w:b/>
          <w:sz w:val="20"/>
        </w:rPr>
        <w:t xml:space="preserve">EXHIBIT 32.2 </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Certification Pursuant to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18 U.S.C. Section 1350,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as Adopted Pursuant to Section 906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of The Sarbanes-Oxley Act of 2002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 Filed Pursuant to the Securities Exchange Act of 1934 </w:t>
      </w:r>
    </w:p>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 xml:space="preserve">In connection with the Quarterly Report of Friedman Industries, Incorporated (the “Company”) on Form 10-Q for the period ended </w:t>
      </w:r>
      <w:bookmarkStart w:id="21" w:name="led83830F2021121612298873697"/>
      <w:bookmarkEnd w:id="21"/>
      <w:r>
        <w:rPr>
          <w:rFonts w:ascii="Times New Roman;Times;serif" w:hAnsi="Times New Roman;Times;serif"/>
          <w:sz w:val="20"/>
        </w:rPr>
        <w:t>June 30, 2024, as filed with the U.S. Securities and Exchange Commission on the date hereof (the “Report”), I, Alex LaRue, Chief Financial Officer – Secretary and Treasurer of the Company, certify, pursuant to 18 U.S.C. Section 1350, as adopted pursuant to Section 906 of the Sarbanes-Oxley Act of 2002, as amended, that:</w:t>
      </w:r>
    </w:p>
    <w:p>
      <w:pPr>
        <w:pStyle w:val="TextBody"/>
        <w:bidi w:val="0"/>
        <w:spacing w:before="0" w:after="0"/>
        <w:ind w:left="0" w:right="0" w:hanging="0"/>
        <w:jc w:val="left"/>
        <w:rPr/>
      </w:pPr>
      <w:r>
        <w:rPr/>
        <w:t> </w:t>
      </w:r>
    </w:p>
    <w:tbl>
      <w:tblPr>
        <w:tblW w:w="9920" w:type="dxa"/>
        <w:jc w:val="left"/>
        <w:tblInd w:w="0" w:type="dxa"/>
        <w:tblLayout w:type="fixed"/>
        <w:tblCellMar>
          <w:top w:w="0" w:type="dxa"/>
          <w:left w:w="0" w:type="dxa"/>
          <w:bottom w:w="0" w:type="dxa"/>
          <w:right w:w="0" w:type="dxa"/>
        </w:tblCellMar>
      </w:tblPr>
      <w:tblGrid>
        <w:gridCol w:w="60"/>
        <w:gridCol w:w="9860"/>
      </w:tblGrid>
      <w:tr>
        <w:trPr/>
        <w:tc>
          <w:tcPr>
            <w:tcW w:w="60" w:type="dxa"/>
            <w:tcBorders/>
            <w:vAlign w:val="center"/>
          </w:tcPr>
          <w:p>
            <w:pPr>
              <w:pStyle w:val="TableContents"/>
              <w:bidi w:val="0"/>
              <w:spacing w:before="0" w:after="283"/>
              <w:jc w:val="left"/>
              <w:rPr/>
            </w:pPr>
            <w:r>
              <w:rPr/>
              <w:t> </w:t>
            </w:r>
          </w:p>
        </w:tc>
        <w:tc>
          <w:tcPr>
            <w:tcW w:w="98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 The Report fully complies with the requirements of Section 13(a) or 15(d) of the Securities Exchange Act of 1934;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0145"/>
      </w:tblGrid>
      <w:tr>
        <w:trPr/>
        <w:tc>
          <w:tcPr>
            <w:tcW w:w="60" w:type="dxa"/>
            <w:tcBorders/>
            <w:vAlign w:val="center"/>
          </w:tcPr>
          <w:p>
            <w:pPr>
              <w:pStyle w:val="TableContents"/>
              <w:bidi w:val="0"/>
              <w:spacing w:before="0" w:after="283"/>
              <w:jc w:val="left"/>
              <w:rPr/>
            </w:pPr>
            <w:r>
              <w:rPr/>
              <w:t> </w:t>
            </w:r>
          </w:p>
        </w:tc>
        <w:tc>
          <w:tcPr>
            <w:tcW w:w="101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August 8, 2024</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4540" w:type="dxa"/>
        <w:jc w:val="left"/>
        <w:tblInd w:w="0" w:type="dxa"/>
        <w:tblLayout w:type="fixed"/>
        <w:tblCellMar>
          <w:top w:w="0" w:type="dxa"/>
          <w:left w:w="0" w:type="dxa"/>
          <w:bottom w:w="0" w:type="dxa"/>
          <w:right w:w="0" w:type="dxa"/>
        </w:tblCellMar>
      </w:tblPr>
      <w:tblGrid>
        <w:gridCol w:w="560"/>
        <w:gridCol w:w="3980"/>
      </w:tblGrid>
      <w:tr>
        <w:trPr/>
        <w:tc>
          <w:tcPr>
            <w:tcW w:w="5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98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Alex LaRue</w:t>
            </w:r>
          </w:p>
        </w:tc>
      </w:tr>
      <w:tr>
        <w:trPr/>
        <w:tc>
          <w:tcPr>
            <w:tcW w:w="5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9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Alex LaRue</w:t>
            </w:r>
          </w:p>
        </w:tc>
      </w:tr>
      <w:tr>
        <w:trPr/>
        <w:tc>
          <w:tcPr>
            <w:tcW w:w="5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9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 – Secretary and Treasurer</w:t>
            </w:r>
          </w:p>
        </w:tc>
      </w:tr>
    </w:tbl>
    <w:p>
      <w:pPr>
        <w:pStyle w:val="TextBody"/>
        <w:bidi w:val="0"/>
        <w:spacing w:before="0" w:after="283"/>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39092/000143774916043636/ex3-1.htm" TargetMode="External"/><Relationship Id="rId3" Type="http://schemas.openxmlformats.org/officeDocument/2006/relationships/hyperlink" Target="http://www.sec.gov/Archives/edgar/data/39092/000143774916043636/ex3-1.htm" TargetMode="External"/><Relationship Id="rId4" Type="http://schemas.openxmlformats.org/officeDocument/2006/relationships/hyperlink" Target="http://www.sec.gov/Archives/edgar/data/39092/000143774921027176/ex_309205.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10129</Words>
  <Characters>56073</Characters>
  <CharactersWithSpaces>67427</CharactersWithSpaces>
  <Paragraphs>3387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