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160" w:right="1660" w:hanging="3152"/>
        <w:spacing w:after="0" w:line="500" w:lineRule="auto"/>
        <w:tabs>
          <w:tab w:leader="none" w:pos="4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November 10, 2025, the number of shares outstanding of the issuer’s only class of stock was 7,112,182 shares of Common Stock.</w:t>
      </w:r>
    </w:p>
    <w:p>
      <w:pPr>
        <w:sectPr>
          <w:pgSz w:w="11900" w:h="16838" w:orient="portrait"/>
          <w:cols w:equalWidth="0" w:num="1">
            <w:col w:w="11240"/>
          </w:cols>
          <w:pgMar w:left="320" w:top="472" w:right="339" w:bottom="204"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4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8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8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2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960" w:type="dxa"/>
            <w:vAlign w:val="bottom"/>
            <w:tcBorders>
              <w:top w:val="single" w:sz="8" w:color="CCEEFF"/>
            </w:tcBorders>
            <w:gridSpan w:val="9"/>
          </w:tcPr>
          <w:p>
            <w:pPr>
              <w:spacing w:after="0"/>
              <w:rPr>
                <w:sz w:val="15"/>
                <w:szCs w:val="15"/>
                <w:color w:val="auto"/>
              </w:rPr>
            </w:pPr>
          </w:p>
        </w:tc>
        <w:tc>
          <w:tcPr>
            <w:tcW w:w="18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10"/>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and cash discounts of $150 and $147 at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and March 31, 2025,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166,467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57,970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(33,819)</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311,289</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226,822</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67,844</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employee compensation and related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 NOTE PAYABLE,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94,397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8,966,763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8,877,229 shares at September 30, and March 31, 2025</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35,394</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(shares 1,907,323 and 1,906,693 shares at September 30, and March 31, 2025,</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(13,110)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311,289</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226,822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materials sold (excludes items shown separately below)</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8,446</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191"/>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149,504</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106,983</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w w:val="95"/>
              </w:rPr>
              <w:t>277,238</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222,932</w:t>
            </w:r>
          </w:p>
        </w:tc>
        <w:tc>
          <w:tcPr>
            <w:tcW w:w="100" w:type="dxa"/>
            <w:vAlign w:val="bottom"/>
          </w:tcPr>
          <w:p>
            <w:pPr>
              <w:spacing w:after="0"/>
              <w:rPr>
                <w:sz w:val="16"/>
                <w:szCs w:val="16"/>
                <w:color w:val="auto"/>
              </w:rPr>
            </w:pPr>
          </w:p>
        </w:tc>
      </w:tr>
      <w:tr>
        <w:trPr>
          <w:trHeight w:val="234"/>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earnings (loss) per share:</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bl>
    <w:p>
      <w:pPr>
        <w:spacing w:after="0" w:line="198"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Gain recognized on open derivatives not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 net of amounts acquired in business combination: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7,709</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10,753</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 net of amounts assumed in business combination: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(9,295)</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(4,740)</w:t>
            </w:r>
          </w:p>
        </w:tc>
      </w:tr>
      <w:tr>
        <w:trPr>
          <w:trHeight w:val="210"/>
        </w:trPr>
        <w:tc>
          <w:tcPr>
            <w:tcW w:w="8000" w:type="dxa"/>
            <w:vAlign w:val="bottom"/>
            <w:tcBorders>
              <w:top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Century business combination</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(45,597)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Deposit on steel processing equipment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(49,839)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issuance cost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Borrowings on asset based lending facility</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415,028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326,988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Repayments on asset based lending facility</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(379,215)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(331,424)</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(5,181)</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both September 30, 2025 and March 31, 2025 included approximately $0.5 million of cash required to collateralize open derivative positions. These amounts are reported in "Other current assets" on the Company's consolidated balance sheets at September 30, 2025 and March 31, 2025. The Company had approximately $0.1 million in restricted cash as of September 30,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BUSINESS COMBINATIONS</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On August 29, 2025, (the “Acquisition Date”), the Company acquired certain assets and liabilities of Century Metals &amp; Supplies Inc. (“Century”) based in Miami, Florida. The Company acquired the working capital, buildings, processing and other equipment, and the related real estate of Century (the “Transaction”). In addition to the owned facilities in Miami, the Transaction also includes leased distribution and warehouse facilities in Orlando, Florida and Tampa, Florida. The operations will continue as Century Metals and Supplies LLC, a wholly owned subsidiary of the Company. Century is a metals processing company with cut-to-length and coil slitting capabilities which will operate as part of the Company's flat-roll business segment. As a result of the Transaction, the Company expanded its presence in the southeastern U.S. and Latin American markets and broadened the Company's product offerings to include cold-rolled, coated, and stainless steels, as well as non-ferrous materials such as aluminum, copper, and brass.</w:t>
      </w:r>
    </w:p>
    <w:p>
      <w:pPr>
        <w:spacing w:after="0" w:line="18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Transaction resulted in the Company acquiring all the ownership interests in the assets noted above, for a total consideration of approximately $52.7 million, subject to final net working capital adjustments. The total consideration consists of (i) approximately $45.6 million of cash at close, (ii) a five-year seller's note with a fair value of approximately $3.5 million and (iii) contingent consideration possible through earn-out provisions with a fair value of approximately $3.6 million. The contingent consideration allows for up to $10 million in additional consideration over a four-year period based on certain performance metrics and is not contingent on the sellers employment with Century at the time of the payout and, as such, the fair value of such contingent consideration was recognized as consideration transferred.</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seller’s note was fair valued using a discounted cash flow analysis of the expected future payments, for which the significant inputs included the rate of return based on a reference rate plus a spread and the expected cash flows associated with the seller’s note over the remaining time to maturity. The contingent consideration was fair valued using a Monte Carlo simulation of the potential cash payments to the sellers utilizing an estimate of the average future EBITDA, which was discounted to present value. The significant inputs to the Monte Carlo simulation included projected future EBITDA, a discount rate, EBITDA targets, maximum payout and EBITDA volatility. Such contingent consideration is required to be measured at fair value at inception and at each reporting period, however management determined that there was no change in the fair value of the contingent consideration as of September 30, 2025. As of September 30, 2025, the value of the contingent consideration was $3.5 million and is included within contingent consideration liability on the consolidated balance sheet.</w:t>
      </w:r>
    </w:p>
    <w:p>
      <w:pPr>
        <w:spacing w:after="0" w:line="19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was accounted for using the acquisition method of accounting, in accordance with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 The estimated fair values of assets acquired and liabilities assumed are provisional and are based on the information that was available as of the Acquisition Date to estimate the fair value of assets acquired and liabilities assumed. Therefore, the provisional measurements of fair value reflected are subject to change and such changes could be significant. The Company expects to finalize its fair value estimates as soon as practicable but no later than one year from the Acquisition Date.</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8"/>
                <w:szCs w:val="1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r>
      <w:tr>
        <w:trPr>
          <w:trHeight w:val="20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52,666</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give effect to the Transaction as if it had been completed as of July 1, 2025 (in thousands).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9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9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173,477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130,910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333,247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270,783</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bl>
    <w:p>
      <w:pPr>
        <w:spacing w:after="0" w:line="17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acquisition specific costs of approximately $0.9 million and $1.1 million in the three and six month periods ended September 30, 2025 as a component of "Selling, general and administrative" expenses on the Condensed Consolidated Statement of Operation.</w:t>
      </w:r>
    </w:p>
    <w:p>
      <w:pPr>
        <w:sectPr>
          <w:pgSz w:w="11900" w:h="16838" w:orient="portrait"/>
          <w:cols w:equalWidth="0" w:num="1">
            <w:col w:w="11240"/>
          </w:cols>
          <w:pgMar w:left="320" w:top="121" w:right="339" w:bottom="38"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NEW ACCOUNTING PRONOUNCEMENTS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Improvements to Income Tax Disclosures ("ASU 2023-09"). ASU 2023-09 requires that an entity disclose specific categories in the rate reconciliation, provide additional information for reconciling items that are greater than 5 percent of the amount computed by multiplying pretax income (or loss) by the applicable statutory income tax rate, and provide income taxes paid by jurisdiction that are greater than 5 percent of total income taxes paid. The standard also requires that entities disclose income (or loss) from continuing operations before income tax expense (or benefit) and income tax expense (or benefit) each disaggregated between domestic and foreign operations. ASU 2023-09 is effective for annual periods beginning after December 15, 2024. Early adoption is permitted for annual financial statements that have not yet been issued or made available for issuance. ASU 2023-09 is to be applied on a prospective basis, but retrospective application is permitted. The Company is evaluating the impact that adoption of the provisions of ASU 2023-09 will have on its consolidated financial statements.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INVENTORIES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operates in two segments: the flat-roll segment and the tubular segment. Both the flat-roll segment and tubular segment inventories consist of raw material and finished goods. Cost for all of the Company's flat-roll segment inventory, except for inventory of the Century Metals &amp; Supplies subsidiary, is determined using the average cost method. The cost of Century Metals &amp; Supplies is determined using the specific identification method. Cost for all of the Company's tubular segment inventory is determined using the weighted average cost method. All inventories are valued at the lower of cost or net realizable value. Flat-roll raw material inventory consists primarily of carbon steel, stainless steel and aluminum flat-roll products the Company will process into sheet, plate or slit coil. Flat-roll finished goods consists of processed sheet, plate or slit coil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Flat-Roll raw material</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110,125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85,865</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Flat-Roll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30,614</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15,737</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9,663</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5,032</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161,566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113,689</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DEBT</w:t>
      </w:r>
    </w:p>
    <w:p>
      <w:pPr>
        <w:spacing w:after="0" w:line="22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August 29, 2025, the Company renewed its asset-based lending facility ("ABL Facility") led by JPMorgan Chase Bank, N.A by executing the fifth amendment to the credit agreement. Wells Fargo Bank, N.A. became the only syndicated participant of the ABL facility with a 40% holding. The $125 million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$12.5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$75 million, in minimum increments of $5 million. At September 30, 2025, the Company had a balance of approximately $83.5 million under the ABL Facility with an applicable interest rate of 5.8%. At September 30, 2025, the Company's borrowing base supported full access to the ABL Facility.</w:t>
      </w:r>
    </w:p>
    <w:p>
      <w:pPr>
        <w:spacing w:after="0" w:line="19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approximately $0.4 million related to the renewal of the ABL Facility with these costs recorded as a non-current other asset which will be amortized on an equal monthly basis over the term of the ABL facility.</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issued a seller's note of $3.5 million related to the acquisition of Century Metals &amp; Supplies described in Note 2. The promissory note has a maturity date of August 29, 2030 and accrues interest at a rate of 6.5% per annum, payable quarterly in arrears on the last date of each quarter, commencing September 30, 2025.</w:t>
      </w:r>
    </w:p>
    <w:p>
      <w:pPr>
        <w:sectPr>
          <w:pgSz w:w="11900" w:h="16838" w:orient="portrait"/>
          <w:cols w:equalWidth="0" w:num="1">
            <w:col w:w="11240"/>
          </w:cols>
          <w:pgMar w:left="320" w:top="121" w:right="339" w:bottom="457"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57"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6 — LEASES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August 2025, the Company was assigned operating leases for distribution and warehouse facilities in Orlando, FL and Tampa, FL and certain transportation equipment related to the acquisition of Century. The Orlando lease expires July 31, 2029 and calls for monthly rental payments of approximately $25,000. The Tampa lease expires November 30, 2029 but contains a 6 month extension option and calls for monthly rental payments of approximately $21,000. The Company recognized initial right-of-use ("ROU") assets and lease liabilities of approximately $2.4 million during the September 30, 2025 quarter related to the assumed Century leases. The Company's other ROU assets and lease liabilities consist primarily of operating leases for the Granite City, IL operating facility and administrative office spaces in The Woodlands, TX and Longview, TX. The Company’s other operating leases for items such as operations equipment, IT equipment and storage space are either short-term in nature or immaterial. The Company does not have any finance leases in place.</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based on if the arrangement conveys the right to control the use of an identified asset for a period of time in exchange for consideration and allows the Company to obtain substantially all of the economic benefit from the use of the identified asset. Certain lease agreements contain rent escalation clauses and one or more options to extend the lease. The Company considers these provisions when calculating operating lease obligations. The Company uses its incremental borrowing rate at lease commencement to determine the present value of lease payments.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and six months ended September 30, 2025 and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180" w:type="dxa"/>
            <w:vAlign w:val="bottom"/>
            <w:gridSpan w:val="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September 30, 2025 and March 31, 2025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3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92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Non-current lease liabilities</w:t>
            </w: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2025, the weighted-average remaining lease term was 12.4 years for operating leases. The weighted average discount rate was 7.0% for operating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September 30,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 (remainder of fiscal year)</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 and beyond</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5,034</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8,569</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5,216</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7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PROPERTY, PLANT AND EQUIPMENT</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September 30, 2025, the Company's construction in process balance of approximately $2.3 million consisted of approximately $1.9 million associated with additional processing equipment being installed in our Granite City, IL facility. The remaining balance consists of several smaller projects among our facilities.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 BASED COMPENSATION</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awards for the six months ended September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March 31, 2025</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September 30,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7.07</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4"/>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Company measures compensation expense for restricted stock awards at the market price of the common stock as of the grant date. Compensation expense for awards with time based restrictions is recognized over the requisite service period applicable to each award. Compensation expense for awards with performance based restrictions is recognized once it is probable the performance conditions will be satisfied with a cumulative effect adjustment and the remaining expense recognized over the remaining service period. The stock awards granted during the six months ended September 30, 2025 consist of 53,221 time restricted shares with annual ratable vesting over a three year period and 36,313 performance restricted shares with vesting thresholds dependent on the percentage of average earnings before tax to average accounts receivable, inventory and net PP&amp;E over a three year period. The Company recorded compensation expense of approximately $0.2 million and $0.1 million in the six months ended September 30, 2025 and 2024, respectively, relating to the restricted stock issued under the Plan. As of September 30, 2025, unrecognized compensation expense related to unvested restricted stock was approximately $0.7 million which is expected to be recognized over a weighted average period of approximately 2.5 years. As of September 30, 2025, a total of 24,438 shares were still available to be issued under the Plan.</w:t>
      </w:r>
    </w:p>
    <w:p>
      <w:pPr>
        <w:spacing w:after="0" w:line="19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September 2025, the Company's shareholders approved the Friedman Industries, Incorporated 2025 Long-Term Incentive Plan (the "LTIP"). Under the LTIP, the Company may award stock-based compensation to employees, non-employee directors and third-party service providers. The LTIP permits the award of stock options, restricted stock awards, restricted stock units, stock appreciation rights and other stock-based awards for up to 550,000 shares of the Company's common stock. As of September 30, 2025, no stock-based compensation had been awarded under the LTIP.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utilize hot-rolled coil futures, options or swaps to reduce our exposure to commodity price risk that is inherent in our business. For the six months ended September 30, 2025 and 2024, all of the Company's hedging activities were classified as economic hedges of risk with mark-to-market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1"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At September 30, 2025 and March 31, 2025, the Company did not have any derivatives designated as hedging instruments and classified as cash flow or fair value hedges.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September 30,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2025 and 2024, the Company entered into hot-rolled coil futures and swap contracts that were not designated as hedging instruments for accounting purposes. Accordingly, the change in fair value related to these instruments was immediately recognized in earnings for these periods. During the six months ended September 30, 2025 and 2024, the Company did not designate any transactions as hedging instruments for accounting purposes.</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and six months ended September 30, 2025 (in thousands):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0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0"/>
                <w:szCs w:val="20"/>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w:t>
            </w:r>
          </w:p>
        </w:tc>
      </w:tr>
      <w:tr>
        <w:trPr>
          <w:trHeight w:val="410"/>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r>
      <w:tr>
        <w:trPr>
          <w:trHeight w:val="238"/>
        </w:trPr>
        <w:tc>
          <w:tcPr>
            <w:tcW w:w="2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0"/>
                <w:szCs w:val="20"/>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1,127</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and six months ended September 30,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1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1300" w:type="dxa"/>
            <w:vAlign w:val="bottom"/>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Pr>
          <w:p>
            <w:pPr>
              <w:spacing w:after="0"/>
              <w:rPr>
                <w:sz w:val="20"/>
                <w:szCs w:val="20"/>
                <w:color w:val="auto"/>
              </w:rPr>
            </w:pPr>
          </w:p>
        </w:tc>
      </w:tr>
      <w:tr>
        <w:trPr>
          <w:trHeight w:val="209"/>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438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r>
      <w:tr>
        <w:trPr>
          <w:trHeight w:val="410"/>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16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1300" w:type="dxa"/>
            <w:vAlign w:val="bottom"/>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Pr>
          <w:p>
            <w:pPr>
              <w:spacing w:after="0"/>
              <w:rPr>
                <w:sz w:val="20"/>
                <w:szCs w:val="20"/>
                <w:color w:val="auto"/>
              </w:rPr>
            </w:pPr>
          </w:p>
        </w:tc>
      </w:tr>
      <w:tr>
        <w:trPr>
          <w:trHeight w:val="209"/>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438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Gain on economic hedges of risk</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8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r>
      <w:tr>
        <w:trPr>
          <w:trHeight w:val="414"/>
        </w:trPr>
        <w:tc>
          <w:tcPr>
            <w:tcW w:w="3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Company's  economic  (non-designated)</w:t>
            </w:r>
          </w:p>
        </w:tc>
        <w:tc>
          <w:tcPr>
            <w:tcW w:w="3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derivative  instruments  outstanding  at</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(in thousands):</w:t>
            </w:r>
          </w:p>
        </w:tc>
        <w:tc>
          <w:tcPr>
            <w:tcW w:w="2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3"/>
        </w:trPr>
        <w:tc>
          <w:tcPr>
            <w:tcW w:w="130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1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2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October 2025 - December</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tcPr>
          <w:p>
            <w:pPr>
              <w:spacing w:after="0"/>
              <w:rPr>
                <w:sz w:val="22"/>
                <w:szCs w:val="22"/>
                <w:color w:val="auto"/>
              </w:rPr>
            </w:pPr>
          </w:p>
        </w:tc>
      </w:tr>
      <w:tr>
        <w:trPr>
          <w:trHeight w:val="162"/>
        </w:trPr>
        <w:tc>
          <w:tcPr>
            <w:tcW w:w="130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center"/>
              <w:ind w:left="10"/>
              <w:spacing w:after="0" w:line="162" w:lineRule="exact"/>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Pr>
          <w:p>
            <w:pPr>
              <w:spacing w:after="0"/>
              <w:rPr>
                <w:sz w:val="14"/>
                <w:szCs w:val="14"/>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economic (non-designated) derivative instruments outstanding at March 31, 2025 (in thousands):</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231"/>
        </w:trPr>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80" w:type="dxa"/>
            <w:vAlign w:val="bottom"/>
          </w:tcPr>
          <w:p>
            <w:pPr>
              <w:spacing w:after="0"/>
              <w:rPr>
                <w:sz w:val="20"/>
                <w:szCs w:val="20"/>
                <w:color w:val="auto"/>
              </w:rPr>
            </w:pPr>
          </w:p>
        </w:tc>
        <w:tc>
          <w:tcPr>
            <w:tcW w:w="21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0" w:type="dxa"/>
            <w:vAlign w:val="bottom"/>
          </w:tcPr>
          <w:p>
            <w:pPr>
              <w:spacing w:after="0"/>
              <w:rPr>
                <w:sz w:val="20"/>
                <w:szCs w:val="20"/>
                <w:color w:val="auto"/>
              </w:rPr>
            </w:pPr>
          </w:p>
        </w:tc>
      </w:tr>
      <w:tr>
        <w:trPr>
          <w:trHeight w:val="21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gridSpan w:val="4"/>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xml:space="preserve">(9,522) </w:t>
            </w:r>
            <w:r>
              <w:rPr>
                <w:rFonts w:ascii="Times New Roman" w:cs="Times New Roman" w:eastAsia="Times New Roman" w:hAnsi="Times New Roman"/>
                <w:sz w:val="17"/>
                <w:szCs w:val="17"/>
                <w:color w:val="auto"/>
              </w:rPr>
              <w:t>April 2025 - December 2025</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At both September 30, 2025 and March 31, 2025, cash of approximately $0.5 million was held by our clearing agent to collateralize our open derivative positions. These cash requirements are included in "Other current assets" on the Company's Consolidated Balance Sheets at September 30, 2025</w:t>
      </w:r>
    </w:p>
    <w:p>
      <w:pPr>
        <w:sectPr>
          <w:pgSz w:w="11900" w:h="16954" w:orient="portrait"/>
          <w:cols w:equalWidth="0" w:num="1">
            <w:col w:w="11240"/>
          </w:cols>
          <w:pgMar w:left="320" w:top="121"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and March 31, 2025.</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2025, our financial assets and liabilities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 contracts – financial assets,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2025, our financial assets and liabilities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asset,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560" w:hanging="5042"/>
        <w:spacing w:after="0" w:line="532" w:lineRule="auto"/>
        <w:rPr>
          <w:sz w:val="20"/>
          <w:szCs w:val="20"/>
          <w:color w:val="auto"/>
        </w:rPr>
      </w:pPr>
      <w:r>
        <w:rPr>
          <w:rFonts w:ascii="Times New Roman" w:cs="Times New Roman" w:eastAsia="Times New Roman" w:hAnsi="Times New Roman"/>
          <w:sz w:val="18"/>
          <w:szCs w:val="18"/>
          <w:color w:val="auto"/>
        </w:rPr>
        <w:t>At September 30, 2025 and March 31, 2025, the Company did not have any fair value measurements on a non-recurring basis.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SEGMENT INFORMATION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engaged in the metals processing, pipe manufacturing, and metals and pipe distribution business. Within the Company, there are two product groups: flat-roll and tubular. The Company’s flat-roll operations consist primarily of converting carbon steel, stainless steel and aluminum flat-roll products into sheet, plate or slit coil. Through its tubular operations, the Company purchases, processes, manufactures and markets tubular products.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Segment results are reviewed regularly by the Company’s Chief Operating Decision Makers (“CODMs”). The Company’s CODMs are comprised of the Chief Executive Officer and the Chief Financial Officer. The CODMs assess segment performance and allocate resources based on a number of factors with the most emphasis placed on earnings from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significant financial information relating to the product groups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9,043</w:t>
            </w:r>
          </w:p>
        </w:tc>
        <w:tc>
          <w:tcPr>
            <w:tcW w:w="15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119,820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6,262</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126,082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7,134</w:t>
            </w: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2,473</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137,642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149,504</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5,698</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(3,687)</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Gain on economic hedges of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32"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18"/>
          <w:szCs w:val="18"/>
          <w:color w:val="auto"/>
        </w:rPr>
        <w:t>EARNINGS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851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(754)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700" w:hanging="695"/>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2,977</w:t>
      </w:r>
    </w:p>
    <w:p>
      <w:pPr>
        <w:spacing w:after="0" w:line="23" w:lineRule="exact"/>
        <w:rPr>
          <w:sz w:val="20"/>
          <w:szCs w:val="20"/>
          <w:color w:val="auto"/>
        </w:rPr>
      </w:pPr>
    </w:p>
    <w:p>
      <w:pPr>
        <w:sectPr>
          <w:pgSz w:w="11900" w:h="16838" w:orient="portrait"/>
          <w:cols w:equalWidth="0" w:num="2">
            <w:col w:w="9300" w:space="720"/>
            <w:col w:w="122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 September 30, 2025</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267,407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19,753</w:t>
            </w: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287,160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218,974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12,812</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231,786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14,413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3,979</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13,269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13,534</w:t>
            </w: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252,922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277,238</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14,485</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(6,760)</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Gain on economic hedges of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32"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18"/>
          <w:szCs w:val="18"/>
          <w:color w:val="auto"/>
        </w:rPr>
        <w:t>EARNINGS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1,127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(1,432)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700" w:hanging="695"/>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w:t>
      </w:r>
    </w:p>
    <w:p>
      <w:pPr>
        <w:spacing w:after="0" w:line="23" w:lineRule="exact"/>
        <w:rPr>
          <w:sz w:val="20"/>
          <w:szCs w:val="20"/>
          <w:color w:val="auto"/>
        </w:rPr>
      </w:pPr>
    </w:p>
    <w:p>
      <w:pPr>
        <w:sectPr>
          <w:pgSz w:w="11900" w:h="16838" w:orient="portrait"/>
          <w:cols w:equalWidth="0" w:num="2">
            <w:col w:w="9300" w:space="720"/>
            <w:col w:w="122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97,379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9,380</w:t>
            </w:r>
          </w:p>
        </w:tc>
        <w:tc>
          <w:tcPr>
            <w:tcW w:w="15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81,398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7,363</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88,761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94,710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106,983</w:t>
            </w:r>
          </w:p>
        </w:tc>
      </w:tr>
      <w:tr>
        <w:trPr>
          <w:trHeight w:val="25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(2,311)</w:t>
            </w:r>
          </w:p>
        </w:tc>
        <w:tc>
          <w:tcPr>
            <w:tcW w:w="24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Gain on economic hedges of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32" w:lineRule="exact"/>
        <w:rPr>
          <w:sz w:val="20"/>
          <w:szCs w:val="20"/>
          <w:color w:val="auto"/>
        </w:rPr>
      </w:pPr>
    </w:p>
    <w:p>
      <w:pPr>
        <w:jc w:val="right"/>
        <w:ind w:right="5020"/>
        <w:spacing w:after="0"/>
        <w:rPr>
          <w:sz w:val="20"/>
          <w:szCs w:val="20"/>
          <w:color w:val="auto"/>
        </w:rPr>
      </w:pPr>
      <w:r>
        <w:rPr>
          <w:rFonts w:ascii="Times New Roman" w:cs="Times New Roman" w:eastAsia="Times New Roman" w:hAnsi="Times New Roman"/>
          <w:sz w:val="18"/>
          <w:szCs w:val="18"/>
          <w:color w:val="auto"/>
        </w:rPr>
        <w:t>EARNINGS (LOSS)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194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(869)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780" w:hanging="77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(902)</w:t>
      </w:r>
    </w:p>
    <w:p>
      <w:pPr>
        <w:spacing w:after="0" w:line="23" w:lineRule="exact"/>
        <w:rPr>
          <w:sz w:val="20"/>
          <w:szCs w:val="20"/>
          <w:color w:val="auto"/>
        </w:rPr>
      </w:pPr>
    </w:p>
    <w:p>
      <w:pPr>
        <w:sectPr>
          <w:pgSz w:w="11900" w:h="16838" w:orient="portrait"/>
          <w:cols w:equalWidth="0" w:num="2">
            <w:col w:w="9300" w:space="720"/>
            <w:col w:w="122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 September 30, 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Flat-roll</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Tubular</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200,766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20,544</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materials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167,792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16,864</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184,656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4,604</w:t>
            </w:r>
          </w:p>
        </w:tc>
        <w:tc>
          <w:tcPr>
            <w:tcW w:w="15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16,558</w:t>
            </w:r>
          </w:p>
        </w:tc>
      </w:tr>
    </w:tbl>
    <w:p>
      <w:pPr>
        <w:sectPr>
          <w:pgSz w:w="11900" w:h="16838" w:orient="portrait"/>
          <w:cols w:equalWidth="0" w:num="1">
            <w:col w:w="11240"/>
          </w:cols>
          <w:pgMar w:left="320" w:top="121" w:right="3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11,095</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11,432</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2,979</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w:t>
            </w:r>
          </w:p>
        </w:tc>
      </w:tr>
      <w:tr>
        <w:trPr>
          <w:trHeight w:val="22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1,389</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6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195,431</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22,311</w:t>
            </w:r>
          </w:p>
        </w:tc>
        <w:tc>
          <w:tcPr>
            <w:tcW w:w="146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222,932</w:t>
            </w:r>
          </w:p>
        </w:tc>
      </w:tr>
      <w:tr>
        <w:trPr>
          <w:trHeight w:val="243"/>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(1,767)</w:t>
            </w:r>
          </w:p>
        </w:tc>
        <w:tc>
          <w:tcPr>
            <w:tcW w:w="14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(5,190)</w:t>
            </w:r>
          </w:p>
        </w:tc>
        <w:tc>
          <w:tcPr>
            <w:tcW w:w="3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economic hedges of risk</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49"/>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279,119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204,890</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50"/>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304,447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221,682</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corporate assets</w:t>
            </w: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311,289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226,822</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General corporate expenses reflect general and administrative expenses not directly associated with segment operations and consist primarily of payroll expenses related to corporate functions, professional fees and services, retirement plan contribution expense, corporate insurance expenses, restricted stock plan compensation expense and office supplies. At September 30, 2025 and March 31, 2025, corporate assets consist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metal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two reportable segments: Flat-Roll and Tubular. Flat-roll primarily generates revenue from cutting to length or slitting flat-roll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metals. Flat-roll segment revenue consists of two product types: Company Owned Flat-Roll Products and Processing or Storage of Customer Owned Coil.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Tubular primarily generates revenue from selling steel pipe it has manufactured resulting in a single product type: Manufactured Pipe.</w:t>
      </w:r>
    </w:p>
    <w:p>
      <w:pPr>
        <w:spacing w:after="0" w:line="20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our revenue by product for each of our reportable business segments for the three and six months ended September 30, 2025 and 2024, respectively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Flat-Roll Segment: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Flat-Roll Products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141,694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198,066</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or Storage of Customer Owned Coil</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r>
      <w:tr>
        <w:trPr>
          <w:trHeight w:val="263"/>
        </w:trPr>
        <w:tc>
          <w:tcPr>
            <w:tcW w:w="5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143,340</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267,407</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200,766</w:t>
            </w:r>
          </w:p>
        </w:tc>
        <w:tc>
          <w:tcPr>
            <w:tcW w:w="100" w:type="dxa"/>
            <w:vAlign w:val="bottom"/>
            <w:tcBorders>
              <w:bottom w:val="single" w:sz="8" w:color="CCEEFF"/>
            </w:tcBorders>
          </w:tcPr>
          <w:p>
            <w:pPr>
              <w:spacing w:after="0"/>
              <w:rPr>
                <w:sz w:val="22"/>
                <w:szCs w:val="22"/>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20,544</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STOCKHOLDERS’ EQUITY</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six months ended September 30, 2025 and September 30, 2024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9"/>
                <w:szCs w:val="19"/>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9"/>
                <w:szCs w:val="19"/>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63"/>
        </w:trPr>
        <w:tc>
          <w:tcPr>
            <w:tcW w:w="462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35,294</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98,572</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129,687</w:t>
            </w:r>
          </w:p>
        </w:tc>
        <w:tc>
          <w:tcPr>
            <w:tcW w:w="100" w:type="dxa"/>
            <w:vAlign w:val="bottom"/>
            <w:tcBorders>
              <w:bottom w:val="single" w:sz="8" w:color="CCEEFF"/>
            </w:tcBorders>
          </w:tcPr>
          <w:p>
            <w:pPr>
              <w:spacing w:after="0"/>
              <w:rPr>
                <w:sz w:val="22"/>
                <w:szCs w:val="22"/>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($0.04 per share)</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462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Allocation to unvested restricted stock units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earnings (loss) attributable to common shareholders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3"/>
              </w:rPr>
              <w:t>2,210</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6,965,880</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6,939,416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6,965,880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6,939,312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For the six months ended September 30, 2025 and 2024, the Company allocated dividends and undistributed earnings to the unvested restricted stock awards.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awards were not accounted in the computation of weighted average diluted common shares outstanding under the two-class method: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80" w:type="dxa"/>
            <w:vAlign w:val="bottom"/>
          </w:tcPr>
          <w:p>
            <w:pPr>
              <w:spacing w:after="0"/>
              <w:rPr>
                <w:sz w:val="20"/>
                <w:szCs w:val="20"/>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SUPPLEMENTAL CASH FLOW INFORMATION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September 30, 2025, the Company had non-cash investing and financing activities associated with the Century Metals</w:t>
      </w:r>
    </w:p>
    <w:p>
      <w:pPr>
        <w:spacing w:after="0" w:line="27" w:lineRule="exact"/>
        <w:rPr>
          <w:sz w:val="20"/>
          <w:szCs w:val="20"/>
          <w:color w:val="auto"/>
        </w:rPr>
      </w:pPr>
    </w:p>
    <w:p>
      <w:pPr>
        <w:jc w:val="both"/>
        <w:ind w:firstLine="8"/>
        <w:spacing w:after="0" w:line="253" w:lineRule="auto"/>
        <w:tabs>
          <w:tab w:leader="none" w:pos="2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acquisition of approximately $3.5 million related to a seller's note and approximately $3.6 million related to contingent consideration. The Company paid interest of approximately $1.3 million and $1.6 million during the six months ended September 30, 2025 and 2024, respectively. Additionally, the Company paid income taxes of approximately $3.0 million and $2.9 million during the six months ended September 30, 2025 and 2024,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INCOME TAXES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2025 and 2024, the Company recorded income tax provisions of approximately $2.4 million and $0.5 million, respectively. For the 2025 period, the effective tax rate differed from the federal statutory rate due primarily to the inclusion of state tax expenses in the provision. For the 2024 period, the effective tax rate differed from the federal statutory rate due primarily to the inclusion of state tax expenses in the provision with this impact partially reduced by the tax effect of restricted stock vesting during the periods.</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metals and operates in two reportable segments: flat-roll products and tubular products.</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flat-roll product segment consists of flat-roll processing facilities located in Hickman, Arkansas; Decatur, Alabama; Miami, Florida; East Chicago, Indiana; Granite City, Illinois and Sinton, Texas and a flat-roll distribution facility located in Orlando, Florida. The Hickman, Granite City and East Chicago facilities operate temper mills and cut-to-length lines. The Decatur and Sinton facilities operate stretcher leveler cut-to-length lines. The Miami facility operates a corrective leveling cut-to-length line and a coil slitting line. The processing equipment improves the quality of the material and cuts the material into sheet, plate or slit coil. On a combined basis, the facilities are capable of cutting sheet and plate with thicknesses ranging from 30 gauge to 1” thick in widths ranging from 11” wide to 96” wide. The flat-roll segment is able to produce slit coil with thickness ranging from 32 gauge to 10 gauge in widths ranging from 1/2" wide to 60" wide. The vast majority of flat-roll product segment revenue is generated from sales of Company owned inventory but the segment also generates revenue from the processing or storage of customer owned material on a fee basis.</w:t>
      </w:r>
    </w:p>
    <w:p>
      <w:pPr>
        <w:spacing w:after="0" w:line="19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September 30, 2025 Compared to Six Months Ended September 30, 2024</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six months ended September 30, 2025 (the “2025 period”), sales, cost of materials sold and adjusted gross profit increased approximately $65.9 million, $47.1 million and $18.7 million, respectively, compared to the amounts recorded during the six months ended September 30, 2024 (the “2024 period”). Adjusted gross profit is a non-GAAP measure calculated as sales minus cost of materials sold. The increase in sales was primarily due to an increase in sales volume. Sales volume for the 2025 period consisted of approximately 296,500 tons from inventory and another 43,500 tons of toll processing customer owned material compared to the 2024 period volume consisting of approximately 240,000 tons from inventory and 42,000 tons of toll processing. The increase in sales volume for the 2025 period was primarily related to a combination of stronger demand among some customers and successful commercial efforts to increase capacity utilization. Adjusted gross profit was approximately $55.4 million for the 2025 period compared to approximately $36.7 million for the 2024 period. Adjusted gross profit as a percentage of sales was approximately 19.3% for the 2025 period compared to approximately 16.6% for the 2024 period.</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prices of the metals we purchase. Most of the Company's revenue is generated from the processing of hot-rolled steel coil ("HRC") or derivative products from HRC. Entering the 2025 period, HRC price had reached the top of a price cycle. Prices remained fairly stable for the first half of the 2025 period and then declined approximately 10% during the second half of the 2025 period. As a result, the Company experienced stronger margins at the start of the 2025 period which then tapered off during the remainder of the period. Entering the 2024 period, HRC price was on a predominately declining trend dropping approximately 40% from January 2024 through the middle of August 2024. As a result, the Company experienced compressed physical margins throughout the 2024 period. The Company utilizes HRC futures, options and swaps to partially manage exposure to commodity price risk. The Company recognized hedging related gains of approximately $1.1 million in the 2025 period compared to hedging related gains of approximately $5.6 million in the 2024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2025 period totaled approximately $267.4 million compared to approximately $200.8 million for the 2024 period. For a more complete understanding of the average selling prices of goods sold, it is helpful to exclude any sales generated from processing or storage of customer owned material. Sales generated from processing or storage of customer owned material totaled approximately $2.9 million for the 2025 period and approximately $2.7 million for the 2024 period. Sales generated from flat-roll segment inventory totaled approximately $264.5 million for the 2025 period compared to approximately $198.1 million for the 2024 period. The average per ton selling price related to these shipments increased from approximately $895 per ton in the 2024 period to approximately $946 per ton in the 2025 period. Sales volume for the 2025 period consisted of approximately 280,000 tons from inventory and another 43,500 tons of toll processing customer owned material compared to the 2024 period volume consisting of approximately 221,500 tons from inventory and 42,000 tons of toll processing. The increase in sales volume for the 2025 period was related to a combination of stronger demand among some customers and successful commercial efforts to increase capacity utilization. Flat-roll segment operations recorded earnings from operations of approximately $14.5 million and $5.3 million for the 2025 period and 2024 period,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Tubular product segment sales for the 2025 period totaled approximately $19.8 million compared to approximately $20.5 million for the 2024 period. Sales decreased primarily due to a decline in tons sold, offset by an increase in the average selling price per ton. Tons sold decreased from approximately 19,000 tons in the 2024 period to approximately 16,500 tons in 2025 period. The average per ton selling price increased from approximately $1,087 per ton for the 2024 period to approximately $1,196 per ton for the 2025 period. The tubular segment recorded earnings from operations of approximately $2.2 million for the 2025 period compared to a loss from operations of approximately $1.8 million for the 2024 period.</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2025 period, selling, general and administrative costs increased approximately $3.3 million compared to the 2024 period. This increase is primarily related to increased incentive compensation expense due to the higher earnings in the 2025 period compared to the 2024 period and approximately $1.1 million of non-recurring transaction related expenses associated with the acquisition of Century Metals &amp; Supplies.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Income taxes increased from a provision for the 2024 period of approximately $0.5 million to a provision for the 2025 period of approximately $2.4 million. This increase was primarily related to increased earnings before taxes for the 2025 period. The income tax provision as a percentage of earnings before tax was approximately 24.5% and 21.1% for the six months ended September 30, 2025 and 2024, respectively. For the 2025 period, the effective tax rate differed from the federal statutory rate due primarily to the inclusion of state tax expenses in the provision. For the 2024 period, the effective tax rate differed from the federal statutory rate due primarily to the inclusion of state tax expenses in the provision with this impact partially reduced by the tax effect of restricted stock vesting during the periods.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to Three Months Ended September 30, 2024</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(the “2025 quarter”), sales, cost of materials sold and adjusted gross profit increased approximately $45.6 million, $37.3 million and $8.3 million, respectively, compared to the amounts recorded during the three months ended September 30, 2024 (the “2024 quarter”). Adjusted gross profit is a non-GAAP measure calculated as sales minus cost of materials sold. The increase in sales was primarily due to an increase in sales volume. Sales volume for the 2025 quarter consisted of approximately 154,500 tons from inventory and another 24,500 tons of toll processing customer owned material compared to the 2024 quarter volume consisting of approximately 121,500 tons from inventory and 18,000 tons of toll processing. The increase in sales volume for the 2025 quarter was primarily related to a combination of stronger demand among some customers and successful commercial efforts to increase capacity utilization. Adjusted gross profit was approximately $26.3 million for the 2025 quarter compared to approximately $18.0 million for the 2024 quarter. Adjusted gross profit as a percentage of sales was approximately 17.3% for the 2025 quarter compared to approximately 16.9% for the 2024 quarter.</w:t>
      </w:r>
    </w:p>
    <w:p>
      <w:pPr>
        <w:spacing w:after="0" w:line="18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prices of the metals we purchase. Most of the Company's revenue is generated from the processing of hot-rolled steel coil ("HRC") or derivative products from HRC. Both the 2025 quarter and the 2024 quarter experienced compressed physical margins associated with declining HRC prices. The Company utilizes HRC futures, options and swaps to partially manage exposure to commodity price risk. The Company recognized hedging related gains of approximately $0.9 million and $0.2 million in the 2025 and 2024 quarters,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Flat-roll product segment sales for the 2025 quarter totaled approximately $143.3 million compared to approximately $97.4 million for the 2024 quarter. For a more complete understanding of the average selling prices of goods sold, it is helpful to exclude any sales generated from processing or storage of customer owned material. Sales generated from processing or storage of customer owned material totaled approximately $1.6 million for the 2025 quarter and approximately $1.1 million for the 2024 quarter. Sales generated from flat-roll segment inventory totaled approximately $141.7 million for the 2025 quarter compared to approximately $96.2 million for the 2024 quarter. The average per ton selling price related to these shipments increased from approximately $858 per ton in the 2024 quarter to approximately $963 per ton in the 2025 quarter. Sales volume for the 2025 quarter consisted of approximately 147,000 tons from inventory and another 24,500 tons of toll processing customer owned material compared to the 2024 quarter volume consisting of approximately 112,000 tons from inventory and 18,000 tons of toll processing. The increase in sales volume for the 2025 quarter was related to a combination of stronger demand among some customers and successful commercial efforts to increase capacity utilization. Flat-roll segment operations recorded earnings from operations of approximately $5.7 million and $2.7 million for the 2025 quarter and 2024 quarter, respectively.</w:t>
      </w:r>
    </w:p>
    <w:p>
      <w:pPr>
        <w:spacing w:after="0" w:line="194"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Tubular product segment sales for the 2025 quarter totaled approximately $9.0 million compared to approximately $9.4 million for the 2024 quarter. Sales decreased primarily due to a decline in tons sold, offset by an increase in the average selling price per ton. Tons sold decreased from approximately 9,000 tons in the 2024 quarter to approximately 7,500 tons in 2025 quarter. The average per ton selling price increased from approximately $1,030 per ton for the 2024 quarter to approximately $1,185 per ton for the 2025 quarter. The tubular segment recorded earnings from operations of approximately $0.9 million for the 2025 quarter compared to a loss from operations of approximately $0.6 million for the 2024 quarter.</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2025 quarter, selling, general and administrative costs increased approximately $2.3 million compared to the 2024 quarter. This increase is primarily related to increased incentive compensation expense due to the higher earnings in the 2025 quarter compared to the 2024 quarter and approximately $0.9 million of non-recurring transaction related expenses associated with the acquisition of Century Metals &amp; Supplies..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Income taxes increased from a benefit for the 2024 quarter of approximately $0.2 million to a provision for the 2025 quarter of approximately $0.7 million. This increase was primarily related to increased earnings before taxes for the 2025 quarter. The income tax provision or benefit as a percentage of earnings before tax was approximately 24.8% and 25.2% for the 2025 quarter and 2024 quarter, respectively. For both quarters, the effective tax rate differed from the federal statutory rate due primarily to the inclusion of state tax expenses in the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Information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purchased metals, inbound freight, transfer freight and certain external processing costs.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purchased metals.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GAAP measure for gross profit to the non-GAAP measure adjusted gross profit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(GAAP measure)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warehousing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r>
      <w:tr>
        <w:trPr>
          <w:trHeight w:val="22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 (non-GAAP measure presented)</w:t>
            </w:r>
          </w:p>
        </w:tc>
        <w:tc>
          <w:tcPr>
            <w:tcW w:w="740" w:type="dxa"/>
            <w:vAlign w:val="bottom"/>
          </w:tcPr>
          <w:p>
            <w:pPr>
              <w:spacing w:after="0"/>
              <w:rPr>
                <w:sz w:val="19"/>
                <w:szCs w:val="19"/>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3.2 at September 30, 2025 and 4.3 at March 31, 2025. Working capital was approximately $159.9 million at September 30, 2025 and $128.1 million at March 31, 2025.</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2025, the Company maintained assets and liabilities at levels it believed were commensurate with operations. Changes in balance sheet amounts occurred in the ordinary course of business and due to the acquisition of Century Metals &amp; Supplies resulting in notable increases to accounts receivable, inventory, fixed assets, accounts payable and ABL facility debt. The Company expects to continue to monitor, evaluate and manage balance sheet components depending on changes in market conditions and the Company’s operations.</w:t>
      </w:r>
    </w:p>
    <w:p>
      <w:pPr>
        <w:spacing w:after="0" w:line="18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On August 29, 2025, the Company renewed its asset-based lending facility ("ABL Facility") led by JPMorgan Chase Bank, N.A by executing the fifth amendment to the credit agreement. Wells Fargo Bank, N.A. became the only syndicated participant of the ABL facility with a 40% holding. The $125 million ABL Facility matures on August 29, 2030 and is secured by substantially all of the assets of the Company. The Company can elect borrowings on a floating rate basis or a term basis. Floating rate borrowings accrue interest at a rate equal to the prime rate minus 1.45% per annum. Term rate borrowings accrue interest at a rate equal to the SOFR rate applicable to the selected term plus 1.65%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10% of the revolving commitment or $12.5 million. The financial covenant restricts the Company from allowing its fixed charge coverage ratio to be, as of the end of any calendar month, less than 1.00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up to an aggregate of $75 million, in minimum increments of $5 million. At September 30, 2025, the Company had a balance of approximately $83.5 million under the ABL Facility with an applicable interest rate of 5.8%. As of the filing date of this Form 10-Q, the Company had borrowings of approximately $84.2 million outstanding under the ABL Facility and the Company's most recent borrowing base calculation supported full access to the ABL Facility.</w:t>
      </w:r>
    </w:p>
    <w:p>
      <w:pPr>
        <w:spacing w:after="0" w:line="19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utilizes hot-rolled coil futures, options and swaps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of approximately $1.1 million and $5.6 million in the six months ended September 30, 2025 and 2024, respectively,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9 for additional information related to the Company's hedging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left="160" w:firstLine="324"/>
        <w:spacing w:after="0" w:line="266" w:lineRule="auto"/>
        <w:rPr>
          <w:sz w:val="20"/>
          <w:szCs w:val="20"/>
          <w:color w:val="auto"/>
        </w:rPr>
      </w:pPr>
      <w:r>
        <w:rPr>
          <w:rFonts w:ascii="Times New Roman" w:cs="Times New Roman" w:eastAsia="Times New Roman" w:hAnsi="Times New Roman"/>
          <w:sz w:val="18"/>
          <w:szCs w:val="18"/>
          <w:color w:val="auto"/>
        </w:rPr>
        <w:t>The Company anticipates that third quarter fiscal 2026 sales volume will remain consistent with second quarter levels, as the additional volume from the Century Metals &amp; Supplies acquisition is expected to offset the anticipated holiday-related slowdown during the quarter. Margins are expected to improve modestly quarter over quarter, driven by anticipated increases in metals pricing during the third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The determination of fair values related to the Century Metals &amp; Supplies business combination accounting involves significant estimates and judgements in the valuation process. Actual results could differ from any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September 30, 2025 to ensure that information that is required to be disclosed by the Company in the reports it files or submits under the Exchange Act is (i) recorded, processed, summarized and reported within the time periods specified in the SEC’s rules and forms and</w:t>
      </w:r>
    </w:p>
    <w:p>
      <w:pPr>
        <w:spacing w:after="0" w:line="12" w:lineRule="exact"/>
        <w:rPr>
          <w:sz w:val="20"/>
          <w:szCs w:val="20"/>
          <w:color w:val="auto"/>
        </w:rPr>
      </w:pPr>
    </w:p>
    <w:p>
      <w:pPr>
        <w:ind w:right="20" w:firstLine="8"/>
        <w:spacing w:after="0" w:line="260" w:lineRule="auto"/>
        <w:tabs>
          <w:tab w:leader="none" w:pos="2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the Company’s management, including the CEO and principal financial officer, as appropriate, to allow timely decisions regarding required disclosure.</w:t>
      </w:r>
    </w:p>
    <w:p>
      <w:pPr>
        <w:spacing w:after="0" w:line="1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fiscal quarter ended September 30, 2025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September 30, 2025, none of our officers or directors adopted, modified or terminated a “Rule 10b5-1 trading arrangement” or a “non-Rule 10b5-1 trading arrangement,” as each term is defined in Item 408(a) and (c), respectively, of Regulation S-K, for the purchase or sale of our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r>
      <w:tr>
        <w:trPr>
          <w:trHeight w:val="196"/>
        </w:trPr>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on December 21, 2016).</w:t>
              </w:r>
            </w:hyperlink>
          </w:p>
        </w:tc>
        <w:tc>
          <w:tcPr>
            <w:tcW w:w="7900" w:type="dxa"/>
            <w:vAlign w:val="bottom"/>
            <w:gridSpan w:val="3"/>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r>
      <w:tr>
        <w:trPr>
          <w:trHeight w:val="196"/>
        </w:trPr>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1987 (incorporated by reference from Exhibit 3.1 to the Company’s Form S-8 filed on December 21, 2016).</w:t>
              </w:r>
            </w:hyperlink>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r>
      <w:tr>
        <w:trPr>
          <w:trHeight w:val="196"/>
        </w:trPr>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the Company's Form 10-Q filed on November 19, 2021).</w:t>
              </w:r>
            </w:hyperlink>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Friedman Industries, Incorporated Key Employee Change In Control Severance Plan. (incorporated by reference from Exhibit 10.1 to</w:t>
              </w:r>
            </w:hyperlink>
          </w:p>
        </w:tc>
      </w:tr>
      <w:tr>
        <w:trPr>
          <w:trHeight w:val="196"/>
        </w:trPr>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the Company's Form 10-Q filed on November 12, 2024).</w:t>
              </w:r>
            </w:hyperlink>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48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w w:val="95"/>
              </w:rPr>
              <w:t>10.2</w:t>
            </w:r>
          </w:p>
        </w:tc>
        <w:tc>
          <w:tcPr>
            <w:tcW w:w="9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Fifth Amendment to Amended and Restated Credit Agreement and Second Amendment to Security Agreement (incorporated by</w:t>
              </w:r>
            </w:hyperlink>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9640" w:type="dxa"/>
            <w:vAlign w:val="bottom"/>
            <w:gridSpan w:val="2"/>
            <w:vMerge w:val="restart"/>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reference from Exhibit 10.1 to the Company’s Form 8-K dated August 29, 2025, filed on September 3, 2025).</w:t>
              </w:r>
            </w:hyperlink>
          </w:p>
        </w:tc>
        <w:tc>
          <w:tcPr>
            <w:tcW w:w="0" w:type="dxa"/>
            <w:vAlign w:val="bottom"/>
          </w:tcPr>
          <w:p>
            <w:pPr>
              <w:spacing w:after="0"/>
              <w:rPr>
                <w:sz w:val="1"/>
                <w:szCs w:val="1"/>
                <w:color w:val="auto"/>
              </w:rPr>
            </w:pPr>
          </w:p>
        </w:tc>
      </w:tr>
      <w:tr>
        <w:trPr>
          <w:trHeight w:val="67"/>
        </w:trPr>
        <w:tc>
          <w:tcPr>
            <w:tcW w:w="1480" w:type="dxa"/>
            <w:vAlign w:val="bottom"/>
          </w:tcPr>
          <w:p>
            <w:pPr>
              <w:spacing w:after="0"/>
              <w:rPr>
                <w:sz w:val="5"/>
                <w:szCs w:val="5"/>
                <w:color w:val="auto"/>
              </w:rPr>
            </w:pPr>
          </w:p>
        </w:tc>
        <w:tc>
          <w:tcPr>
            <w:tcW w:w="9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9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0" w:hanging="22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Pursuant to Section 302 of the Sarbanes-Oxley Act of 2002, signed by Michael J. Taylor.</w:t>
      </w:r>
    </w:p>
    <w:p>
      <w:pPr>
        <w:spacing w:after="0" w:line="225" w:lineRule="exact"/>
        <w:rPr>
          <w:rFonts w:ascii="Times New Roman" w:cs="Times New Roman" w:eastAsia="Times New Roman" w:hAnsi="Times New Roman"/>
          <w:sz w:val="18"/>
          <w:szCs w:val="18"/>
          <w:color w:val="auto"/>
        </w:rPr>
      </w:pPr>
    </w:p>
    <w:p>
      <w:pPr>
        <w:ind w:left="320" w:hanging="22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Pursuant to Section 302 of the Sarbanes-Oxley Act of 2002, signed by Alex LaRue.</w:t>
      </w:r>
    </w:p>
    <w:p>
      <w:pPr>
        <w:spacing w:after="0" w:line="225" w:lineRule="exact"/>
        <w:rPr>
          <w:rFonts w:ascii="Times New Roman" w:cs="Times New Roman" w:eastAsia="Times New Roman" w:hAnsi="Times New Roman"/>
          <w:sz w:val="18"/>
          <w:szCs w:val="18"/>
          <w:color w:val="auto"/>
        </w:rPr>
      </w:pPr>
    </w:p>
    <w:p>
      <w:pPr>
        <w:ind w:left="1160" w:right="20" w:hanging="1062"/>
        <w:spacing w:after="0" w:line="282" w:lineRule="auto"/>
        <w:tabs>
          <w:tab w:leader="none" w:pos="-1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 signed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Michael J. Taylor.</w:t>
      </w:r>
    </w:p>
    <w:p>
      <w:pPr>
        <w:spacing w:after="0" w:line="161" w:lineRule="exact"/>
        <w:rPr>
          <w:rFonts w:ascii="Times New Roman" w:cs="Times New Roman" w:eastAsia="Times New Roman" w:hAnsi="Times New Roman"/>
          <w:sz w:val="18"/>
          <w:szCs w:val="18"/>
          <w:color w:val="auto"/>
        </w:rPr>
      </w:pPr>
    </w:p>
    <w:p>
      <w:pPr>
        <w:ind w:left="1160" w:right="20" w:hanging="1062"/>
        <w:spacing w:after="0" w:line="282" w:lineRule="auto"/>
        <w:tabs>
          <w:tab w:leader="none" w:pos="-1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 signed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Alex LaRue.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File (formatted as Inline XBRL and contained in Exhibit 101)</w:t>
            </w:r>
          </w:p>
        </w:tc>
      </w:tr>
      <w:tr>
        <w:trPr>
          <w:trHeight w:val="43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978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20</w:t>
            </w:r>
          </w:p>
        </w:tc>
      </w:tr>
      <w:tr>
        <w:trPr>
          <w:trHeight w:val="115"/>
        </w:trPr>
        <w:tc>
          <w:tcPr>
            <w:tcW w:w="1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September 30, 2025,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10, 2025</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September 30, 2025,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10, 2025</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amp;"/>
      <w:numFmt w:val="bullet"/>
      <w:start w:val="1"/>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43" Type="http://schemas.openxmlformats.org/officeDocument/2006/relationships/hyperlink" Target="http://www.sec.gov/Archives/edgar/data/39092/000143774916043636/ex3-1.htm" TargetMode="External"/><Relationship Id="rId44" Type="http://schemas.openxmlformats.org/officeDocument/2006/relationships/hyperlink" Target="http://www.sec.gov/Archives/edgar/data/39092/000143774921027176/ex_309205.htm" TargetMode="External"/><Relationship Id="rId45" Type="http://schemas.openxmlformats.org/officeDocument/2006/relationships/hyperlink" Target="http://www.sec.gov/Archives/edgar/data/39092/000143774924034552/ex_745623.htm" TargetMode="External"/><Relationship Id="rId46" Type="http://schemas.openxmlformats.org/officeDocument/2006/relationships/hyperlink" Target="http://www.sec.gov/Archives/edgar/data/39092/000143774925028241/ex_8585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2025-11-10T15:45:56Z</dcterms:created>
  <dcterms:modified xsi:type="dcterms:W3CDTF">2025-11-10T15:45:56Z</dcterms:modified>
</cp:coreProperties>
</file>