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180" w:right="1660" w:hanging="3172"/>
        <w:spacing w:after="0" w:line="500" w:lineRule="auto"/>
        <w:tabs>
          <w:tab w:leader="none" w:pos="4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February 9, 2026, the number of shares outstanding of the issuer’s only class of stock was 7,112,182 shares of Common Stock.</w:t>
      </w:r>
    </w:p>
    <w:p>
      <w:pPr>
        <w:sectPr>
          <w:pgSz w:w="11900" w:h="16838" w:orient="portrait"/>
          <w:cols w:equalWidth="0" w:num="1">
            <w:col w:w="11240"/>
          </w:cols>
          <w:pgMar w:left="320" w:top="472" w:right="339" w:bottom="204"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8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8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2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960" w:type="dxa"/>
            <w:vAlign w:val="bottom"/>
            <w:tcBorders>
              <w:top w:val="single" w:sz="8" w:color="CCEEFF"/>
            </w:tcBorders>
            <w:gridSpan w:val="9"/>
          </w:tcPr>
          <w:p>
            <w:pPr>
              <w:spacing w:after="0"/>
              <w:rPr>
                <w:sz w:val="15"/>
                <w:szCs w:val="15"/>
                <w:color w:val="auto"/>
              </w:rPr>
            </w:pPr>
          </w:p>
        </w:tc>
        <w:tc>
          <w:tcPr>
            <w:tcW w:w="18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10"/>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$147 at December 31, and March 31, 2025</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47,476</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169,173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113,689</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231,477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166,467</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33,344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30,393</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62,003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57,970</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(36,152)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(33,819)</w:t>
            </w:r>
          </w:p>
        </w:tc>
      </w:tr>
      <w:tr>
        <w:trPr>
          <w:trHeight w:val="210"/>
        </w:trPr>
        <w:tc>
          <w:tcPr>
            <w:tcW w:w="7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4,906</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8"/>
                <w:szCs w:val="18"/>
                <w:color w:val="auto"/>
              </w:rPr>
            </w:pPr>
          </w:p>
        </w:tc>
      </w:tr>
      <w:tr>
        <w:trPr>
          <w:trHeight w:val="250"/>
        </w:trPr>
        <w:tc>
          <w:tcPr>
            <w:tcW w:w="7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311,859</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226,822</w:t>
            </w:r>
          </w:p>
        </w:tc>
      </w:tr>
      <w:tr>
        <w:trPr>
          <w:trHeight w:val="196"/>
        </w:trPr>
        <w:tc>
          <w:tcPr>
            <w:tcW w:w="7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59,868</w:t>
            </w:r>
          </w:p>
        </w:tc>
        <w:tc>
          <w:tcPr>
            <w:tcW w:w="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35,304</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64,414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38,324</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SELLER NOTE PAYABLE, NET</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CONTINGENT CONSIDERATION LIABILITY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47,728</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169,645</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94,397</w:t>
            </w:r>
          </w:p>
        </w:tc>
      </w:tr>
      <w:tr>
        <w:trPr>
          <w:trHeight w:val="210"/>
        </w:trPr>
        <w:tc>
          <w:tcPr>
            <w:tcW w:w="7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9,019,505 and</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8,877,229 shares at December 31, and March 31, 2025</w:t>
            </w:r>
          </w:p>
        </w:tc>
        <w:tc>
          <w:tcPr>
            <w:tcW w:w="10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8,877</w:t>
            </w:r>
          </w:p>
        </w:tc>
      </w:tr>
      <w:tr>
        <w:trPr>
          <w:trHeight w:val="21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35,592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35,394</w:t>
            </w:r>
          </w:p>
        </w:tc>
      </w:tr>
      <w:tr>
        <w:trPr>
          <w:trHeight w:val="198"/>
        </w:trPr>
        <w:tc>
          <w:tcPr>
            <w:tcW w:w="7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(shares 1,907,323 and 1,906,693 shares at December 31, and March 31, 2025,</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(13,110)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(13,100)</w:t>
            </w:r>
          </w:p>
        </w:tc>
      </w:tr>
      <w:tr>
        <w:trPr>
          <w:trHeight w:val="216"/>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110,712</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167,974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455,134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315,384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materials sold (excludes items shown separately below)</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137,472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263,165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164,075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318,346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197"/>
        </w:trPr>
        <w:tc>
          <w:tcPr>
            <w:tcW w:w="5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bl>
    <w:p>
      <w:pPr>
        <w:spacing w:after="0" w:line="179"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Gain recognized on open derivatives not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 net of amounts acquired in business combination: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15,602</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 net of amounts assumed in business combination::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14,914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(2,861)</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(5,083)</w:t>
            </w:r>
          </w:p>
        </w:tc>
      </w:tr>
      <w:tr>
        <w:trPr>
          <w:trHeight w:val="210"/>
        </w:trPr>
        <w:tc>
          <w:tcPr>
            <w:tcW w:w="80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Century business combination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Deposit on steel processing equipment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(51,442)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issuance cost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Borrowings on asset based lending facility</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603,055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470,404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Repayments on asset based lending facility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(562,178)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(478,188)</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(8,845)</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RESTRICTED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both December 31, 2025 and March 31, 2025 included approximately $0.5 million of cash required to collateralize open derivative positions. These amounts are reported in "Other current assets" on the Company's consolidated balance sheets at December 31, 2025 and March 31, 2025. The Company had approximately $0.1 million in restricted cash as of December 31,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BUSINESS COMBINATIONS</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August 29, 2025, (the “Acquisition Date”), the Company acquired certain assets and liabilities of Century Metals &amp; Supplies Inc. (“Century”) based in Miami, Florida. The Company acquired the working capital, buildings, processing and other equipment, and the related real estate of Century (the “Transaction”). In addition to the owned facilities in Miami, the Transaction also includes leased distribution and warehouse facilities in Orlando, Florida and Tampa, Florida. The operations will continue as Century Metals and Supplies LLC, a wholly owned subsidiary of the Company. Century is a metals processing company with cut-to-length and coil slitting capabilities which will operate as part of the Company's flat-roll business segment. As a result of the Transaction, the Company expanded its presence in the southeastern U.S. and Latin American markets and broadened the Company's product offerings to include cold-rolled, coated, and stainless steels, as well as non-ferrous materials such as aluminum, copper, and brass.</w:t>
      </w:r>
    </w:p>
    <w:p>
      <w:pPr>
        <w:spacing w:after="0" w:line="18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Transaction resulted in the Company acquiring all the ownership interests in the assets noted above, for a total consideration of approximately $52.7 million, subject to final net working capital adjustments. The total consideration consists of (i) approximately $45.6 million of cash at close, (ii) a five-year seller's note with a fair value of approximately $3.5 million and (iii) contingent consideration possible through earn-out provisions with a fair value of approximately $3.6 million. The contingent consideration allows for up to $10 million in additional consideration over a four-year period based on certain performance metrics and is not contingent on the sellers employment with Century at the time of the payout and, as such, the fair value of such contingent consideration was recognized as consideration transferred.</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seller’s note was fair valued using a discounted cash flow analysis of the expected future payments, for which the significant inputs included the rate of return based on a reference rate plus a spread and the expected cash flows associated with the seller’s note over the remaining time to maturity. The contingent consideration was fair valued using a Monte Carlo simulation of the potential cash payments to the sellers utilizing an estimate of the average future EBITDA, which was discounted to present value. The significant inputs to the Monte Carlo simulation included projected future EBITDA, a discount rate, EBITDA targets, maximum payout and EBITDA volatility. Such contingent consideration is required to be measured at fair value at inception and at each reporting period. The Company performed a fair value analysis at December 31, 2025 and concluded the fair value was unchanged from the preceding reporting period. There were no changes to the valuation methodology during the interim period. As of December 31, 2025, the value of the contingent consideration was approximately $3.6 million and is included within current and long-term contingent consideration liabilities on the consolidated balance sheet.</w:t>
      </w:r>
    </w:p>
    <w:p>
      <w:pPr>
        <w:spacing w:after="0" w:line="18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was accounted for using the acquisition method of accounting, in accordance with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 The estimated fair values of assets acquired and liabilities assumed are provisional and are based on the information that was available as of the Acquisition Date to estimate the fair value of assets acquired and liabilities assumed. Therefore, the provisional measurements of fair value reflected are subject to change and such changes could be significant. The Company expects to finalize its fair value estimates as soon as practicable but no later than one year from the Acquisition Date.</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12,672</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34,623</w:t>
            </w: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14,428</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(9,083)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give effect to the Transaction as if it had been completed as of April 1, 2024 (in thousands).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386,955</w:t>
            </w:r>
          </w:p>
        </w:tc>
        <w:tc>
          <w:tcPr>
            <w:tcW w:w="80" w:type="dxa"/>
            <w:vAlign w:val="bottom"/>
            <w:shd w:val="clear" w:color="auto" w:fill="CCEEFF"/>
          </w:tcPr>
          <w:p>
            <w:pPr>
              <w:spacing w:after="0"/>
              <w:rPr>
                <w:sz w:val="18"/>
                <w:szCs w:val="18"/>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15,734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r>
    </w:tbl>
    <w:p>
      <w:pPr>
        <w:spacing w:after="0" w:line="17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acquisition specific costs of approximately $0.2 million and $1.3 million in the three and nine month periods ended December 31, 2025 as a component of "Selling, general and administrative" expenses on the Condensed Consolidated Statement of Operation.</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NEW ACCOUNTING PRONOUNCEMENTS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Improvements to Income Tax Disclosures ("ASU 2023-09"). ASU 2023-09 requires that an entity disclose specific categories in the rate reconciliation, provide additional information for reconciling items that are greater than 5 percent of the amount computed by multiplying pretax income (or loss) by the applicable statutory income tax rate, and provide income taxes paid by jurisdiction that are greater than 5 percent of total income taxes paid. The standard also requires that entities disclose income (or loss) from continuing operations before income tax expense (or benefit) and income tax expense (or benefit) each disaggregated between domestic and foreign operations. ASU 2023-09 is effective for annual periods beginning after December 15, 2024. Early adoption is permitted for annual financial statements that have not yet been issued or made available for issuance. ASU 2023-09 is to be applied on a prospective basis, but retrospective application is permitted. The Company is evaluating the impact that adoption of the provisions of ASU 2023-09 will have on its consolidated financial statements.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INVENTORIES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operates in two segments: the flat-roll segment and the tubular segment. Both the flat-roll segment and tubular segment inventories consist of raw material and finished goods. Cost for all of the Company's flat-roll segment inventory, except for inventory of the Century Metals &amp; Supplies subsidiary, is determined using the weighted average cost method. The cost of Century Metals &amp; Supplies is determined using the specific identification method. Cost for all of the Company's tubular segment inventory is determined using the weighted average cost method. All inventories are valued at the lower of cost or net realizable value. Flat-roll raw material inventory consists primarily of carbon steel, stainless steel and aluminum flat-roll products the Company will process into sheet, plate or slit coil. Flat-roll finished goods consists of processed sheet, plate or slit coil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Flat-roll raw material</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85,865</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Flat-roll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30,637</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15,737</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10,160</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5,032</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113,689</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DEBT</w:t>
      </w:r>
    </w:p>
    <w:p>
      <w:pPr>
        <w:spacing w:after="0" w:line="225" w:lineRule="exact"/>
        <w:rPr>
          <w:sz w:val="20"/>
          <w:szCs w:val="20"/>
          <w:color w:val="auto"/>
        </w:rPr>
      </w:pPr>
    </w:p>
    <w:p>
      <w:pPr>
        <w:jc w:val="both"/>
        <w:ind w:firstLine="514"/>
        <w:spacing w:after="0" w:line="252" w:lineRule="auto"/>
        <w:rPr>
          <w:sz w:val="20"/>
          <w:szCs w:val="20"/>
          <w:color w:val="auto"/>
        </w:rPr>
      </w:pPr>
      <w:r>
        <w:rPr>
          <w:rFonts w:ascii="Times New Roman" w:cs="Times New Roman" w:eastAsia="Times New Roman" w:hAnsi="Times New Roman"/>
          <w:sz w:val="18"/>
          <w:szCs w:val="18"/>
          <w:color w:val="auto"/>
        </w:rPr>
        <w:t>On December 9, 2025, the Company executed the sixth amendment to its asset-based lending facility ("ABL Facility") increasing the facility size from $125 million to $140 million. The ABL Facility is led by JPMorgan Chase Bank, N.A with Wells Fargo Bank, N.A. as a 40% syndicated participant. The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$14.0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$60 million, in minimum increments of $5 million. At December 31, 2025, the Company had a balance of approximately $88.6 million under the ABL Facility with an applicable interest rate of 5.3%. At December 31, 2025, the Company's borrowing base supported full access to the ABL Facility.</w:t>
      </w:r>
    </w:p>
    <w:p>
      <w:pPr>
        <w:spacing w:after="0" w:line="19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approximately $0.4 million related to the renewal of the ABL Facility during the nine months ended December 31, 2025 with these costs recorded as a non-current other asset which will be amortized on an equal monthly basis over the term of the ABL facility.</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issued a seller's note of $3.5 million related to the acquisition of Century described in Note 2. The promissory note has a maturity date of August 29, 2030 and accrues interest at a rate of 6.5% per annum, payable quarterly in arrears on the last date of each quarter, commencing September 30, 2025.</w:t>
      </w:r>
    </w:p>
    <w:p>
      <w:pPr>
        <w:sectPr>
          <w:pgSz w:w="11900" w:h="16838" w:orient="portrait"/>
          <w:cols w:equalWidth="0" w:num="1">
            <w:col w:w="11240"/>
          </w:cols>
          <w:pgMar w:left="320" w:top="121" w:right="339" w:bottom="241"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41"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6 — LEASES</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August 2025, the Company was assigned operating leases for distribution and warehouse facilities in Orlando, FL and Tampa, FL and certain transportation equipment related to the acquisition of Century. The Orlando lease expires July 31, 2029 and calls for monthly rental payments of approximately $25,000. The Tampa lease expires November 30, 2029 but contains a 6 month extension option and calls for monthly rental payments of approximately $21,000. The Company recognized initial right-of-use ("ROU") assets and lease liabilities of approximately $2.4 million related to the assumed Century leases. The Company's other ROU assets and lease liabilities consist primarily of operating leases for the Granite City, IL operating facility and administrative office spaces in The Woodlands, TX and Longview, TX. The Company’s other operating leases for items such as operations equipment, IT equipment and storage space are either short-term in nature or immaterial. The Company does not have any finance leases in place.</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based on if the arrangement conveys the right to control the use of an identified asset for a period of time in exchange for consideration and allows the Company to obtain substantially all of the economic benefit from the use of the identified asset. Certain lease agreements contain rent escalation clauses and one or more options to extend the lease. The Company considers these provisions when calculating operating lease obligations. The Company uses its incremental borrowing rate at lease commencement to determine the present value of lease payments.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and nine months ended December 31, 2025 and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180" w:type="dxa"/>
            <w:vAlign w:val="bottom"/>
            <w:gridSpan w:val="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December 31, 2025 and March 31, 2025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92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Non-current lease liabilities</w:t>
            </w: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weighted-average remaining lease term was 12.4 years for operating leases. The weighted average discount rate was 7.0% for operating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 (remainder of fiscal year)</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 and beyond</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(3,267)</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7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PROPERTY, PLANT AND EQUIPMENT</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2025, the Company's construction in process balance of approximately $3.0 million consisted of approximately $2.5 million associated with additional processing equipment being installed in our Granite City, IL facility. The remaining balance consists of several smaller projects among our facilities.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 BASED COMPENSATION</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Company maintains two stock based compensation plans: the Friedman Industries, Incorporated 2016 Restricted Stock Plan (the “2016 Plan”) and the Friedman Industries, Incorporated 2025 Long-Term Incentive Plan (the "2025 Plan"). The plans are administered by the Compensation Committee of the Board of Directors (the “Board”) and continue indefinitely until terminated by the Board or until all shares allowed by the plans have been awarded and earned. All shares authorized under the 2016 Plan have been awarded with some of those shares still under vesting restrictions at December 31, 2025. Under the 2025 Plan, the Company may award stock-based compensation to employees, non-employee directors and third-party service providers. The 2025 Plan permits the award of stock options, restricted stock awards, restricted stock units, stock appreciation rights and other stock-based awards for up to 550,000 shares of the Company's common stock. As of December 31, 2025, all stock based compensation issued under the 2025 plan was in the form of restricted stock awards and a total of 521,696 shares were still available to be issued under the plan.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awards for the nine months ended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March 31, 2025</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December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7.07</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34"/>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Company measures compensation expense for restricted stock awards at the market price of the common stock as of the grant date. Compensation expense for awards with time based restrictions is recognized over the requisite service period applicable to each award. Compensation expense for awards with performance based restrictions is recognized once it is probable the performance conditions will be satisfied with a cumulative effect adjustment and the remaining expense recognized over the remaining service period. The stock awards granted during the nine months ended December 31, 2025 consist of 53,221 time restricted shares with annual ratable vesting over a three year period, 50,000 time restricted shares with annual ratable vesting over a two year period, 2,742 time restricted shares with one year cliff vesting, and 36,313 performance restricted shares with vesting thresholds dependent on the percentage of average earnings before tax to average accounts receivable, inventory and net PP&amp;E over a three year period. The Company recorded compensation expense of approximately $0.3 million and $0.1 million in the nine months ended December 31, 2025 and 2024, respectively, relating to the restricted stock issued under the plans. As of December 31, 2025, unrecognized compensation expense related to unvested restricted stock was approximately $1.7 million which is expected to be recognized over a weighted average period of approximately 2.0 years.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utilize hot-rolled coil futures, options or swaps to reduce our exposure to commodity price risk that is inherent in our business. For the nine months ended December 31, 2025 and 2024, all of the Company's hedging activities were classified as economic hedges of risk with mark-to-market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1"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At December 31, 2025 and March 31, 2025, the Company did not have any derivatives designated as hedging instruments and classified as cash flow or fair value hedges.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56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187"/>
        </w:trPr>
        <w:tc>
          <w:tcPr>
            <w:tcW w:w="406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406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w:t>
            </w: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2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187"/>
        </w:trPr>
        <w:tc>
          <w:tcPr>
            <w:tcW w:w="406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4060" w:type="dxa"/>
            <w:vAlign w:val="bottom"/>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w:t>
            </w: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12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December 31, 2025 and 2024, the Company entered into hot-rolled coil futures and swap contracts that were not designated as hedging instruments for accounting purposes. Accordingly, the change in fair value related to these instruments was immediately recognized in earnings for these periods. During the nine months ended December 31, 2025 and 2024, the Company did not designate any transactions as hedging instruments for accounting purposes.</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and nine months ended December 31, 2025 (in thousands):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0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0" w:type="dxa"/>
            <w:vAlign w:val="bottom"/>
          </w:tcPr>
          <w:p>
            <w:pPr>
              <w:spacing w:after="0"/>
              <w:rPr>
                <w:sz w:val="20"/>
                <w:szCs w:val="20"/>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1,381</w:t>
            </w:r>
          </w:p>
        </w:tc>
      </w:tr>
      <w:tr>
        <w:trPr>
          <w:trHeight w:val="410"/>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0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2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0" w:type="dxa"/>
            <w:vAlign w:val="bottom"/>
          </w:tcPr>
          <w:p>
            <w:pPr>
              <w:spacing w:after="0"/>
              <w:rPr>
                <w:sz w:val="20"/>
                <w:szCs w:val="20"/>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2,508</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and nine months ended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2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52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Company's  economic  (non-designated)</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instruments</w:t>
            </w:r>
          </w:p>
        </w:tc>
        <w:tc>
          <w:tcPr>
            <w:tcW w:w="1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w:t>
            </w: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(in thousands):</w:t>
            </w:r>
          </w:p>
        </w:tc>
        <w:tc>
          <w:tcPr>
            <w:tcW w:w="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Notional Amount</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180" w:type="dxa"/>
            <w:vAlign w:val="bottom"/>
            <w:gridSpan w:val="3"/>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80" w:type="dxa"/>
            <w:vAlign w:val="bottom"/>
            <w:shd w:val="clear" w:color="auto" w:fill="CCEEFF"/>
          </w:tcPr>
          <w:p>
            <w:pPr>
              <w:spacing w:after="0"/>
              <w:rPr>
                <w:sz w:val="16"/>
                <w:szCs w:val="16"/>
                <w:color w:val="auto"/>
              </w:rPr>
            </w:pPr>
          </w:p>
        </w:tc>
        <w:tc>
          <w:tcPr>
            <w:tcW w:w="2220" w:type="dxa"/>
            <w:vAlign w:val="bottom"/>
            <w:gridSpan w:val="4"/>
            <w:shd w:val="clear" w:color="auto" w:fill="CCEEFF"/>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rPr>
              <w:t>January 2026 - December</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280" w:type="dxa"/>
            <w:vAlign w:val="bottom"/>
            <w:vMerge w:val="continue"/>
            <w:shd w:val="clear" w:color="auto" w:fill="CCEEFF"/>
          </w:tcPr>
          <w:p>
            <w:pPr>
              <w:spacing w:after="0"/>
              <w:rPr>
                <w:sz w:val="10"/>
                <w:szCs w:val="10"/>
                <w:color w:val="auto"/>
              </w:rPr>
            </w:pPr>
          </w:p>
        </w:tc>
        <w:tc>
          <w:tcPr>
            <w:tcW w:w="3180" w:type="dxa"/>
            <w:vAlign w:val="bottom"/>
            <w:gridSpan w:val="3"/>
            <w:vMerge w:val="continue"/>
            <w:shd w:val="clear" w:color="auto" w:fill="CCEEFF"/>
          </w:tcPr>
          <w:p>
            <w:pPr>
              <w:spacing w:after="0"/>
              <w:rPr>
                <w:sz w:val="10"/>
                <w:szCs w:val="10"/>
                <w:color w:val="auto"/>
              </w:rPr>
            </w:pPr>
          </w:p>
        </w:tc>
        <w:tc>
          <w:tcPr>
            <w:tcW w:w="1220" w:type="dxa"/>
            <w:vAlign w:val="bottom"/>
            <w:gridSpan w:val="4"/>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economic (non-designated) derivative instruments outstanding at March 31, 2025 (in thousands):</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231"/>
        </w:trPr>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80" w:type="dxa"/>
            <w:vAlign w:val="bottom"/>
          </w:tcPr>
          <w:p>
            <w:pPr>
              <w:spacing w:after="0"/>
              <w:rPr>
                <w:sz w:val="20"/>
                <w:szCs w:val="20"/>
                <w:color w:val="auto"/>
              </w:rPr>
            </w:pPr>
          </w:p>
        </w:tc>
        <w:tc>
          <w:tcPr>
            <w:tcW w:w="21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gridSpan w:val="4"/>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xml:space="preserve">(9,522) </w:t>
            </w:r>
            <w:r>
              <w:rPr>
                <w:rFonts w:ascii="Times New Roman" w:cs="Times New Roman" w:eastAsia="Times New Roman" w:hAnsi="Times New Roman"/>
                <w:sz w:val="17"/>
                <w:szCs w:val="17"/>
                <w:color w:val="auto"/>
              </w:rPr>
              <w:t>April 2025 - December 2025</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both December 31, 2025 and March 31, 2025, cash of approximately $0.5 million was held by our clearing agent to collateralize our open derivative positions. These cash requirements are included in "Other current assets" on the Company's Consolidated Balance Sheets at December 31, 2025 and March 31, 2025.</w:t>
      </w:r>
    </w:p>
    <w:p>
      <w:pPr>
        <w:sectPr>
          <w:pgSz w:w="11900" w:h="16838" w:orient="portrait"/>
          <w:cols w:equalWidth="0" w:num="1">
            <w:col w:w="11240"/>
          </w:cols>
          <w:pgMar w:left="320" w:top="121" w:right="3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2025, our financial assets and liabilities,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for business combination – financial liability</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2025, our financial assets and liabilities,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600" w:hanging="5042"/>
        <w:spacing w:after="0" w:line="532" w:lineRule="auto"/>
        <w:rPr>
          <w:sz w:val="20"/>
          <w:szCs w:val="20"/>
          <w:color w:val="auto"/>
        </w:rPr>
      </w:pPr>
      <w:r>
        <w:rPr>
          <w:rFonts w:ascii="Times New Roman" w:cs="Times New Roman" w:eastAsia="Times New Roman" w:hAnsi="Times New Roman"/>
          <w:sz w:val="18"/>
          <w:szCs w:val="18"/>
          <w:color w:val="auto"/>
        </w:rPr>
        <w:t>At December 31, 2025 and March 31, 2025, the Company did not have any fair value measurements on a non-recurring basis.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SEGMENT INFORMATION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engaged in the metals processing, pipe manufacturing, and metals and pipe distribution business. Within the Company, there are two product groups: flat-roll and tubular. The Company’s flat-roll operations consist primarily of converting carbon steel, stainless steel and aluminum flat-roll products into sheet, plate or slit coil. Through its tubular operations, the Company purchases, processes, manufactures and markets tubular products.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significant financial information relating to the product groups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14,942</w:t>
            </w: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167,974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126,816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10,656</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137,472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2,303</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11,199</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145,766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164,075</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7,266</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64" w:orient="portrait"/>
          <w:cols w:equalWidth="0" w:num="1">
            <w:col w:w="11240"/>
          </w:cols>
          <w:pgMar w:left="320" w:top="121"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Gain on economic hedges of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32"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18"/>
          <w:szCs w:val="18"/>
          <w:color w:val="auto"/>
        </w:rPr>
        <w:t>EARNINGS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1,381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(1,278)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700" w:hanging="695"/>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4,004</w:t>
      </w:r>
    </w:p>
    <w:p>
      <w:pPr>
        <w:spacing w:after="0" w:line="23" w:lineRule="exact"/>
        <w:rPr>
          <w:sz w:val="20"/>
          <w:szCs w:val="20"/>
          <w:color w:val="auto"/>
        </w:rPr>
      </w:pPr>
    </w:p>
    <w:p>
      <w:pPr>
        <w:sectPr>
          <w:pgSz w:w="11900" w:h="16864" w:orient="portrait"/>
          <w:cols w:equalWidth="0" w:num="2">
            <w:col w:w="9300" w:space="720"/>
            <w:col w:w="122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December 31, 2025</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420,439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34,695</w:t>
            </w: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455,134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345,790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23,468</w:t>
            </w:r>
          </w:p>
        </w:tc>
        <w:tc>
          <w:tcPr>
            <w:tcW w:w="15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369,258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6,282</w:t>
            </w:r>
          </w:p>
        </w:tc>
        <w:tc>
          <w:tcPr>
            <w:tcW w:w="154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29,591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15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6,896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54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7,510</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11,382</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398,687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441,313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21,752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(11,550)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13,821</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120" w:type="dxa"/>
            <w:vAlign w:val="bottom"/>
            <w:tcBorders>
              <w:bottom w:val="single" w:sz="8" w:color="auto"/>
            </w:tcBorders>
            <w:gridSpan w:val="8"/>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86,144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7,930</w:t>
            </w:r>
          </w:p>
        </w:tc>
        <w:tc>
          <w:tcPr>
            <w:tcW w:w="15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94,074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72,313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6,196</w:t>
            </w:r>
          </w:p>
        </w:tc>
        <w:tc>
          <w:tcPr>
            <w:tcW w:w="15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78,509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1,927</w:t>
            </w:r>
          </w:p>
        </w:tc>
        <w:tc>
          <w:tcPr>
            <w:tcW w:w="15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5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5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84,849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5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100" w:type="dxa"/>
            <w:vAlign w:val="bottom"/>
            <w:tcBorders>
              <w:bottom w:val="single" w:sz="8" w:color="auto"/>
            </w:tcBorders>
            <w:gridSpan w:val="8"/>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Nine Months Ended December 31, 2024</w:t>
            </w: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286,910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28,474</w:t>
            </w: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315,384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240,105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23,060</w:t>
            </w: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263,165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17,498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6,532</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w:t>
            </w: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16,373</w:t>
            </w:r>
          </w:p>
        </w:tc>
      </w:tr>
    </w:tbl>
    <w:p>
      <w:pPr>
        <w:sectPr>
          <w:pgSz w:w="11900" w:h="16864" w:orient="portrait"/>
          <w:cols w:equalWidth="0" w:num="1">
            <w:col w:w="11240"/>
          </w:cols>
          <w:pgMar w:left="320" w:top="121" w:right="3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780" w:type="dxa"/>
            <w:vAlign w:val="bottom"/>
          </w:tcPr>
          <w:p>
            <w:pPr>
              <w:spacing w:after="0"/>
              <w:rPr>
                <w:sz w:val="20"/>
                <w:szCs w:val="20"/>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2,115</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7,348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7,348</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280,058</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30,850</w:t>
            </w:r>
          </w:p>
        </w:tc>
        <w:tc>
          <w:tcPr>
            <w:tcW w:w="13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318,346</w:t>
            </w: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tcPr>
          <w:p>
            <w:pPr>
              <w:spacing w:after="0"/>
              <w:rPr>
                <w:sz w:val="20"/>
                <w:szCs w:val="20"/>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6,630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(2,001)</w:t>
            </w:r>
          </w:p>
        </w:tc>
        <w:tc>
          <w:tcPr>
            <w:tcW w:w="13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(7,438)</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(2,809)</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top w:val="single" w:sz="8" w:color="CCEEFF"/>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(2,182)</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r>
      <w:tr>
        <w:trPr>
          <w:trHeight w:val="250"/>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204,890</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50"/>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305,887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221,682</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assets</w:t>
            </w: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226,822</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General corporate expenses reflect general and administrative expenses not directly associated with segment operations and consist primarily of payroll expenses related to corporate functions, professional fees and services, retirement plan contribution expense, corporate insurance expenses, restricted stock plan compensation expense and office supplies. At December 31, 2025 and March 31, 2025, corporate assets consist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metal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two reportable segments: Flat-Roll and Tubular. Flat-roll primarily generates revenue from cutting to length or slitting flat-roll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metals. Flat-roll segment revenue consists of two product types: Company Owned Flat-Roll Products and Processing or Storage of Customer Owned Coil.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Tubular primarily generates revenue from selling steel pipe it has manufactured resulting in a single product type: Manufactured Pipe.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disaggregates our revenue by product for each of our reportable business segments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respectively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Flat-Roll Segment: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Flat-Roll Products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151,956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283,197</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or Storage of Customer Owned Coil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w:t>
            </w:r>
          </w:p>
        </w:tc>
      </w:tr>
      <w:tr>
        <w:trPr>
          <w:trHeight w:val="263"/>
        </w:trPr>
        <w:tc>
          <w:tcPr>
            <w:tcW w:w="598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153,032</w:t>
            </w:r>
          </w:p>
        </w:tc>
        <w:tc>
          <w:tcPr>
            <w:tcW w:w="26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2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420,439</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286,910</w:t>
            </w:r>
          </w:p>
        </w:tc>
        <w:tc>
          <w:tcPr>
            <w:tcW w:w="100" w:type="dxa"/>
            <w:vAlign w:val="bottom"/>
            <w:tcBorders>
              <w:bottom w:val="single" w:sz="8" w:color="CCEEFF"/>
            </w:tcBorders>
          </w:tcPr>
          <w:p>
            <w:pPr>
              <w:spacing w:after="0"/>
              <w:rPr>
                <w:sz w:val="22"/>
                <w:szCs w:val="22"/>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28,474</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STOCKHOLDERS’ EQUITY</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nine months ended December 31, 2025 and December 31, 2024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9"/>
                <w:szCs w:val="19"/>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3,043</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110,712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35,294</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98,572</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Allocation to unvested restricted stock awards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earnings (loss) attributable to common shareholders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3"/>
              </w:rPr>
              <w:t>2,988</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6,965,880</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6,948,023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6,965,880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6,942,216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2025 and 2024, the Company allocated dividends and undistributed earnings to the unvested restricted stock awards.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awards were not accounted in the computation of weighted average diluted common shares outstanding under the two-class method: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SUPPLEMENTAL CASH FLOW INFORMATION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nine months ended December 31, 2025, the Company had non-cash investing and financing activities associated with the Century Metals</w:t>
      </w:r>
    </w:p>
    <w:p>
      <w:pPr>
        <w:spacing w:after="0" w:line="27" w:lineRule="exact"/>
        <w:rPr>
          <w:sz w:val="20"/>
          <w:szCs w:val="20"/>
          <w:color w:val="auto"/>
        </w:rPr>
      </w:pPr>
    </w:p>
    <w:p>
      <w:pPr>
        <w:jc w:val="both"/>
        <w:ind w:firstLine="8"/>
        <w:spacing w:after="0" w:line="253" w:lineRule="auto"/>
        <w:tabs>
          <w:tab w:leader="none" w:pos="2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acquisition of approximately $3.5 million related to a seller's note and approximately $3.6 million related to contingent consideration. The Company paid interest of approximately $2.5 million and $2.2 million during the nine months ended December 31, 2025 and 2024, respectively. Additionally, the Company paid income taxes of approximately $4.5 million and $2.9 million during the nine months ended December 31, 2025 and 2024,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INCOME TAXES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2025 and 2024, the Company recorded income tax provisions of approximately $3.3 million and $0.1 million, respectively. For the 2025 period, the effective tax rate differed from the federal statutory rate due primarily to the inclusion of state tax expenses in the provision. For the 2024 period, the effective tax rate differed from the federal statutory rate due primarily to the tax effect of restricted stock vesting during the period with this impact partially reduced by the inclusion of state tax expenses in the provision.</w:t>
      </w:r>
    </w:p>
    <w:p>
      <w:pPr>
        <w:sectPr>
          <w:pgSz w:w="11900" w:h="16838" w:orient="portrait"/>
          <w:cols w:equalWidth="0" w:num="1">
            <w:col w:w="11240"/>
          </w:cols>
          <w:pgMar w:left="320" w:top="108" w:right="339" w:bottom="623"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2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metals and operates in two reportable segments: flat-roll products and tubular products.</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vast majority of flat-roll product segment revenue is generated from sales of Company owned inventory but the segment also generates revenue from the processing or storage of customer owned material on a fee basis.</w:t>
      </w:r>
    </w:p>
    <w:p>
      <w:pPr>
        <w:spacing w:after="0" w:line="19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December 31, 2025 Compared to Nine Months Ended December 31, 2024</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nine months ended December 31, 2025 (the “2025 period”), sales, cost of materials sold and adjusted gross profit increased approximately $139.8 million, $106.1 million and $33.7 million, respectively, compared to the amounts recorded during the nine months ended December 31, 2024 (the “2024 period”). Adjusted gross profit is a non-GAAP measure calculated as sales minus cost of materials sold. The increase in sales was primarily due to an increase in sales volume. Sales volume for the 2025 period consisted of approximately 458,000 tons from inventory and another 59,000 tons of toll processing customer owned material compared to the 2024 period volume consisting of approximately 353,000 tons from inventory and 60,000 tons of toll processing. Same facility year-over-year growth accounted for approximately 89,500 tons of the sales volume increase and the acquisition of Century Metals &amp; Supplies contributed approximately 14,500 tons. Adjusted gross profit was approximately $85.9 million for the 2025 period compared to approximately $52.2 million for the 2024 period. Adjusted gross profit as a percentage of sales was approximately 18.9% for the 2025 period compared to approximately 16.6% for the 2024 period.</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prices of the metals we purchase. Most of the Company's revenue is generated from the processing of hot-rolled steel coil ("HRC") or derivative products from HRC. Entering the 2025 period, HRC price had reached the top of a price cycle. Prices declined approximately 15% from April 2025 until October 2025 when prices increased approximately 14% by the end of the 2025 period. As a result, the Company experienced stronger margins at the start of the 2025 period which then tapered off until slight margin improvement to conclude the 2025 period. Entering the 2024 period, HRC price was on a predominately declining trend dropping approximately 40% from January 2024 through the middle of August 2024. From August 2024 to the end of the 2024 period, HRC price remained relatively stable. As a result, the Company experienced compressed physical margins throughout the 2024 period. The Company utilizes HRC futures, options and swaps to partially manage exposure to commodity price risk. The Company recognized hedging related gains of approximately $2.5 million in the 2025 period compared to hedging related gains of approximately $5.8 million in the 2024 period.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2025 period totaled approximately $420.4 million compared to approximately $286.9 million for the 2024 period. For a more complete understanding of the average selling prices of goods sold, it is helpful to exclude any sales generated from processing or storage of customer owned material. Sales generated from processing or storage of customer owned material totaled approximately $3.9 million for the 2025 period and approximately $3.7 million for the 2024 period. Sales generated from flat-roll segment inventory totaled approximately $416.5 million for the 2025 period compared to approximately $283.2 million for the 2024 period. The average per ton selling price related to these shipments increased from approximately $868 per ton in the 2024 period to approximately $970 per ton in the 2025 period. Sales volume for the 2025 period consisted of approximately 429,000 tons from inventory and another 59,000 tons of toll processing customer owned material compared to the 2024 period volume consisting of approximately 326,000 tons from inventory and 60,000 tons of toll processing. The increase in sales volume for the 2025 period was related to a combination of stronger demand among some customers, successful commercial efforts to increase capacity utilization and the acquisition of Century. Flat-roll segment operations recorded earnings from operations of approximately $21.8 million and $6.6 million for the 2025 period and 2024 period, respectively.</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Tubular product segment sales for the 2025 period totaled approximately $34.7 million compared to approximately $28.5 million for the 2024 period. Sales increased due to a combination of sales volume growth and an increase in the average selling price per ton. Tons sold increased from approximately 26,500 tons in the 2024 period to approximately 29,000 tons in the 2025 period. The average per ton selling price increased from approximately $1,065 per ton for the 2024 period to approximately $1,198 per ton for the 2025 period. The tubular segment recorded earnings from operations of approximately $3.6 million for the 2025 period compared to a loss from operations of approximately $2.0 million for the 2024 period.</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2025 period, selling, general and administrative costs increased approximately $6.6 million compared to the 2024 period. This increase was driven by $1.3 million of one-time, non-recurring transaction costs associated with the acquisition of Century, as well as $1.7 million of additional ongoing expenses related to the operation of Century. The remaining increase was primarily attributable to an increase in personnel to support sales growth and execution of our strategic initiatives, along with increased incentive compensation resulting from improved profitability compared to the 2024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Income taxes increased from a provision for the 2024 period of approximately $0.1 million to a provision for the 2025 period of approximately $3.3 million. This increase was primarily related to increased earnings before taxes for the 2025 period. The income tax provision as a percentage of earnings before tax was approximately 24.3% and 12.4% for the nine months ended December 31, 2025 and 2024, respectively. For the 2025 period, the effective tax rate differed from the federal statutory rate due primarily to the inclusion of state tax expenses in the provision. For the 2024 period, the effective tax rate differed from the federal statutory rate due primarily to the tax effect of restricted stock vesting during the period with this impact partially reduced by the inclusion of state tax expenses in the provision.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December 31, 2025 Compared to Three Months Ended December 31, 2024</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2025 (the “2025 quarter”), sales, cost of materials sold and adjusted gross profit increased approximately $73.9 million, $59.0 million and $14.9 million, respectively, compared to the amounts recorded during the three months ended December 31, 2024 (the “2024 quarter”). Adjusted gross profit is a non-GAAP measure calculated as sales minus cost of materials sold. The increase in sales was primarily due to an increase in sales volume. Sales volume for the 2025 quarter consisted of approximately 162,000 tons from inventory and another 15,500 tons of toll processing customer owned material compared to the 2024 quarter volume consisting of approximately 112,500 tons from inventory and 18,000 tons of toll processing. Same facility year-over-year growth accounted for approximately 36,000 tons of the sales volume increase and the acquisition of Century Metals &amp; Supplies contributed approximately 11,000 tons. Adjusted gross profit was approximately $30.5 million for the 2025 quarter compared to approximately $15.6 million for the 2024 quarter. Adjusted gross profit as a percentage of sales was approximately 18.2% for the 2025 quarter compared to approximately 16.5% for the 2024 quarter.</w:t>
      </w:r>
    </w:p>
    <w:p>
      <w:pPr>
        <w:spacing w:after="0" w:line="18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prices of the metals we purchase. Most of the Company's revenue is generated from the processing of hot-rolled steel coil ("HRC") or derivative products from HRC. HRC price was on a declining trend entering the 2025 quarter but stabilized during October 2025 and increased approximately 11% to end the 2025 quarter. As a result, the Company experienced slight margin improvement at the conclusion of the 2025 quarter. Entering the 2024 quarter, HRC price had reached the bottom of a price cycle after a prolonged decline and remained relatively stable near the bottom during the 2024 quarter. As a result, the Company experienced compressed margins throughout the 2024 quarter. The Company utilizes HRC futures, options and swaps to partially manage exposure to commodity price risk. The Company recognized hedging related gains of approximately $1.4 million and $0.3 million in the 2025 and 2024 quarters,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2025 quarter totaled approximately $153.0 million compared to approximately $86.1 million for the 2024 quarter. For a more complete understanding of the average selling prices of goods sold, it is helpful to exclude any sales generated from processing or storage of customer owned material. Sales generated from processing or storage of customer owned material totaled approximately $1.1 million for the 2025 quarter and approximately $1.0 million for the 2024 quarter. Sales generated from flat-roll segment inventory totaled approximately $151.9 million for the 2025 quarter compared to approximately $85.1 million for the 2024 quarter. The average per ton selling price related to these shipments increased from approximately $813 per ton in the 2024 quarter to approximately $1,016 per ton in the 2025 quarter. Sales volume for the 2025 quarter consisted of approximately 149,500 tons from inventory and another 15,500 tons of toll processing customer owned material compared to the 2024 quarter volume consisting of approximately 105,000 tons from inventory and 18,000 tons of toll processing. The increase in sales volume for the 2025 quarter was related to a combination of stronger demand among some customers, successful commercial efforts to increase capacity utilization and the acquisition of Century. Flat-roll segment operations recorded earnings from operations of approximately $7.3 million and $1.3 million for the 2025 quarter and 2024 quarter, respectively.</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Tubular product segment sales for the 2025 quarter totaled approximately $14.9 million compared to approximately $7.9 million for the 2024 quarter. Sales increased due to a combination of sales volume growth and an increase in the average selling price per ton. Tons sold increased from approximately 8,000 tons in the 2024 quarter to approximately 12,500 tons in 2025 quarter. The average per ton selling price increased from approximately $1,013 per ton for the 2024 quarter to approximately $1,201 per ton for the 2025 quarter. The tubular segment recorded earnings from operations of approximately $1.4 million for the 2025 quarter compared to a loss from operations of approximately $0.2 million for the 2024 quarter.</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2025 quarter, selling, general and administrative costs increased approximately $3.3 million compared to the 2024 quarter. This increase was driven by $1.4 million of additional ongoing expenses related to the operation of Century, as well as $0.2 million of one-time, non-recurring transaction costs associated with the acquisition. The remaining increase was primarily attributable to an increase in personnel to support sales growth and execution of our strategic initiatives, along with increased incentive compensation resulting from improved profitability compared to the 2024 quarter.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Income taxes increased from a benefit for the 2024 quarter of approximately $0.4 million to a provision for the 2025 quarter of approximately $1.0 million. This increase was primarily related to increased earnings before taxes for the 2025 quarter. The income tax provision or benefit as a percentage of earnings before tax was approximately 24.0% and 25.7% for the 2025 quarter and 2024 quarter, respectively. For both quarters, the effective tax rate differed from the federal statutory rate due primarily to the inclusion of state tax expenses in the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metals,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metals.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GAAP measure for gross profit to the non-GAAP measure adjusted gross profit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(GAAP measure)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(non-GAAP measure presented)</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3.6 at December 31, 2025 and 4.3 at March 31, 2025. Working capital was approximately $167.0 million at December 31, 2025 and $128.1 million at March 31, 2025.</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December 31, 2025, the Company maintained assets and liabilities at levels it believed were commensurate with operations. Changes in balance sheet amounts occurred in the ordinary course of business and due to the acquisition of Century Metals &amp; Supplies resulting in notable increases to accounts receivable, inventory, fixed assets, accounts payable and ABL facility debt. The Company expects to continue to monitor, evaluate and manage balance sheet components depending on changes in market conditions and the Company’s operations.</w:t>
      </w:r>
    </w:p>
    <w:p>
      <w:pPr>
        <w:spacing w:after="0" w:line="18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On December 9, 2025, the Company executed the sixth amendment to its asset-based lending facility ("ABL Facility") increasing the facility size from $125 million to $140 million. The ABL Facility is led by JPMorgan Chase Bank, N.A. with Wells Fargo Bank, N.A. as a 40% syndicated participant. The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$14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$60 million, in minimum increments of $5 million. At December 31, 2025, the Company had a balance of approximately $88.6 million under the ABL Facility with an applicable interest rate of 5.3% and the Company's borrowing base calculation supported full access to the ABL Facility.</w:t>
      </w:r>
    </w:p>
    <w:p>
      <w:pPr>
        <w:spacing w:after="0" w:line="19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utilizes hot-rolled coil futures, options and swaps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of approximately $2.5 million and $5.8 million in the nine months ended December 31, 2025 and 2024, respectively,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9 for additional information related to the Company's hedging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The determination of fair values related to the Century Metals &amp; Supplies business combination accounting involves significant estimates and judgements in the valuation process. Actual results could differ from any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December 31, 2025 to ensure that information that is required to be disclosed by the Company in the reports it files or submits under the Exchange Act is (i) recorded, processed, summarized and reported within the time periods specified in the SEC’s rules and forms and</w:t>
      </w:r>
    </w:p>
    <w:p>
      <w:pPr>
        <w:spacing w:after="0" w:line="12" w:lineRule="exact"/>
        <w:rPr>
          <w:sz w:val="20"/>
          <w:szCs w:val="20"/>
          <w:color w:val="auto"/>
        </w:rPr>
      </w:pPr>
    </w:p>
    <w:p>
      <w:pPr>
        <w:ind w:right="20" w:firstLine="8"/>
        <w:spacing w:after="0" w:line="260" w:lineRule="auto"/>
        <w:tabs>
          <w:tab w:leader="none" w:pos="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the Company’s management, including the CEO and principal financial officer, as appropriate, to allow timely decisions regarding required disclosure.</w:t>
      </w:r>
    </w:p>
    <w:p>
      <w:pPr>
        <w:spacing w:after="0" w:line="1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fiscal quarter ended December 31, 2025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2025, none of our officers or directors adopted, modified or terminated a “Rule 10b5-1 trading arrangement” or a “non-Rule 10b5-1 trading arrangement,” as each term is defined in Item 408(a) and (c), respectively, of Regulation S-K, for the purchase or sale of our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160" w:hanging="1488"/>
        <w:spacing w:after="0" w:line="282"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Articles of Incorporation of the Company, as amended (incorporated by reference from Exhibit 3.1 to the Company’s Form S-8 filed</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on December 21, 2016).</w:t>
        </w:r>
      </w:hyperlink>
    </w:p>
    <w:p>
      <w:pPr>
        <w:spacing w:after="0" w:line="162" w:lineRule="exact"/>
        <w:rPr>
          <w:sz w:val="20"/>
          <w:szCs w:val="20"/>
          <w:color w:val="auto"/>
        </w:rPr>
      </w:pPr>
    </w:p>
    <w:p>
      <w:pPr>
        <w:ind w:left="100"/>
        <w:spacing w:after="0"/>
        <w:tabs>
          <w:tab w:leader="none" w:pos="1140" w:val="left"/>
          <w:tab w:leader="none" w:pos="1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40">
        <w:r>
          <w:rPr>
            <w:rFonts w:ascii="Times New Roman" w:cs="Times New Roman" w:eastAsia="Times New Roman" w:hAnsi="Times New Roman"/>
            <w:sz w:val="18"/>
            <w:szCs w:val="18"/>
            <w:u w:val="single" w:color="auto"/>
            <w:color w:val="0000EE"/>
          </w:rPr>
          <w:t>Articles of Amendment to the Articles of Incorporation of the Company, as filed with the Texas Secretary of State on September 22,</w:t>
        </w:r>
      </w:hyperlink>
    </w:p>
    <w:p>
      <w:pPr>
        <w:spacing w:after="0" w:line="27" w:lineRule="exact"/>
        <w:rPr>
          <w:sz w:val="20"/>
          <w:szCs w:val="20"/>
          <w:color w:val="auto"/>
        </w:rPr>
      </w:pPr>
    </w:p>
    <w:p>
      <w:pPr>
        <w:ind w:left="1580"/>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1987 (incorporated by reference from Exhibit 3.1 to the Company’s Form S-8 filed on December 21, 2016).</w:t>
        </w:r>
      </w:hyperlink>
    </w:p>
    <w:p>
      <w:pPr>
        <w:spacing w:after="0" w:line="207" w:lineRule="exact"/>
        <w:rPr>
          <w:sz w:val="20"/>
          <w:szCs w:val="20"/>
          <w:color w:val="auto"/>
        </w:rPr>
      </w:pPr>
    </w:p>
    <w:p>
      <w:pPr>
        <w:ind w:left="1160" w:hanging="1488"/>
        <w:spacing w:after="0" w:line="282"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Amended and Restated Bylaws of the Company, as amended on November 8, 2021. (incorporated by reference from Exhibit 3.3 to</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the Company's Form 10-Q filed on November 19, 2021).</w:t>
        </w:r>
      </w:hyperlink>
    </w:p>
    <w:p>
      <w:pPr>
        <w:spacing w:after="0" w:line="162" w:lineRule="exact"/>
        <w:rPr>
          <w:sz w:val="20"/>
          <w:szCs w:val="20"/>
          <w:color w:val="auto"/>
        </w:rPr>
      </w:pPr>
    </w:p>
    <w:p>
      <w:pPr>
        <w:ind w:left="1180" w:hanging="1488"/>
        <w:spacing w:after="0" w:line="282" w:lineRule="auto"/>
        <w:tabs>
          <w:tab w:leader="none" w:pos="11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Friedman Industries, Incorporated Key Employee Change In Control Severance Plan. (incorporated by reference from Exhibit 10.1 to</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the Company's Form 10-Q filed on November 12, 2024).</w:t>
        </w:r>
      </w:hyperlink>
    </w:p>
    <w:p>
      <w:pPr>
        <w:spacing w:after="0" w:line="162" w:lineRule="exact"/>
        <w:rPr>
          <w:sz w:val="20"/>
          <w:szCs w:val="20"/>
          <w:color w:val="auto"/>
        </w:rPr>
      </w:pPr>
    </w:p>
    <w:p>
      <w:pPr>
        <w:ind w:left="320" w:hanging="22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43">
        <w:r>
          <w:rPr>
            <w:rFonts w:ascii="Times New Roman" w:cs="Times New Roman" w:eastAsia="Times New Roman" w:hAnsi="Times New Roman"/>
            <w:sz w:val="18"/>
            <w:szCs w:val="18"/>
            <w:u w:val="single" w:color="auto"/>
            <w:color w:val="0000EE"/>
          </w:rPr>
          <w:t>Sixth Amendment to Amended and Restated Credit Agreement.</w:t>
        </w:r>
      </w:hyperlink>
    </w:p>
    <w:p>
      <w:pPr>
        <w:spacing w:after="0" w:line="225" w:lineRule="exact"/>
        <w:rPr>
          <w:rFonts w:ascii="Times New Roman" w:cs="Times New Roman" w:eastAsia="Times New Roman" w:hAnsi="Times New Roman"/>
          <w:sz w:val="18"/>
          <w:szCs w:val="18"/>
          <w:color w:val="auto"/>
        </w:rPr>
      </w:pPr>
    </w:p>
    <w:p>
      <w:pPr>
        <w:ind w:left="320" w:hanging="22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Pursuant to Section 302 of the Sarbanes-Oxley Act of 2002, signed by Michael J. Taylor.</w:t>
      </w:r>
    </w:p>
    <w:p>
      <w:pPr>
        <w:spacing w:after="0" w:line="225" w:lineRule="exact"/>
        <w:rPr>
          <w:rFonts w:ascii="Times New Roman" w:cs="Times New Roman" w:eastAsia="Times New Roman" w:hAnsi="Times New Roman"/>
          <w:sz w:val="18"/>
          <w:szCs w:val="18"/>
          <w:color w:val="auto"/>
        </w:rPr>
      </w:pPr>
    </w:p>
    <w:p>
      <w:pPr>
        <w:ind w:left="320" w:hanging="22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Pursuant to Section 302 of the Sarbanes-Oxley Act of 2002, signed by Alex LaRue.</w:t>
      </w:r>
    </w:p>
    <w:p>
      <w:pPr>
        <w:spacing w:after="0" w:line="225" w:lineRule="exact"/>
        <w:rPr>
          <w:rFonts w:ascii="Times New Roman" w:cs="Times New Roman" w:eastAsia="Times New Roman" w:hAnsi="Times New Roman"/>
          <w:sz w:val="18"/>
          <w:szCs w:val="18"/>
          <w:color w:val="auto"/>
        </w:rPr>
      </w:pPr>
    </w:p>
    <w:p>
      <w:pPr>
        <w:ind w:left="1160" w:right="20" w:hanging="1062"/>
        <w:spacing w:after="0" w:line="282" w:lineRule="auto"/>
        <w:tabs>
          <w:tab w:leader="none" w:pos="-1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 signed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Michael J. Taylor.</w:t>
      </w:r>
    </w:p>
    <w:p>
      <w:pPr>
        <w:spacing w:after="0" w:line="161" w:lineRule="exact"/>
        <w:rPr>
          <w:rFonts w:ascii="Times New Roman" w:cs="Times New Roman" w:eastAsia="Times New Roman" w:hAnsi="Times New Roman"/>
          <w:sz w:val="18"/>
          <w:szCs w:val="18"/>
          <w:color w:val="auto"/>
        </w:rPr>
      </w:pPr>
    </w:p>
    <w:p>
      <w:pPr>
        <w:ind w:left="1160" w:right="20" w:hanging="1062"/>
        <w:spacing w:after="0" w:line="282" w:lineRule="auto"/>
        <w:tabs>
          <w:tab w:leader="none" w:pos="-1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 signed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Alex LaRue.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File (formatted as Inline XBRL and contained in Exhibit 101)</w:t>
            </w:r>
          </w:p>
        </w:tc>
      </w:tr>
      <w:tr>
        <w:trPr>
          <w:trHeight w:val="43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978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20</w:t>
            </w:r>
          </w:p>
        </w:tc>
      </w:tr>
      <w:tr>
        <w:trPr>
          <w:trHeight w:val="115"/>
        </w:trPr>
        <w:tc>
          <w:tcPr>
            <w:tcW w:w="1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AMENDED AND RESTATED CREDIT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SIXTH AMENDMENT TO AMENDED AND RESTATED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dated as of December 9, 2025, is by and among </w:t>
      </w:r>
      <w:r>
        <w:rPr>
          <w:rFonts w:ascii="Times New Roman" w:cs="Times New Roman" w:eastAsia="Times New Roman" w:hAnsi="Times New Roman"/>
          <w:sz w:val="18"/>
          <w:szCs w:val="18"/>
          <w:b w:val="1"/>
          <w:bCs w:val="1"/>
          <w:color w:val="auto"/>
        </w:rPr>
        <w:t>FRIEDMAN INDUSTRIES, INCORPORATED</w:t>
      </w:r>
      <w:r>
        <w:rPr>
          <w:rFonts w:ascii="Times New Roman" w:cs="Times New Roman" w:eastAsia="Times New Roman" w:hAnsi="Times New Roman"/>
          <w:sz w:val="18"/>
          <w:szCs w:val="18"/>
          <w:color w:val="auto"/>
        </w:rPr>
        <w:t>,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CENTURY METALS &amp; SUPPLIES,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Texas limited liability company (“</w:t>
      </w:r>
      <w:r>
        <w:rPr>
          <w:rFonts w:ascii="Times New Roman" w:cs="Times New Roman" w:eastAsia="Times New Roman" w:hAnsi="Times New Roman"/>
          <w:sz w:val="18"/>
          <w:szCs w:val="18"/>
          <w:u w:val="single" w:color="auto"/>
          <w:color w:val="auto"/>
        </w:rPr>
        <w:t>Century Metals</w:t>
      </w:r>
      <w:r>
        <w:rPr>
          <w:rFonts w:ascii="Times New Roman" w:cs="Times New Roman" w:eastAsia="Times New Roman" w:hAnsi="Times New Roman"/>
          <w:sz w:val="18"/>
          <w:szCs w:val="18"/>
          <w:color w:val="auto"/>
        </w:rPr>
        <w:t>”, and together with the Company,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 national banking association, as a Lender, Issuing Bank and Swingline Lender (as each is defined in the below-referenced Credit Agreement) (in such capacities,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Capitalized terms used in this Amendment, to the extent not otherwise defined herein, shall have the same meaning as in the Credit Agreement, as amended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Borrower, the other Loan Parties, the Lender and the Administrative Agent are parties to that certain Amended and Restated Credit Agreement, dated as of May 19, 2021 (as the same has been and may be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Borrowers and the other Loan Parties have requested that the Lender and Administrative Agent amend certain provisions of the Credit Agreement in the manner and on the terms and conditions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Date, the Credit Agreement is hereby amended (a) to delete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9900"/>
          <w:strike w:val="1"/>
        </w:rPr>
        <w:t>stricken text</w:t>
      </w:r>
      <w:r>
        <w:rPr>
          <w:rFonts w:ascii="Times New Roman" w:cs="Times New Roman" w:eastAsia="Times New Roman" w:hAnsi="Times New Roman"/>
          <w:sz w:val="18"/>
          <w:szCs w:val="18"/>
          <w:color w:val="auto"/>
        </w:rPr>
        <w:t xml:space="preserve">) and (b) to add the double-underlined text (indicated textually in the same manner as the following examples: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9900"/>
        </w:rPr>
        <w:t>double-underlined text</w:t>
      </w:r>
      <w:r>
        <w:rPr>
          <w:rFonts w:ascii="Times New Roman" w:cs="Times New Roman" w:eastAsia="Times New Roman" w:hAnsi="Times New Roman"/>
          <w:sz w:val="18"/>
          <w:szCs w:val="18"/>
          <w:color w:val="auto"/>
        </w:rPr>
        <w:t xml:space="preserve">), in each case, as set forth in the marked copy of the Credit Agreement (and to the extent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exhibits, schedules and appendices to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made a part hereof for all purposes.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Nothing contained in this Amendment shall be construed as a waiver by the Administrative Agent of any covenant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Credit Agreement, the other Loan Documents, this Amendment, or of any other contract or instrument between any Loan Party and the Administrative Agent, and the failure of the Administrative Agent at any time or times hereafter to require strict performance by any Loan Party of any provision thereof shall not waive, affect or diminish any rights of the Administrative Agent to thereafter demand strict compliance therewith. The Administrative Agent hereby reserves all rights granted under the Credit Agreement, the other Loan Documents, this Amendment and any other contract or instrument between any Loan Party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Sixth Amendment to Amended and Restated Credit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#528374474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Administrative Agent to enter into this Amendment, each Loan Party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that:</w:t>
      </w:r>
    </w:p>
    <w:p>
      <w:pPr>
        <w:spacing w:after="0" w:line="159" w:lineRule="exact"/>
        <w:rPr>
          <w:sz w:val="20"/>
          <w:szCs w:val="20"/>
          <w:color w:val="auto"/>
        </w:rPr>
      </w:pPr>
    </w:p>
    <w:p>
      <w:pPr>
        <w:ind w:left="1720" w:hanging="416"/>
        <w:spacing w:after="0"/>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shall have occurred and be continuing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jc w:val="both"/>
        <w:ind w:firstLine="1304"/>
        <w:spacing w:after="0" w:line="261" w:lineRule="auto"/>
        <w:tabs>
          <w:tab w:leader="none" w:pos="18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Effective Date and, after giving effect to this Amendment and the transactions contemplated hereby, the representations and warranties of the Loan Parties contained in the Loan Documents are true and correct in all material respects on and as of the date hereof to the same extent as though made on and as of such date except to the extent such representations and warranties specifically relate to an earlier date;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 The execution, delivery and performance by each Loan Party of this Amendment are within its respective organizational powers and have been duly authorized by all necessary corporate or limited liability company action on the part of such Person, (ii) this Amendment is the legal, valid and binding obligation of each Loan Party enforceable against such Person in accordance with its terms and (iii) neither the execution, delivery or performance by each Loan Party of this Amendment (1) violates any law or regulation, or any order or decree of any governmental authority, (2) conflicts with or results in the breach or termination of, constitutes a default under or accelerates any performance required by, any indenture, mortgage, deed of trust, lease, agreement or other instrument to which such Person is a party or by which such Person or any of its property is bound, (3) results in the creation or imposition of any Lien upon any of the Collateral (other than any Lien in favor of the Administrative Agent or a Lender), (4) violates or conflicts with the organizational or governing documentation of such Person, or (5) requires the consent, approval or authorization of, or declaration or filing with, any other Person, except for those already duly obtained.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No amendment, restatement, supplement or other modification has been made to the certificate or articles of incorporation or organization of any Borrower or to the by-laws or operating, management or partnership agreement, or any other organizational or governing documents of each Borrower since May 19, 2021.</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only upon the satisfaction in full, in a manner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of the following conditions precedent (the first date upon which all such conditions have been satisfied being herein called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304"/>
        <w:spacing w:after="0" w:line="266" w:lineRule="auto"/>
        <w:tabs>
          <w:tab w:leader="none" w:pos="1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Administrative Agent shall have received each of the following, each in form and substance satisfactory to the Administrative Agent, in its sole discretion, and, where applicable, each duly executed by each party thereto, other than the Administrative Agent (each of which shall be deemed to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pursuant to the Credit Agreement):</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or counterparts hereof; and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instruments, and agreements as the Administrative Agent may reasonably request in connection with the transactions contemplated by this Amendment and the other Loan Documents, each in form and substance reasonably satisfactory to the Administrative Agent.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Sixth Amendment to Amended and Restated Credit Agreement</w:t>
      </w:r>
    </w:p>
    <w:p>
      <w:pPr>
        <w:spacing w:after="0"/>
        <w:rPr>
          <w:sz w:val="20"/>
          <w:szCs w:val="20"/>
          <w:color w:val="auto"/>
        </w:rPr>
      </w:pPr>
      <w:r>
        <w:rPr>
          <w:rFonts w:ascii="Times New Roman" w:cs="Times New Roman" w:eastAsia="Times New Roman" w:hAnsi="Times New Roman"/>
          <w:sz w:val="14"/>
          <w:szCs w:val="14"/>
          <w:color w:val="auto"/>
        </w:rPr>
        <w:t>#528374474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jc w:val="both"/>
        <w:ind w:firstLine="1304"/>
        <w:spacing w:after="0" w:line="258" w:lineRule="auto"/>
        <w:tabs>
          <w:tab w:leader="none" w:pos="17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requested by the Administrative Agent in its sole discretion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of the Credit Agreement), shall be in proper form for filing, registration or recordation.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The Administrative Agent and its counsel shall have completed all legal due diligence, and all legal (including tax implications) and regulatory matters shall be satisfactory to the Administrative Agent in its sole discretion. The Administrative Agent shall have completed all business diligence related to the transactions contemplated by this Amendment.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and Representations</w:t>
      </w:r>
      <w:r>
        <w:rPr>
          <w:rFonts w:ascii="Times New Roman" w:cs="Times New Roman" w:eastAsia="Times New Roman" w:hAnsi="Times New Roman"/>
          <w:sz w:val="18"/>
          <w:szCs w:val="18"/>
          <w:color w:val="auto"/>
        </w:rPr>
        <w:t>. After giving effect to this Amendment and the transactions contemplated hereby, the warranties and representations of the Loan Parties contained in the Loan Documents shall be true and correct in all material respects as of the Effective Date, with the same effect as though made on such date, except to the extent that such warranties and representations expressly relate to an earlier date, and all of such representations and warranties (except those relating to an earlier date) are hereby remade by the Loan Parties as of the Effective Date.</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Borrowers shall have paid to Administrative Agent and Lenders all fees, expenses and other amounts due and payable as of the Effective Date, including legal costs. The Borrower shall have paid to each Lender an amendment fee equal to 15 basis points (.15%) of the increase in such Lender’s Revolving Commitment contemplated by this Amendment.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Ratification; Reference to and Effect on Loan Documents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56" w:lineRule="auto"/>
        <w:tabs>
          <w:tab w:leader="none" w:pos="1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specifically amended above, the Credit Agreement and the other Loan Documents shall remain in full force and effect. Notwithstanding anything contained herein, the terms of this Amendment are not intended to and do not effect a novation of the Credit Agreement or any other Loan Document. Each of the Loan Parties hereby ratifies and reaffirms each of the terms and conditions of the Loan Documents to which it is a party and all of its obligations thereunder. Each of the Loan Parties hereby agrees that all liens and security interests securing payment of the Obligations under the Credit Agreement and each of the other Loan Documents are hereby collectively renewed, ratified and brought forward as security for the payment and performance of the Obligations.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Sixth Amendment to Amended and Restated Credit Agreement</w:t>
      </w:r>
    </w:p>
    <w:p>
      <w:pPr>
        <w:spacing w:after="0"/>
        <w:rPr>
          <w:sz w:val="20"/>
          <w:szCs w:val="20"/>
          <w:color w:val="auto"/>
        </w:rPr>
      </w:pPr>
      <w:r>
        <w:rPr>
          <w:rFonts w:ascii="Times New Roman" w:cs="Times New Roman" w:eastAsia="Times New Roman" w:hAnsi="Times New Roman"/>
          <w:sz w:val="14"/>
          <w:szCs w:val="14"/>
          <w:color w:val="auto"/>
        </w:rPr>
        <w:t>#528374474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1304"/>
        <w:spacing w:after="0" w:line="261" w:lineRule="auto"/>
        <w:tabs>
          <w:tab w:leader="none" w:pos="16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Upon the effectiveness of this Amendment,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any reference in such Loan Documents to the Credit Agreement shall mean a reference to the Credit Agreement, as amended hereby.</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304"/>
        <w:spacing w:after="0" w:line="282" w:lineRule="auto"/>
        <w:tabs>
          <w:tab w:leader="none" w:pos="1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on and shall inure to the benefit of the Loan Parties, the Administrative Agent and their respective successors and assigns.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constitutes the entire agreement of the parties hereto with respect to the subject matter hereof and supersedes all other understandings, oral or written,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The provisions contained in Section 9.09 (Governing Law; Jurisdiction; Consent to Service of Process) and Section 9.10 (Waiver of Jury Trial) of the Credit Agreement are incorporated herein by reference to the same extent as if reproduced herein in their entirety.</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Sixth Amendment to Amended and Restated Credit Agreement</w:t>
      </w:r>
    </w:p>
    <w:p>
      <w:pPr>
        <w:spacing w:after="0"/>
        <w:rPr>
          <w:sz w:val="20"/>
          <w:szCs w:val="20"/>
          <w:color w:val="auto"/>
        </w:rPr>
      </w:pPr>
      <w:r>
        <w:rPr>
          <w:rFonts w:ascii="Times New Roman" w:cs="Times New Roman" w:eastAsia="Times New Roman" w:hAnsi="Times New Roman"/>
          <w:sz w:val="14"/>
          <w:szCs w:val="14"/>
          <w:color w:val="auto"/>
        </w:rPr>
        <w:t>#528374474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ind w:firstLine="1304"/>
        <w:spacing w:after="0" w:line="267" w:lineRule="auto"/>
        <w:tabs>
          <w:tab w:leader="none" w:pos="18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FOR AND IN CONSIDERATION OF LENDERS’ AGREEMENTS CONTAINED HEREIN, BORROWERS, TOGETHER WITH ITS PARENTS, DIVISIONS, SUBSIDIARIES, AFFILIATES, MEMBERS, MANAGERS, PARTICIPANTS, PREDECESSORS, SUCCESSORS AND ASSIGNS, AND ITS CURRENT AND FORMER OFFICERS, SHAREHOLDERS, MEMBERS, MANAGERS, PARTNERS, AGENTS AND EMPLOYEES, AND ITS PREDECESSORS, SUCCESSORS, HEIRS AND ASSIGNS (INDIVIDUALLY AND COLLECTIVELY,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VOLUNTARILY AND KNOWINGLY RELEASES AND FOREVER WAIVES AND DISCHARGES LENDER AND EACH OF ITS PARENTS, DIVISIONS, SUBSIDIARIES, AFFILIATES, MEMBERS, MANAGERS, PARTICIPANTS, PREDECESSORS, SUCCESSORS AND ASSIGNS, AND EACH OF ITS CURRENT AND FORMER DIRECTORS, OFFICERS, SHAREHOLDERS, MEMBERS, MANAGERS, PARTNERS,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u w:val="single" w:color="auto"/>
          <w:color w:val="auto"/>
        </w:rPr>
        <w:t>RELEASED PARTIES</w:t>
      </w:r>
      <w:r>
        <w:rPr>
          <w:rFonts w:ascii="Times New Roman" w:cs="Times New Roman" w:eastAsia="Times New Roman" w:hAnsi="Times New Roman"/>
          <w:sz w:val="17"/>
          <w:szCs w:val="17"/>
          <w:color w:val="auto"/>
        </w:rPr>
        <w:t>”) FROM ALL POSSIBLE CLAIMS, COUNTERCLAIMS, DEMANDS, ACTIONS, CAUSES OF ACTION, DAMAGES, COSTS, EXPENSES AND LIABILITIES WHATSOEVER, WHETHER KNOWN OR UNKNOWN, ANTICIPATED OR UNANTICIPATED, SUSPECTED OR UNSUSPECTED, FIXED, CONTINGENT OR CONDITIONAL OR AT LAW OR IN EQUITY, IN ANY CASE ORIGINATING IN WHOLE OR IN PART ON OR BEFORE THE DATE THIS AMENDMENT IS EXECUTED THAT ANY OF THE RELEASORS MAY NOW OR HEREAFTER HAVE AGAINST THE RELEASED PARTIES, IF ANY, IRRESPECTIVE OF WHETHER ANY SUCH CLAIMS ARISE OUT OF CONTRACT, TORT, VIOLATION OF LAW OR REGULATIONS OR OTHERWISE, INCLUDING WITHOUT LIMITATION ARISING DIRECTLY OR INDIRECTLY FROM ANY LAWSUIT, ANY PRIOR OR EXISTING LOANS BETWEEN RELEASORS AND RELEASED PARTIES, ANY OF THE LOAN DOCUMENTS, THE EXERCISE OF ANY RIGHTS AND REMEDIES UNDER ANY OF THE LOAN DOCUMENTS AND/OR NEGOTIATION FOR AND EXECUTION OF THIS AMENDMENT, INCLUDING, WITHOUT LIMITATION, ANY CONTRACTING FOR, CHARGING, TAKING, RESERVING, COLLECTING OR RECEIVING INTEREST IN EXCESS OF THE HIGHEST LAWFUL RATE APPLICABLE. EACH OF THE RELEASORS WAIVES THE BENEFITS OF ANY LAW, WHICH MAY PROVIDE IN SUBSTANCE: “A GENERAL RELEASE DOES NOT EXTEND TO CLAIMS WHICH THE CREDITOR DOES NOT KNOW OR SUSPECT TO EXIST IN ITS FAVOR AT THE TIME OF EXECUTING THE RELEASE, WHICH IF KNOWN BY IT MUST HAVE MATERIALLY AFFECTED ITS SETTLEMENT WITH THE DEBTOR.” EACH OF THE RELEASORS UNDERSTANDS THE FACTS IT BELIEVES TO BE TRUE AT THE TIME OF MAKING THE RELEASE PROVIDED FOR HEREIN MAY LATER TURN OUT TO BE DIFFERENT THAN IT NOW BELIEVES, AND INFORMATION NOT NOW KNOWN OR SUSPECTED MAY LATER BE DISCOVERED. EACH OF THE RELEASORS ACCEPTS THIS POSSIBILITY, AND EACH OF THEM ASSUMES THE RISK OF THE FACTS TURNING OUT TO BE DIFFERENT AND NEW INFORMATION BEING DISCOVERED AND EACH OF THEM FURTHER AGREES THE RELEASE PROVIDED FOR HEREIN SHALL IN ALL RESPECTS CONTINUE TO BE EFFECTIVE AND NOT SUBJECT TO TERMINATION OR RESCISSION BECAUSE OF ANY DIFFERENCE IN SUCH FACTS OR ANY NEW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Sixth Amendment to Amended and Restated Credit Agreement</w:t>
      </w:r>
    </w:p>
    <w:p>
      <w:pPr>
        <w:spacing w:after="0"/>
        <w:rPr>
          <w:sz w:val="20"/>
          <w:szCs w:val="20"/>
          <w:color w:val="auto"/>
        </w:rPr>
      </w:pPr>
      <w:r>
        <w:rPr>
          <w:rFonts w:ascii="Times New Roman" w:cs="Times New Roman" w:eastAsia="Times New Roman" w:hAnsi="Times New Roman"/>
          <w:sz w:val="14"/>
          <w:szCs w:val="14"/>
          <w:color w:val="auto"/>
        </w:rPr>
        <w:t>#528374474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has been executed on the date first written above, to be effective upon satisfaction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METALS &amp; SUPPLIES,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0" w:name="page31"/>
    <w:bookmarkEnd w:id="30"/>
    <w:p>
      <w:pPr>
        <w:ind w:left="440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 AND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individually and as Administrative Agent, Issuing Bank and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Swingline Lender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Andrew Bae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459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Andrew Bae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8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Gregory Garbuz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4688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 Gregory Garbuz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2468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ind w:left="4380"/>
        <w:spacing w:after="0"/>
        <w:tabs>
          <w:tab w:leader="none" w:pos="4880" w:val="left"/>
        </w:tabs>
        <w:rPr>
          <w:sz w:val="20"/>
          <w:szCs w:val="20"/>
          <w:color w:val="auto"/>
        </w:rPr>
      </w:pPr>
      <w:r>
        <w:rPr>
          <w:rFonts w:ascii="Times New Roman" w:cs="Times New Roman" w:eastAsia="Times New Roman" w:hAnsi="Times New Roman"/>
          <w:sz w:val="18"/>
          <w:szCs w:val="18"/>
          <w:color w:val="auto"/>
        </w:rPr>
        <w:t>Title:</w:t>
        <w:tab/>
        <w:t>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2468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2" w:name="page33"/>
    <w:bookmarkEnd w:id="32"/>
    <w:p>
      <w:pPr>
        <w:ind w:left="3220"/>
        <w:spacing w:after="0"/>
        <w:rPr>
          <w:sz w:val="20"/>
          <w:szCs w:val="20"/>
          <w:color w:val="auto"/>
        </w:rPr>
      </w:pPr>
      <w:r>
        <w:rPr>
          <w:rFonts w:ascii="Times New Roman" w:cs="Times New Roman" w:eastAsia="Times New Roman" w:hAnsi="Times New Roman"/>
          <w:sz w:val="17"/>
          <w:szCs w:val="17"/>
          <w:b w:val="1"/>
          <w:bCs w:val="1"/>
          <w:color w:val="auto"/>
        </w:rPr>
        <w:t xml:space="preserve">CONFORMED THROUGH </w:t>
      </w:r>
      <w:r>
        <w:rPr>
          <w:rFonts w:ascii="Times New Roman" w:cs="Times New Roman" w:eastAsia="Times New Roman" w:hAnsi="Times New Roman"/>
          <w:sz w:val="17"/>
          <w:szCs w:val="17"/>
          <w:b w:val="1"/>
          <w:bCs w:val="1"/>
          <w:color w:val="FF0000"/>
          <w:strike w:val="1"/>
        </w:rPr>
        <w:t>FIFTH</w:t>
      </w:r>
      <w:r>
        <w:rPr>
          <w:rFonts w:ascii="Times New Roman" w:cs="Times New Roman" w:eastAsia="Times New Roman" w:hAnsi="Times New Roman"/>
          <w:sz w:val="17"/>
          <w:szCs w:val="17"/>
          <w:b w:val="1"/>
          <w:bCs w:val="1"/>
          <w:u w:val="single" w:color="auto"/>
          <w:color w:val="0000FF"/>
        </w:rPr>
        <w:t>SIXTH</w:t>
      </w:r>
      <w:r>
        <w:rPr>
          <w:rFonts w:ascii="Times New Roman" w:cs="Times New Roman" w:eastAsia="Times New Roman" w:hAnsi="Times New Roman"/>
          <w:sz w:val="17"/>
          <w:szCs w:val="17"/>
          <w:b w:val="1"/>
          <w:bCs w:val="1"/>
          <w:color w:val="auto"/>
        </w:rPr>
        <w:t xml:space="preserve"> AMENDMENT (</w:t>
      </w:r>
      <w:r>
        <w:rPr>
          <w:rFonts w:ascii="Times New Roman" w:cs="Times New Roman" w:eastAsia="Times New Roman" w:hAnsi="Times New Roman"/>
          <w:sz w:val="17"/>
          <w:szCs w:val="17"/>
          <w:b w:val="1"/>
          <w:bCs w:val="1"/>
          <w:color w:val="FF0000"/>
          <w:strike w:val="1"/>
        </w:rPr>
        <w:t>August 29</w:t>
      </w:r>
      <w:r>
        <w:rPr>
          <w:rFonts w:ascii="Times New Roman" w:cs="Times New Roman" w:eastAsia="Times New Roman" w:hAnsi="Times New Roman"/>
          <w:sz w:val="17"/>
          <w:szCs w:val="17"/>
          <w:b w:val="1"/>
          <w:bCs w:val="1"/>
          <w:u w:val="single" w:color="auto"/>
          <w:color w:val="0000FF"/>
        </w:rPr>
        <w:t>December 9</w:t>
      </w:r>
      <w:r>
        <w:rPr>
          <w:rFonts w:ascii="Times New Roman" w:cs="Times New Roman" w:eastAsia="Times New Roman" w:hAnsi="Times New Roman"/>
          <w:sz w:val="17"/>
          <w:szCs w:val="17"/>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25400</wp:posOffset>
            </wp:positionV>
            <wp:extent cx="7196455" cy="5730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96455" cy="573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dated as of</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May 19, 2021</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each of the other Persons party hereto as a Borrower,</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each of the Persons party hereto as a Loan Guarantor,</w:t>
      </w:r>
    </w:p>
    <w:p>
      <w:pPr>
        <w:spacing w:after="0" w:line="200" w:lineRule="exact"/>
        <w:rPr>
          <w:sz w:val="20"/>
          <w:szCs w:val="20"/>
          <w:color w:val="auto"/>
        </w:rPr>
      </w:pPr>
    </w:p>
    <w:p>
      <w:pPr>
        <w:spacing w:after="0" w:line="24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468630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7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TABLE OF CONTENTS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720" w:type="dxa"/>
            <w:vAlign w:val="bottom"/>
          </w:tcPr>
          <w:p>
            <w:pPr>
              <w:spacing w:after="0"/>
              <w:rPr>
                <w:sz w:val="24"/>
                <w:szCs w:val="24"/>
                <w:color w:val="auto"/>
              </w:rPr>
            </w:pPr>
          </w:p>
        </w:tc>
        <w:tc>
          <w:tcPr>
            <w:tcW w:w="254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 Definitions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1.01.Defined Terms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1.02.Classification of Loans and Borrowings.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1.03.Terms Generally.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1.04.Accounting Terms; GAAP</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1.05.Interest Rates; LIBOR Notifications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1.07.Status of Obligations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1.08.Letters of Credit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1.09.Divisions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ARTICLE II – The Credits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2.01.Commitments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2.02.Loans and Borrowings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2.03.Requests for Revolving Borrowings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2.04.Protective Advances.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2.05.Swingline Loans and Overadvances.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2.06.Letters of Credit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2.07.Funding of Borrowings.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2.08.Interest Elections.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2.09.Termination of Commitments; Increase in Revolving Commitments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2.10.Repayment and Amortization of Loans; Evidence of Debt.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2.11.Prepayment of Loans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2.13.Interest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2.14.Alternate Rate of Interest; Illegality.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2.15.Increased Costs.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2.16.Break Funding Payments.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2.17.Withholding of Taxes; Gross-Up.</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2.18.Payments Generally; Allocation of Proceeds; Sharing of Set-offs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2.19.Mitigation Obligations; Replacement of Lenders.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2.20.Defaulting Lenders.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2.21.Returned Payments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2.22.Banking Services and Swap Agreements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3.01.Organization; Powers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3.02.Authorization; Enforceability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3.03.Governmental Approvals; No Conflicts.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3.04.Financial Condition; No Material Adverse Change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3.05.Properties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3.06.Litigation and 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3.07.Compliance with Laws and Agreements; No Default.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3.08.Investment Company Status.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3.09.Taxes.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3.10.ERISA</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3.11.Disclosure.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87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3.12.Material Agreements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3.13.Solvency.</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3.14.Insurance.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3.15.Capitalization and Subsidiaries.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3.16.Security Interest in Collateral</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3.17.Employment Matters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3.18.Margin Regulations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3.19.Use of Proceeds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3.20.No Burdensome Restrictions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3.21.Anti-Corruption Laws and Sanctions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3.22.Common Enterprise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3.23.EEA Financial Institutions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3.24.Plan Assets; Prohibited Transactions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ARTICLE IV - Conditions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4.01.Effective Date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4.02.Each Credit Event.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 Affirmative Covenants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5.01.Financial Statements; Borrowing Base and Other Information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5.02.Notices of Material Events.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5.03.Existence; Conduct of Business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5.04.Payment of Obligations.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5.05.Maintenance of Properties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5.06.Books and Records; Inspection Rights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5.07.Compliance with Laws and Material Contractual Obligations.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5.08.Use of Proceeds.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5.09.Accuracy of Information.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5.10.Insurance.</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5.11.Casualty and Condemnation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5.12.Appraisals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5.13.Depository Banks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5.14.Additional Collateral; Further Assurances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ARTICLE VI – Negative Covenants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6.01.Indebtedness.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6.02.Liens.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6.03.Fundamental Changes.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6.04.Investments, Loans, Advances, Guarantees and Acquisitions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6.05.Asset Sales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6.06.Sale and Leaseback Transactions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6.07.Swap Agreements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6.08.Restricted Payments; Certain Payments of Indebtedness.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6.09.Transactions with Affiliates.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6.10.Restrictive Agreements.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6.11.Amendment of Material Documents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6.13.Financial Covenants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 Events of Default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 The Administrative Agent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8.01.Authorization and Action</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25"/>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700" w:type="dxa"/>
            <w:vAlign w:val="bottom"/>
          </w:tcPr>
          <w:p>
            <w:pPr>
              <w:spacing w:after="0"/>
              <w:rPr>
                <w:sz w:val="24"/>
                <w:szCs w:val="24"/>
                <w:color w:val="auto"/>
              </w:rPr>
            </w:pPr>
          </w:p>
        </w:tc>
      </w:tr>
    </w:tbl>
    <w:p>
      <w:pPr>
        <w:spacing w:after="0" w:line="221" w:lineRule="auto"/>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Administrative Agent’s Reliance, Limitation of Liability,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8.02.</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Posting of Communications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The Administrative Agent Individually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8.04.</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Successor Administrative Agent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Acknowledgements of Lenders and Issuing Bank</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8.06.</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Collateral Matters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Credit Bidding</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8.08.</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Certain ERISA Matters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Flood Laws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 -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Notices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9.01.</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Waivers; Amendments.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Expenses; Limitation of Liability; Indemnity; Etc.</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9.03.</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Successors and Assigns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Survival</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9.05.</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Counterparts; Integration; Effectiveness; Electronic Execution.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Severability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9.07.</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Right of Setoff.</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Governing Law; Jurisdiction; Consent to Service of Process.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9.09.</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WAIVER OF JURY TRIAL.</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SECTION 9.11.Headings.</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Confidentiality.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Several Obligations; Nonreliance; Violation of Law</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9.13.</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USA PATRIOT Act.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Disclosure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9.15.</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Appointment for Perfection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Interest Rate Limitation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9.17.</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Marketing Consent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7"/>
          <w:szCs w:val="17"/>
          <w:color w:val="auto"/>
        </w:rPr>
        <w:t>SECTION</w:t>
      </w:r>
      <w:r>
        <w:rPr>
          <w:sz w:val="20"/>
          <w:szCs w:val="20"/>
          <w:color w:val="auto"/>
        </w:rPr>
        <w:tab/>
      </w:r>
      <w:r>
        <w:rPr>
          <w:rFonts w:ascii="Times New Roman" w:cs="Times New Roman" w:eastAsia="Times New Roman" w:hAnsi="Times New Roman"/>
          <w:sz w:val="17"/>
          <w:szCs w:val="17"/>
          <w:color w:val="auto"/>
        </w:rPr>
        <w:t>Acknowledgement and Consent to Bail-In of EEA Financial Institutions</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9.19.</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No Fiduciary Duty, Etc.</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9.20.</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Acknowledgement Regarding Any Supported QFCs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9.21.</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Joint and Several</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9.22.</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Renewal, Extension or 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9.23.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 – Loan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Guaranty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10.01.</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Guaranty of Payment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No Discharge or Diminishment of Loan Guaranty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10.03.</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Defenses Waived.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114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211455"/>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Rights of Subrogation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2">
            <w:col w:w="10260" w:space="720"/>
            <w:col w:w="260"/>
          </w:cols>
          <w:pgMar w:left="320" w:top="580" w:right="339" w:bottom="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8"/>
          <w:szCs w:val="18"/>
          <w:color w:val="auto"/>
        </w:rPr>
        <w:t>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Reinstatement; Stay of Acceleration.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Information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10.07.</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Termination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10.09.</w:t>
      </w:r>
    </w:p>
    <w:p>
      <w:pPr>
        <w:spacing w:after="0" w:line="9"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Maximum Liability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spacing w:after="0"/>
        <w:tabs>
          <w:tab w:leader="none" w:pos="1640" w:val="left"/>
        </w:tabs>
        <w:rPr>
          <w:sz w:val="20"/>
          <w:szCs w:val="20"/>
          <w:color w:val="auto"/>
        </w:rPr>
      </w:pPr>
      <w:r>
        <w:rPr>
          <w:rFonts w:ascii="Times New Roman" w:cs="Times New Roman" w:eastAsia="Times New Roman" w:hAnsi="Times New Roman"/>
          <w:sz w:val="18"/>
          <w:szCs w:val="18"/>
          <w:color w:val="auto"/>
        </w:rPr>
        <w:t>SECTION</w:t>
      </w:r>
      <w:r>
        <w:rPr>
          <w:sz w:val="20"/>
          <w:szCs w:val="20"/>
          <w:color w:val="auto"/>
        </w:rPr>
        <w:tab/>
      </w:r>
      <w:r>
        <w:rPr>
          <w:rFonts w:ascii="Times New Roman" w:cs="Times New Roman" w:eastAsia="Times New Roman" w:hAnsi="Times New Roman"/>
          <w:sz w:val="18"/>
          <w:szCs w:val="18"/>
          <w:color w:val="auto"/>
        </w:rPr>
        <w:t>Contribution</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10.11.</w:t>
      </w:r>
    </w:p>
    <w:p>
      <w:pPr>
        <w:spacing w:after="0" w:line="20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6"/>
          <w:szCs w:val="16"/>
          <w:color w:val="auto"/>
        </w:rPr>
        <w:t>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2">
            <w:col w:w="10260" w:space="720"/>
            <w:col w:w="26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Liability Cumulative</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10.12.</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Keepwell</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10.13.</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0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ARTICLE XI – The Borrower Representative</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Appointment; Nature of Relationship</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11.01.</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11.02.</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Employment of Agents</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11.03.</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11.04.</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Successor Borrower Representative</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11.05.</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Execution of Loan Documents; Borrowing Base Certificate</w:t>
            </w: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11.06.</w:t>
            </w: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w:t>
            </w:r>
          </w:p>
        </w:tc>
        <w:tc>
          <w:tcPr>
            <w:tcW w:w="87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Reporting</w:t>
            </w:r>
          </w:p>
        </w:tc>
      </w:tr>
      <w:tr>
        <w:trPr>
          <w:trHeight w:val="234"/>
        </w:trPr>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11.07.</w:t>
            </w:r>
          </w:p>
        </w:tc>
        <w:tc>
          <w:tcPr>
            <w:tcW w:w="7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823"/>
        </w:trPr>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1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color w:val="auto"/>
                <w:w w:val="99"/>
              </w:rPr>
              <w:t>SCHEDULES:</w:t>
            </w:r>
          </w:p>
        </w:tc>
      </w:tr>
      <w:tr>
        <w:trPr>
          <w:trHeight w:val="4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28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Properties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Disclosed Matters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Material Agreements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Capitalization and Subsidiaries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823"/>
        </w:trPr>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color w:val="auto"/>
                <w:w w:val="94"/>
              </w:rPr>
              <w:t>EXHIBITS:</w:t>
            </w: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760" w:type="dxa"/>
            <w:vAlign w:val="bottom"/>
            <w:tcBorders>
              <w:top w:val="single" w:sz="8" w:color="auto"/>
            </w:tcBorders>
            <w:gridSpan w:val="2"/>
          </w:tcPr>
          <w:p>
            <w:pPr>
              <w:spacing w:after="0"/>
              <w:rPr>
                <w:sz w:val="24"/>
                <w:szCs w:val="24"/>
                <w:color w:val="auto"/>
              </w:rPr>
            </w:pPr>
          </w:p>
        </w:tc>
        <w:tc>
          <w:tcPr>
            <w:tcW w:w="4200" w:type="dxa"/>
            <w:vAlign w:val="bottom"/>
            <w:gridSpan w:val="5"/>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Form of Borrowing Base Certificate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Joinder Agreement</w:t>
            </w: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E-1</w:t>
            </w:r>
          </w:p>
        </w:tc>
        <w:tc>
          <w:tcPr>
            <w:tcW w:w="780" w:type="dxa"/>
            <w:vAlign w:val="bottom"/>
          </w:tcPr>
          <w:p>
            <w:pPr>
              <w:jc w:val="right"/>
              <w:ind w:right="3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E-2</w:t>
            </w:r>
          </w:p>
        </w:tc>
        <w:tc>
          <w:tcPr>
            <w:tcW w:w="7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U.S. Tax Certificate (For Foreign Participants that are not Partnerships for U.S. Federal Income Tax Purposes)</w:t>
            </w: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E-3</w:t>
            </w:r>
          </w:p>
        </w:tc>
        <w:tc>
          <w:tcPr>
            <w:tcW w:w="7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E-4</w:t>
            </w:r>
          </w:p>
        </w:tc>
        <w:tc>
          <w:tcPr>
            <w:tcW w:w="78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9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that are Partnerships for U.S. Federal Income Tax Purposes)</w:t>
            </w: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-6428740</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-5468620</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2">
            <w:col w:w="10260" w:space="720"/>
            <w:col w:w="260"/>
          </w:cols>
          <w:pgMar w:left="320" w:top="580"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AMENDED AND RESTATED CREDIT AGREEMENT dated as of May 19, 2021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Friedman Industries, Incorporated,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Century Metals &amp; Supplies, LLC, a Texas limited liability company (“</w:t>
      </w:r>
      <w:r>
        <w:rPr>
          <w:rFonts w:ascii="Times New Roman" w:cs="Times New Roman" w:eastAsia="Times New Roman" w:hAnsi="Times New Roman"/>
          <w:sz w:val="18"/>
          <w:szCs w:val="18"/>
          <w:u w:val="single" w:color="auto"/>
          <w:color w:val="auto"/>
        </w:rPr>
        <w:t>Century Metals</w:t>
      </w:r>
      <w:r>
        <w:rPr>
          <w:rFonts w:ascii="Times New Roman" w:cs="Times New Roman" w:eastAsia="Times New Roman" w:hAnsi="Times New Roman"/>
          <w:sz w:val="18"/>
          <w:szCs w:val="18"/>
          <w:color w:val="auto"/>
        </w:rPr>
        <w:t>”) and each other Person joined hereto from time to time as a borrower (together with the Company and Century Metals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hereto, the Lenders party hereto, and JPMORGAN CHASE BANK, N.A., as Administrative Agent.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Lenders have extended to the Company a line of credit in an amount not to exceed $20,000,000 at one time outstanding pursuant to that certain Credit Agreement, dated March 4, 2021, by and between the Company and the Lenders, as amended by that certain First Amendment to Credit Agreement, dated April 12, 2021, by and between the Company and the Lenders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amounts advanced to the Company by the Lenders pursuant to the Existing Credit Agreement are evidenced by, and are payable in accordance with the terms of, that certain Line of Credit Note, dated March 4, 2021 and executed by the Company, as amended by that certain Note Modification Agreement, dated April 12, 2021, by and between the Company and the Lenders (the “</w:t>
      </w:r>
      <w:r>
        <w:rPr>
          <w:rFonts w:ascii="Times New Roman" w:cs="Times New Roman" w:eastAsia="Times New Roman" w:hAnsi="Times New Roman"/>
          <w:sz w:val="18"/>
          <w:szCs w:val="18"/>
          <w:u w:val="single" w:color="auto"/>
          <w:color w:val="auto"/>
        </w:rPr>
        <w:t>Existing Note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desire to amend and restate the Existing Credit Agreement in the form of this Agreement, and in connection therewith, repay all indebtedness outstanding under the Existing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NOW, THEREFORE, in consideration of the mutual covenants and agreements herein contained, the Borrowers, the Loan Parties, Administrative Agent and Lenders hereby agree that the Existing Credit Agreement is hereby amended and restated in its entirety on the terms and conditions set forth herein. It is the intention of the Borrowers, the Loan Parties, Administrative Agent and Lenders that this Agreement supersede and replace the Existing Credit Agreement in its entirety;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such amendment and restatement shall operate to renew, amend and modify the rights and obligations of the parties under the Existing Credit Agreement, as applicable and as provided herein, but shall not effect a novation thereof, and (b) the liens securing the Obligations under and as defined in the Existing Credit Agreement shall not be extinguished, but shall be carried forward and shall secure such Obligations as renewed, amended, restated, modified and increased hereby. The Borrowers, the Loan Parties, Administrative Agent and Lenders hereby further agree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w:t>
      </w:r>
    </w:p>
    <w:p>
      <w:pPr>
        <w:spacing w:after="0" w:line="27" w:lineRule="exact"/>
        <w:rPr>
          <w:sz w:val="20"/>
          <w:szCs w:val="20"/>
          <w:color w:val="auto"/>
        </w:rPr>
      </w:pPr>
    </w:p>
    <w:p>
      <w:pPr>
        <w:jc w:val="both"/>
        <w:ind w:firstLine="8"/>
        <w:spacing w:after="0" w:line="253"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purposes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xml:space="preserve">” means, at any time, the aggregate of the Revolving Commitments of all of the Lenders, as increased or reduced from time to time pursuant to the terms and conditions hereof.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Sixth</w:t>
      </w:r>
      <w:r>
        <w:rPr>
          <w:rFonts w:ascii="Times New Roman" w:cs="Times New Roman" w:eastAsia="Times New Roman" w:hAnsi="Times New Roman"/>
          <w:sz w:val="18"/>
          <w:szCs w:val="18"/>
          <w:color w:val="auto"/>
        </w:rPr>
        <w:t xml:space="preserve"> Amendment Effective Date, the Aggregate Revolving Commitment is $</w:t>
      </w:r>
      <w:r>
        <w:rPr>
          <w:rFonts w:ascii="Times New Roman" w:cs="Times New Roman" w:eastAsia="Times New Roman" w:hAnsi="Times New Roman"/>
          <w:sz w:val="18"/>
          <w:szCs w:val="18"/>
          <w:color w:val="FF0000"/>
          <w:strike w:val="1"/>
        </w:rPr>
        <w:t>125,000,000</w:t>
      </w:r>
      <w:r>
        <w:rPr>
          <w:rFonts w:ascii="Times New Roman" w:cs="Times New Roman" w:eastAsia="Times New Roman" w:hAnsi="Times New Roman"/>
          <w:sz w:val="18"/>
          <w:szCs w:val="18"/>
          <w:u w:val="single" w:color="auto"/>
          <w:color w:val="0000FF"/>
        </w:rPr>
        <w:t>140,000,000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Exposure</w:t>
      </w:r>
      <w:r>
        <w:rPr>
          <w:rFonts w:ascii="Times New Roman" w:cs="Times New Roman" w:eastAsia="Times New Roman" w:hAnsi="Times New Roman"/>
          <w:sz w:val="18"/>
          <w:szCs w:val="18"/>
          <w:color w:val="auto"/>
        </w:rPr>
        <w:t>” means, at any time, the aggregate Revolving Exposure of all the Lenders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any Borrower or any of its Subsidiaries from time to time concerning or relating to bribery or corruption.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8.03(c).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Credit Exposure, a percentage based upon its share of the Aggregate Credit Exposure and the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Section 2.20, so long as any Lender shall be a Defaulting Lender, such Defaulting Lender’s Commitment shall be disregarded in the calculations under clauses (a) and (b) above.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Loan, or with respect to the commitment fees payable hereunder, as the case may be, the applicable rate per annum set forth under the applicable caption below:</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0" w:type="dxa"/>
            <w:vAlign w:val="bottom"/>
            <w:tcBorders>
              <w:top w:val="single" w:sz="8" w:color="auto"/>
              <w:left w:val="single" w:sz="8" w:color="auto"/>
              <w:right w:val="single" w:sz="8" w:color="auto"/>
            </w:tcBorders>
          </w:tcPr>
          <w:p>
            <w:pPr>
              <w:spacing w:after="0"/>
              <w:rPr>
                <w:sz w:val="19"/>
                <w:szCs w:val="19"/>
                <w:color w:val="auto"/>
              </w:rPr>
            </w:pPr>
          </w:p>
        </w:tc>
        <w:tc>
          <w:tcPr>
            <w:tcW w:w="1260" w:type="dxa"/>
            <w:vAlign w:val="bottom"/>
            <w:tcBorders>
              <w:top w:val="single" w:sz="8" w:color="auto"/>
            </w:tcBorders>
            <w:shd w:val="clear" w:color="auto" w:fill="B3B3B3"/>
          </w:tcPr>
          <w:p>
            <w:pPr>
              <w:spacing w:after="0"/>
              <w:rPr>
                <w:sz w:val="19"/>
                <w:szCs w:val="19"/>
                <w:color w:val="auto"/>
              </w:rPr>
            </w:pPr>
          </w:p>
        </w:tc>
        <w:tc>
          <w:tcPr>
            <w:tcW w:w="160" w:type="dxa"/>
            <w:vAlign w:val="bottom"/>
            <w:tcBorders>
              <w:top w:val="single" w:sz="8" w:color="auto"/>
            </w:tcBorders>
            <w:shd w:val="clear" w:color="auto" w:fill="B3B3B3"/>
          </w:tcPr>
          <w:p>
            <w:pPr>
              <w:spacing w:after="0"/>
              <w:rPr>
                <w:sz w:val="19"/>
                <w:szCs w:val="19"/>
                <w:color w:val="auto"/>
              </w:rPr>
            </w:pPr>
          </w:p>
        </w:tc>
        <w:tc>
          <w:tcPr>
            <w:tcW w:w="2120" w:type="dxa"/>
            <w:vAlign w:val="bottom"/>
            <w:tcBorders>
              <w:top w:val="single" w:sz="8" w:color="auto"/>
              <w:right w:val="single" w:sz="8" w:color="auto"/>
            </w:tcBorders>
            <w:gridSpan w:val="3"/>
            <w:shd w:val="clear" w:color="auto" w:fill="B3B3B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Revolver</w:t>
            </w:r>
          </w:p>
        </w:tc>
        <w:tc>
          <w:tcPr>
            <w:tcW w:w="1300" w:type="dxa"/>
            <w:vAlign w:val="bottom"/>
            <w:tcBorders>
              <w:top w:val="single" w:sz="8" w:color="auto"/>
            </w:tcBorders>
            <w:shd w:val="clear" w:color="auto" w:fill="B3B3B3"/>
          </w:tcPr>
          <w:p>
            <w:pPr>
              <w:spacing w:after="0"/>
              <w:rPr>
                <w:sz w:val="19"/>
                <w:szCs w:val="19"/>
                <w:color w:val="auto"/>
              </w:rPr>
            </w:pPr>
          </w:p>
        </w:tc>
        <w:tc>
          <w:tcPr>
            <w:tcW w:w="280" w:type="dxa"/>
            <w:vAlign w:val="bottom"/>
            <w:tcBorders>
              <w:top w:val="single" w:sz="8" w:color="auto"/>
            </w:tcBorders>
            <w:shd w:val="clear" w:color="auto" w:fill="B3B3B3"/>
          </w:tcPr>
          <w:p>
            <w:pPr>
              <w:spacing w:after="0"/>
              <w:rPr>
                <w:sz w:val="19"/>
                <w:szCs w:val="19"/>
                <w:color w:val="auto"/>
              </w:rPr>
            </w:pPr>
          </w:p>
        </w:tc>
        <w:tc>
          <w:tcPr>
            <w:tcW w:w="2280" w:type="dxa"/>
            <w:vAlign w:val="bottom"/>
            <w:tcBorders>
              <w:top w:val="single" w:sz="8" w:color="auto"/>
              <w:right w:val="single" w:sz="8" w:color="auto"/>
            </w:tcBorders>
            <w:gridSpan w:val="5"/>
            <w:shd w:val="clear" w:color="auto" w:fill="B3B3B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Revolver</w:t>
            </w:r>
          </w:p>
        </w:tc>
        <w:tc>
          <w:tcPr>
            <w:tcW w:w="1040" w:type="dxa"/>
            <w:vAlign w:val="bottom"/>
            <w:tcBorders>
              <w:top w:val="single" w:sz="8" w:color="auto"/>
            </w:tcBorders>
            <w:shd w:val="clear" w:color="auto" w:fill="B3B3B3"/>
          </w:tcPr>
          <w:p>
            <w:pPr>
              <w:spacing w:after="0"/>
              <w:rPr>
                <w:sz w:val="19"/>
                <w:szCs w:val="19"/>
                <w:color w:val="auto"/>
              </w:rPr>
            </w:pPr>
          </w:p>
        </w:tc>
        <w:tc>
          <w:tcPr>
            <w:tcW w:w="2740" w:type="dxa"/>
            <w:vAlign w:val="bottom"/>
            <w:tcBorders>
              <w:top w:val="single" w:sz="8" w:color="auto"/>
              <w:right w:val="single" w:sz="8" w:color="auto"/>
            </w:tcBorders>
            <w:gridSpan w:val="2"/>
            <w:shd w:val="clear" w:color="auto" w:fill="B3B3B3"/>
          </w:tcPr>
          <w:p>
            <w:pPr>
              <w:spacing w:after="0"/>
              <w:rPr>
                <w:sz w:val="20"/>
                <w:szCs w:val="20"/>
                <w:color w:val="auto"/>
              </w:rPr>
            </w:pPr>
            <w:r>
              <w:rPr>
                <w:rFonts w:ascii="Times New Roman" w:cs="Times New Roman" w:eastAsia="Times New Roman" w:hAnsi="Times New Roman"/>
                <w:sz w:val="18"/>
                <w:szCs w:val="18"/>
                <w:color w:val="auto"/>
              </w:rPr>
              <w:t>Commitment Fee Rate</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260" w:type="dxa"/>
            <w:vAlign w:val="bottom"/>
            <w:shd w:val="clear" w:color="auto" w:fill="B3B3B3"/>
          </w:tcPr>
          <w:p>
            <w:pPr>
              <w:spacing w:after="0" w:line="20" w:lineRule="exact"/>
              <w:rPr>
                <w:sz w:val="1"/>
                <w:szCs w:val="1"/>
                <w:color w:val="auto"/>
              </w:rPr>
            </w:pPr>
          </w:p>
        </w:tc>
        <w:tc>
          <w:tcPr>
            <w:tcW w:w="160" w:type="dxa"/>
            <w:vAlign w:val="bottom"/>
            <w:shd w:val="clear" w:color="auto" w:fill="B3B3B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B3B3B3"/>
          </w:tcPr>
          <w:p>
            <w:pPr>
              <w:spacing w:after="0" w:line="20" w:lineRule="exact"/>
              <w:rPr>
                <w:sz w:val="1"/>
                <w:szCs w:val="1"/>
                <w:color w:val="auto"/>
              </w:rPr>
            </w:pPr>
          </w:p>
        </w:tc>
        <w:tc>
          <w:tcPr>
            <w:tcW w:w="1280" w:type="dxa"/>
            <w:vAlign w:val="bottom"/>
            <w:tcBorders>
              <w:right w:val="single" w:sz="8" w:color="auto"/>
            </w:tcBorders>
            <w:shd w:val="clear" w:color="auto" w:fill="B3B3B3"/>
          </w:tcPr>
          <w:p>
            <w:pPr>
              <w:spacing w:after="0" w:line="20" w:lineRule="exact"/>
              <w:rPr>
                <w:sz w:val="1"/>
                <w:szCs w:val="1"/>
                <w:color w:val="auto"/>
              </w:rPr>
            </w:pPr>
          </w:p>
        </w:tc>
        <w:tc>
          <w:tcPr>
            <w:tcW w:w="1300" w:type="dxa"/>
            <w:vAlign w:val="bottom"/>
            <w:shd w:val="clear" w:color="auto" w:fill="B3B3B3"/>
          </w:tcPr>
          <w:p>
            <w:pPr>
              <w:spacing w:after="0" w:line="20" w:lineRule="exact"/>
              <w:rPr>
                <w:sz w:val="1"/>
                <w:szCs w:val="1"/>
                <w:color w:val="auto"/>
              </w:rPr>
            </w:pPr>
          </w:p>
        </w:tc>
        <w:tc>
          <w:tcPr>
            <w:tcW w:w="280" w:type="dxa"/>
            <w:vAlign w:val="bottom"/>
            <w:shd w:val="clear" w:color="auto" w:fill="B3B3B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B3B3B3"/>
          </w:tcPr>
          <w:p>
            <w:pPr>
              <w:spacing w:after="0" w:line="20" w:lineRule="exact"/>
              <w:rPr>
                <w:sz w:val="1"/>
                <w:szCs w:val="1"/>
                <w:color w:val="auto"/>
              </w:rPr>
            </w:pPr>
          </w:p>
        </w:tc>
        <w:tc>
          <w:tcPr>
            <w:tcW w:w="1320" w:type="dxa"/>
            <w:vAlign w:val="bottom"/>
            <w:tcBorders>
              <w:right w:val="single" w:sz="8" w:color="auto"/>
            </w:tcBorders>
            <w:shd w:val="clear" w:color="auto" w:fill="B3B3B3"/>
          </w:tcPr>
          <w:p>
            <w:pPr>
              <w:spacing w:after="0" w:line="20" w:lineRule="exact"/>
              <w:rPr>
                <w:sz w:val="1"/>
                <w:szCs w:val="1"/>
                <w:color w:val="auto"/>
              </w:rPr>
            </w:pPr>
          </w:p>
        </w:tc>
        <w:tc>
          <w:tcPr>
            <w:tcW w:w="1040" w:type="dxa"/>
            <w:vAlign w:val="bottom"/>
            <w:shd w:val="clear" w:color="auto" w:fill="B3B3B3"/>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B3B3B3"/>
          </w:tcPr>
          <w:p>
            <w:pPr>
              <w:spacing w:after="0" w:line="20" w:lineRule="exact"/>
              <w:rPr>
                <w:sz w:val="1"/>
                <w:szCs w:val="1"/>
                <w:color w:val="auto"/>
              </w:rPr>
            </w:pPr>
          </w:p>
        </w:tc>
      </w:tr>
      <w:tr>
        <w:trPr>
          <w:trHeight w:val="196"/>
        </w:trPr>
        <w:tc>
          <w:tcPr>
            <w:tcW w:w="60" w:type="dxa"/>
            <w:vAlign w:val="bottom"/>
            <w:tcBorders>
              <w:left w:val="single" w:sz="8" w:color="auto"/>
              <w:right w:val="single" w:sz="8" w:color="auto"/>
            </w:tcBorders>
          </w:tcPr>
          <w:p>
            <w:pPr>
              <w:spacing w:after="0"/>
              <w:rPr>
                <w:sz w:val="17"/>
                <w:szCs w:val="17"/>
                <w:color w:val="auto"/>
              </w:rPr>
            </w:pPr>
          </w:p>
        </w:tc>
        <w:tc>
          <w:tcPr>
            <w:tcW w:w="1260" w:type="dxa"/>
            <w:vAlign w:val="bottom"/>
            <w:shd w:val="clear" w:color="auto" w:fill="B3B3B3"/>
          </w:tcPr>
          <w:p>
            <w:pPr>
              <w:spacing w:after="0"/>
              <w:rPr>
                <w:sz w:val="17"/>
                <w:szCs w:val="17"/>
                <w:color w:val="auto"/>
              </w:rPr>
            </w:pPr>
          </w:p>
        </w:tc>
        <w:tc>
          <w:tcPr>
            <w:tcW w:w="1000" w:type="dxa"/>
            <w:vAlign w:val="bottom"/>
            <w:gridSpan w:val="3"/>
            <w:shd w:val="clear" w:color="auto" w:fill="B3B3B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CBFR Spread</w:t>
            </w:r>
          </w:p>
        </w:tc>
        <w:tc>
          <w:tcPr>
            <w:tcW w:w="1280" w:type="dxa"/>
            <w:vAlign w:val="bottom"/>
            <w:tcBorders>
              <w:right w:val="single" w:sz="8" w:color="auto"/>
            </w:tcBorders>
            <w:shd w:val="clear" w:color="auto" w:fill="B3B3B3"/>
          </w:tcPr>
          <w:p>
            <w:pPr>
              <w:spacing w:after="0"/>
              <w:rPr>
                <w:sz w:val="17"/>
                <w:szCs w:val="17"/>
                <w:color w:val="auto"/>
              </w:rPr>
            </w:pPr>
          </w:p>
        </w:tc>
        <w:tc>
          <w:tcPr>
            <w:tcW w:w="1300" w:type="dxa"/>
            <w:vAlign w:val="bottom"/>
            <w:shd w:val="clear" w:color="auto" w:fill="B3B3B3"/>
          </w:tcPr>
          <w:p>
            <w:pPr>
              <w:spacing w:after="0"/>
              <w:rPr>
                <w:sz w:val="17"/>
                <w:szCs w:val="17"/>
                <w:color w:val="auto"/>
              </w:rPr>
            </w:pPr>
          </w:p>
        </w:tc>
        <w:tc>
          <w:tcPr>
            <w:tcW w:w="2560" w:type="dxa"/>
            <w:vAlign w:val="bottom"/>
            <w:tcBorders>
              <w:right w:val="single" w:sz="8" w:color="auto"/>
            </w:tcBorders>
            <w:gridSpan w:val="6"/>
            <w:shd w:val="clear" w:color="auto" w:fill="B3B3B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auto"/>
                <w:w w:val="98"/>
              </w:rPr>
              <w:t>Term Benchmark</w:t>
            </w:r>
          </w:p>
        </w:tc>
        <w:tc>
          <w:tcPr>
            <w:tcW w:w="1040" w:type="dxa"/>
            <w:vAlign w:val="bottom"/>
            <w:shd w:val="clear" w:color="auto" w:fill="B3B3B3"/>
          </w:tcPr>
          <w:p>
            <w:pPr>
              <w:spacing w:after="0"/>
              <w:rPr>
                <w:sz w:val="17"/>
                <w:szCs w:val="17"/>
                <w:color w:val="auto"/>
              </w:rPr>
            </w:pPr>
          </w:p>
        </w:tc>
        <w:tc>
          <w:tcPr>
            <w:tcW w:w="1640" w:type="dxa"/>
            <w:vAlign w:val="bottom"/>
            <w:shd w:val="clear" w:color="auto" w:fill="B3B3B3"/>
          </w:tcPr>
          <w:p>
            <w:pPr>
              <w:spacing w:after="0"/>
              <w:rPr>
                <w:sz w:val="17"/>
                <w:szCs w:val="17"/>
                <w:color w:val="auto"/>
              </w:rPr>
            </w:pPr>
          </w:p>
        </w:tc>
        <w:tc>
          <w:tcPr>
            <w:tcW w:w="1100" w:type="dxa"/>
            <w:vAlign w:val="bottom"/>
            <w:tcBorders>
              <w:right w:val="single" w:sz="8" w:color="auto"/>
            </w:tcBorders>
            <w:shd w:val="clear" w:color="auto" w:fill="B3B3B3"/>
          </w:tcPr>
          <w:p>
            <w:pPr>
              <w:spacing w:after="0"/>
              <w:rPr>
                <w:sz w:val="17"/>
                <w:szCs w:val="17"/>
                <w:color w:val="auto"/>
              </w:rPr>
            </w:pPr>
          </w:p>
        </w:tc>
      </w:tr>
      <w:tr>
        <w:trPr>
          <w:trHeight w:val="237"/>
        </w:trPr>
        <w:tc>
          <w:tcPr>
            <w:tcW w:w="60" w:type="dxa"/>
            <w:vAlign w:val="bottom"/>
            <w:tcBorders>
              <w:left w:val="single" w:sz="8" w:color="auto"/>
              <w:right w:val="single" w:sz="8" w:color="auto"/>
            </w:tcBorders>
          </w:tcPr>
          <w:p>
            <w:pPr>
              <w:spacing w:after="0"/>
              <w:rPr>
                <w:sz w:val="20"/>
                <w:szCs w:val="20"/>
                <w:color w:val="auto"/>
              </w:rPr>
            </w:pPr>
          </w:p>
        </w:tc>
        <w:tc>
          <w:tcPr>
            <w:tcW w:w="1260" w:type="dxa"/>
            <w:vAlign w:val="bottom"/>
            <w:tcBorders>
              <w:top w:val="single" w:sz="8" w:color="B3B3B3"/>
              <w:bottom w:val="single" w:sz="8" w:color="auto"/>
            </w:tcBorders>
            <w:shd w:val="clear" w:color="auto" w:fill="B3B3B3"/>
          </w:tcPr>
          <w:p>
            <w:pPr>
              <w:spacing w:after="0"/>
              <w:rPr>
                <w:sz w:val="20"/>
                <w:szCs w:val="20"/>
                <w:color w:val="auto"/>
              </w:rPr>
            </w:pPr>
          </w:p>
        </w:tc>
        <w:tc>
          <w:tcPr>
            <w:tcW w:w="160" w:type="dxa"/>
            <w:vAlign w:val="bottom"/>
            <w:tcBorders>
              <w:top w:val="single" w:sz="8" w:color="auto"/>
              <w:bottom w:val="single" w:sz="8" w:color="auto"/>
            </w:tcBorders>
            <w:shd w:val="clear" w:color="auto" w:fill="B3B3B3"/>
          </w:tcPr>
          <w:p>
            <w:pPr>
              <w:spacing w:after="0"/>
              <w:rPr>
                <w:sz w:val="20"/>
                <w:szCs w:val="20"/>
                <w:color w:val="auto"/>
              </w:rPr>
            </w:pPr>
          </w:p>
        </w:tc>
        <w:tc>
          <w:tcPr>
            <w:tcW w:w="660" w:type="dxa"/>
            <w:vAlign w:val="bottom"/>
            <w:tcBorders>
              <w:top w:val="single" w:sz="8" w:color="auto"/>
              <w:bottom w:val="single" w:sz="8" w:color="auto"/>
            </w:tcBorders>
            <w:shd w:val="clear" w:color="auto" w:fill="B3B3B3"/>
          </w:tcPr>
          <w:p>
            <w:pPr>
              <w:spacing w:after="0"/>
              <w:rPr>
                <w:sz w:val="20"/>
                <w:szCs w:val="20"/>
                <w:color w:val="auto"/>
              </w:rPr>
            </w:pPr>
          </w:p>
        </w:tc>
        <w:tc>
          <w:tcPr>
            <w:tcW w:w="180" w:type="dxa"/>
            <w:vAlign w:val="bottom"/>
            <w:tcBorders>
              <w:top w:val="single" w:sz="8" w:color="auto"/>
              <w:bottom w:val="single" w:sz="8" w:color="auto"/>
            </w:tcBorders>
            <w:shd w:val="clear" w:color="auto" w:fill="B3B3B3"/>
          </w:tcPr>
          <w:p>
            <w:pPr>
              <w:spacing w:after="0"/>
              <w:rPr>
                <w:sz w:val="20"/>
                <w:szCs w:val="20"/>
                <w:color w:val="auto"/>
              </w:rPr>
            </w:pPr>
          </w:p>
        </w:tc>
        <w:tc>
          <w:tcPr>
            <w:tcW w:w="128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1300" w:type="dxa"/>
            <w:vAlign w:val="bottom"/>
            <w:tcBorders>
              <w:top w:val="single" w:sz="8" w:color="B3B3B3"/>
              <w:bottom w:val="single" w:sz="8" w:color="auto"/>
            </w:tcBorders>
            <w:shd w:val="clear" w:color="auto" w:fill="B3B3B3"/>
          </w:tcPr>
          <w:p>
            <w:pPr>
              <w:spacing w:after="0"/>
              <w:rPr>
                <w:sz w:val="20"/>
                <w:szCs w:val="20"/>
                <w:color w:val="auto"/>
              </w:rPr>
            </w:pPr>
          </w:p>
        </w:tc>
        <w:tc>
          <w:tcPr>
            <w:tcW w:w="280" w:type="dxa"/>
            <w:vAlign w:val="bottom"/>
            <w:tcBorders>
              <w:top w:val="single" w:sz="8" w:color="auto"/>
              <w:bottom w:val="single" w:sz="8" w:color="auto"/>
            </w:tcBorders>
            <w:shd w:val="clear" w:color="auto" w:fill="B3B3B3"/>
          </w:tcPr>
          <w:p>
            <w:pPr>
              <w:spacing w:after="0"/>
              <w:rPr>
                <w:sz w:val="20"/>
                <w:szCs w:val="20"/>
                <w:color w:val="auto"/>
              </w:rPr>
            </w:pPr>
          </w:p>
        </w:tc>
        <w:tc>
          <w:tcPr>
            <w:tcW w:w="960" w:type="dxa"/>
            <w:vAlign w:val="bottom"/>
            <w:tcBorders>
              <w:top w:val="single" w:sz="8" w:color="auto"/>
              <w:bottom w:val="single" w:sz="8" w:color="auto"/>
            </w:tcBorders>
            <w:gridSpan w:val="4"/>
            <w:shd w:val="clear" w:color="auto" w:fill="B3B3B3"/>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132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c>
          <w:tcPr>
            <w:tcW w:w="1040" w:type="dxa"/>
            <w:vAlign w:val="bottom"/>
            <w:tcBorders>
              <w:top w:val="single" w:sz="8" w:color="B3B3B3"/>
              <w:bottom w:val="single" w:sz="8" w:color="auto"/>
            </w:tcBorders>
            <w:shd w:val="clear" w:color="auto" w:fill="B3B3B3"/>
          </w:tcPr>
          <w:p>
            <w:pPr>
              <w:spacing w:after="0"/>
              <w:rPr>
                <w:sz w:val="20"/>
                <w:szCs w:val="20"/>
                <w:color w:val="auto"/>
              </w:rPr>
            </w:pPr>
          </w:p>
        </w:tc>
        <w:tc>
          <w:tcPr>
            <w:tcW w:w="1640" w:type="dxa"/>
            <w:vAlign w:val="bottom"/>
            <w:tcBorders>
              <w:top w:val="single" w:sz="8" w:color="B3B3B3"/>
              <w:bottom w:val="single" w:sz="8" w:color="auto"/>
            </w:tcBorders>
            <w:shd w:val="clear" w:color="auto" w:fill="B3B3B3"/>
          </w:tcPr>
          <w:p>
            <w:pPr>
              <w:spacing w:after="0"/>
              <w:rPr>
                <w:sz w:val="20"/>
                <w:szCs w:val="20"/>
                <w:color w:val="auto"/>
              </w:rPr>
            </w:pPr>
          </w:p>
        </w:tc>
        <w:tc>
          <w:tcPr>
            <w:tcW w:w="1100" w:type="dxa"/>
            <w:vAlign w:val="bottom"/>
            <w:tcBorders>
              <w:top w:val="single" w:sz="8" w:color="B3B3B3"/>
              <w:bottom w:val="single" w:sz="8" w:color="auto"/>
              <w:right w:val="single" w:sz="8" w:color="auto"/>
            </w:tcBorders>
            <w:shd w:val="clear" w:color="auto" w:fill="B3B3B3"/>
          </w:tcPr>
          <w:p>
            <w:pPr>
              <w:spacing w:after="0"/>
              <w:rPr>
                <w:sz w:val="20"/>
                <w:szCs w:val="20"/>
                <w:color w:val="auto"/>
              </w:rPr>
            </w:pPr>
          </w:p>
        </w:tc>
      </w:tr>
      <w:tr>
        <w:trPr>
          <w:trHeight w:val="233"/>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0.25%</w:t>
            </w:r>
          </w:p>
        </w:tc>
        <w:tc>
          <w:tcPr>
            <w:tcW w:w="16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it in Section 8.03(a).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JPMorgan Chase Bank, N.A. in its capacity as sole bookrunner and sole lead arranger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lesser of (i) the Aggregate Revolving Commitment and (ii) the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Revolving Exposure, all as determined by the Administrative Agent in its sole discretion.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means, at any time, the Aggregate Revolving Commitment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(g) of Section 2.14.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Reserves</w:t>
      </w:r>
      <w:r>
        <w:rPr>
          <w:rFonts w:ascii="Times New Roman" w:cs="Times New Roman" w:eastAsia="Times New Roman" w:hAnsi="Times New Roman"/>
          <w:sz w:val="18"/>
          <w:szCs w:val="18"/>
          <w:color w:val="auto"/>
        </w:rPr>
        <w:t>” means all Reserves which the Administrative Agent from time to time establishes in its Permitted Discretion for Banking Services then provided or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firstLine="656"/>
        <w:spacing w:after="0" w:line="258" w:lineRule="auto"/>
        <w:tabs>
          <w:tab w:leader="none" w:pos="11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definitions of “CB Floating Rate,” and “CBFR”,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656"/>
        <w:spacing w:after="0" w:line="266" w:lineRule="auto"/>
        <w:tabs>
          <w:tab w:leader="none" w:pos="11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any respect of any determination, the Benchmark Replacement Date will be deemed to have occurred prior to the Reference Time for such determination and (ii) the “Benchmark Replacement Date” will be deemed to have occurred in the case of clause (1) or (2) with respect to any such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56"/>
        <w:spacing w:after="0" w:line="261" w:lineRule="auto"/>
        <w:tabs>
          <w:tab w:leader="none" w:pos="10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of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date will no longer be, representative.</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Blocking Regulation</w:t>
      </w:r>
      <w:r>
        <w:rPr>
          <w:rFonts w:ascii="Times New Roman" w:cs="Times New Roman" w:eastAsia="Times New Roman" w:hAnsi="Times New Roman"/>
          <w:sz w:val="18"/>
          <w:szCs w:val="18"/>
          <w:color w:val="auto"/>
        </w:rPr>
        <w:t>” has the meaning assigned to it in Section 3.21.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have the meanings assigned to such terms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has the meaning assigned to such term in Section 11.01.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(b) a Swingline Loan, (c) a Protective Advance and (d) an Overadvance.</w:t>
      </w:r>
    </w:p>
    <w:p>
      <w:pPr>
        <w:spacing w:after="0" w:line="22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means, at any time, the sum of (a) 90% of the Borrowers’ Eligible Accounts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product of 85%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Net Orderly Liquidation Value percentage identified in the most recent inventory appraisal ordered by the Administrative Agent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the Borrowers’ Eligible Inventory, valued at the lower of cost or market value, determined on a weighted average cost basis 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identification basis,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(c) Reserves;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the amount of the Borrowing Base with respect to Eligible Inventory under clause (b) shall be limited to 75% of the acquired cost of Eligible Inventory in the aggregate; (2) that the total amount of the Borrowing Base with respect to Eligible Inventory that is in transit from vendors and suppliers shall not exceed $7,500,000 and (3) until all collateral due diligence is completed to the satisfaction of the Administrative Agent in its sole discretion, the amount of the Borrowing Base attributable to Century Assets or arising from the sale of Century Assets shall be limited to (i) during the sixty (60) day period commencing on the Fifth Amendment Effective Date, or such longer period as may be agreed in writing by the Administrative Agent in its sole discretion (provided that, any extension of such period beyond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Fifth Amendment Effective Date shall require the written consent of all Lenders): (A) with respect to Eligible Accounts constituting Century Assets or arising from the sale of Century Assets, 75% of such Eligible Accounts and (B) with respect to Eligible Inventory constituting Century Assets, 50% of the lesser of the market value or the acquired cost of such Eligible Inventory and (ii) during the period thereafter, zero (0).</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Borrowing Base at any time shall be determined by reference to the most recent Borrowing Base Certificate delivered to the Administrative Agent pursuant to Section 5.01(g)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another form which is acceptable to the Administrative Agent in its sole discretion.</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Representative for a Revolving Borrowing in accordance with Section 2.03.</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or Chicago.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 Floating Rate</w:t>
      </w:r>
      <w:r>
        <w:rPr>
          <w:rFonts w:ascii="Times New Roman" w:cs="Times New Roman" w:eastAsia="Times New Roman" w:hAnsi="Times New Roman"/>
          <w:sz w:val="18"/>
          <w:szCs w:val="18"/>
          <w:color w:val="auto"/>
        </w:rPr>
        <w:t>” means, the greater of the Prime Rate or 2.5%. Any change in the CB Floating Rate due to a change in the Prime Rate shall be effective from and including the effective date of such change in the Prime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CBFR</w:t>
      </w:r>
      <w:r>
        <w:rPr>
          <w:rFonts w:ascii="Times New Roman" w:cs="Times New Roman" w:eastAsia="Times New Roman" w:hAnsi="Times New Roman"/>
          <w:sz w:val="18"/>
          <w:szCs w:val="18"/>
          <w:color w:val="auto"/>
        </w:rPr>
        <w:t>”, when used in reference to: (a) a rate of interest, refers to the CB Floating Rate, and (b) any Loan or Borrowing, refers to whether such Loan, or the Loans comprising such Borrowing, bear interest at a rate determined by reference to the CB Floating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w:t>
      </w:r>
      <w:r>
        <w:rPr>
          <w:rFonts w:ascii="Times New Roman" w:cs="Times New Roman" w:eastAsia="Times New Roman" w:hAnsi="Times New Roman"/>
          <w:sz w:val="18"/>
          <w:szCs w:val="18"/>
          <w:color w:val="auto"/>
        </w:rPr>
        <w:t>” means Century Metals &amp; Supplies, Inc., a Florida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Acquisition</w:t>
      </w:r>
      <w:r>
        <w:rPr>
          <w:rFonts w:ascii="Times New Roman" w:cs="Times New Roman" w:eastAsia="Times New Roman" w:hAnsi="Times New Roman"/>
          <w:sz w:val="18"/>
          <w:szCs w:val="18"/>
          <w:color w:val="auto"/>
        </w:rPr>
        <w:t>” means the acquisition, on the Century Acquisition Closing Date, by the Company of certain assets of Century and the other sellers party to the Century Acquisition Documents pursuant to and in accordance with the Century Acquisition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Acquisition Conditions</w:t>
      </w:r>
      <w:r>
        <w:rPr>
          <w:rFonts w:ascii="Times New Roman" w:cs="Times New Roman" w:eastAsia="Times New Roman" w:hAnsi="Times New Roman"/>
          <w:sz w:val="18"/>
          <w:szCs w:val="18"/>
          <w:color w:val="auto"/>
        </w:rPr>
        <w:t>” means the satisfaction, as of the Century Acquisition Closing Date, of each of the following:</w:t>
      </w:r>
    </w:p>
    <w:p>
      <w:pPr>
        <w:spacing w:after="0" w:line="225" w:lineRule="exact"/>
        <w:rPr>
          <w:sz w:val="20"/>
          <w:szCs w:val="20"/>
          <w:color w:val="auto"/>
        </w:rPr>
      </w:pPr>
    </w:p>
    <w:p>
      <w:pPr>
        <w:ind w:left="660" w:firstLine="644"/>
        <w:spacing w:after="0" w:line="282" w:lineRule="auto"/>
        <w:tabs>
          <w:tab w:leader="none" w:pos="17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each in form and substance satisfactory to the Administrative Agent, in its sole discretion, and, where applicable, each duly executed by each party thereto, other than the Administrative Agent</w:t>
      </w:r>
    </w:p>
    <w:p>
      <w:pPr>
        <w:spacing w:after="0" w:line="162" w:lineRule="exact"/>
        <w:rPr>
          <w:sz w:val="20"/>
          <w:szCs w:val="20"/>
          <w:color w:val="auto"/>
        </w:rPr>
      </w:pPr>
    </w:p>
    <w:p>
      <w:pPr>
        <w:ind w:left="1620" w:hanging="316"/>
        <w:spacing w:after="0" w:line="282"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Agreement with respect to real property acquired in connection with the Century Acquisition, duly executed by Century Metals;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Assignment of Purchase Documents (Century); and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Century Subordination Agreement</w:t>
      </w:r>
    </w:p>
    <w:p>
      <w:pPr>
        <w:spacing w:after="0" w:line="225" w:lineRule="exact"/>
        <w:rPr>
          <w:sz w:val="20"/>
          <w:szCs w:val="20"/>
          <w:color w:val="auto"/>
        </w:rPr>
      </w:pPr>
    </w:p>
    <w:p>
      <w:pPr>
        <w:jc w:val="both"/>
        <w:ind w:left="660" w:firstLine="644"/>
        <w:spacing w:after="0" w:line="266" w:lineRule="auto"/>
        <w:tabs>
          <w:tab w:leader="none" w:pos="17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each of the Century Acquisition Documents, having satisfactory terms and conditions (including, without limitation, the amount and forms of the consideration to be paid in connection with the Acquisition) to the Administrative Agent, in its sole discretion, and each duly executed by each party thereto;</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left="660" w:firstLine="644"/>
        <w:spacing w:after="0" w:line="282" w:lineRule="auto"/>
        <w:tabs>
          <w:tab w:leader="none" w:pos="17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set forth in the Century Acquisition Documents shall be and remain true and correct in all material respects as of said time;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approval of, registration or filing with, or any other action by, any Governmental Authority or approval, consent or authorization of any Person is required for the execution, delivery and performance of the Century Acquisition Documents by the parties thereto, except such as have been obtained or made and are in full force and effect, and all applicable waiting periods shall have expired without any action being taken or threatened by any competent authority that would restrain, prevent or otherwise impose adverse conditions on the Century Acquisition, the financing thereof, or the transactions contemplated thereby;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pro forma Borrowing Base Certificate which calculates the Borrowing Base as of a recent date determined by the Administrative Agent and giving effect to the Century Acquisition, together with customary supporting documentation and supplemental reporting to be agreed upon between the Administrative Agent and the Borrower;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to be made on the Effective Date, the issuance of any Letters of Credit on the Effective Date and the payment of all fees and expenses due hereunder, and with all of the Loan Parties’ indebtedness, liabilities, and obligations current, the Excess Availability shall not be less than $21,875,000;</w:t>
      </w:r>
    </w:p>
    <w:p>
      <w:pPr>
        <w:spacing w:after="0" w:line="17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completed all business diligence related to the transactions contemplated by the Century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a copy of a fully executed letter agreement from Iberia Bank, satisfactory to Administrative Agent, confirming that all prior indebtedness of Century and CEME Holdings LLC owing to such lender will be satisfied in full and all Liens upon any of the assets of such Person in favor of such lender will be released, in each case, upon receipt of a stated amount to be paid with the proceeds of the Century Acquisition;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Century Acquisition, the Payment Condition has been satisfied and Borrower Representative shall have delivered to the Administrative Agent with respect thereto the certificate required under clause (c) of the definition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Assets</w:t>
      </w:r>
      <w:r>
        <w:rPr>
          <w:rFonts w:ascii="Times New Roman" w:cs="Times New Roman" w:eastAsia="Times New Roman" w:hAnsi="Times New Roman"/>
          <w:sz w:val="18"/>
          <w:szCs w:val="18"/>
          <w:color w:val="auto"/>
        </w:rPr>
        <w:t>” means assets acquired by the Borrowers in connection with the Century Acquisition or otherwise owned by Century Metals.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Acquisition Closing Date</w:t>
      </w:r>
      <w:r>
        <w:rPr>
          <w:rFonts w:ascii="Times New Roman" w:cs="Times New Roman" w:eastAsia="Times New Roman" w:hAnsi="Times New Roman"/>
          <w:sz w:val="18"/>
          <w:szCs w:val="18"/>
          <w:color w:val="auto"/>
        </w:rPr>
        <w:t>” means the “Closing Date” as defined in the Century 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Acquisition Documents</w:t>
      </w:r>
      <w:r>
        <w:rPr>
          <w:rFonts w:ascii="Times New Roman" w:cs="Times New Roman" w:eastAsia="Times New Roman" w:hAnsi="Times New Roman"/>
          <w:sz w:val="18"/>
          <w:szCs w:val="18"/>
          <w:color w:val="auto"/>
        </w:rPr>
        <w:t>” means that certain Asset Purchase Agreement, dated as of the Century Acquisition Closing Date (the “</w:t>
      </w:r>
      <w:r>
        <w:rPr>
          <w:rFonts w:ascii="Times New Roman" w:cs="Times New Roman" w:eastAsia="Times New Roman" w:hAnsi="Times New Roman"/>
          <w:sz w:val="18"/>
          <w:szCs w:val="18"/>
          <w:u w:val="single" w:color="auto"/>
          <w:color w:val="auto"/>
        </w:rPr>
        <w:t>Century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the Company, as buyer, Century, Palm Lakes Investments LLC, Jemi Investments, LLC and CEME Holdings LLC, as sellers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the equity holders of the Sellers party thereto and each material agreement executed and delivered in connection with the Century Acquisition in each case, as amended, restated or modified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Earn-Out</w:t>
      </w:r>
      <w:r>
        <w:rPr>
          <w:rFonts w:ascii="Times New Roman" w:cs="Times New Roman" w:eastAsia="Times New Roman" w:hAnsi="Times New Roman"/>
          <w:sz w:val="18"/>
          <w:szCs w:val="18"/>
          <w:color w:val="auto"/>
        </w:rPr>
        <w:t>” means the obligations of Friedman Industries, Inc. to pay the “Earn-Out Amount” as defined in the Century Purchase Agreement as in effect as of the Century Acquisition Closing Date, in accordance with the terms thereof.</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Seller Note</w:t>
      </w:r>
      <w:r>
        <w:rPr>
          <w:rFonts w:ascii="Times New Roman" w:cs="Times New Roman" w:eastAsia="Times New Roman" w:hAnsi="Times New Roman"/>
          <w:sz w:val="18"/>
          <w:szCs w:val="18"/>
          <w:color w:val="auto"/>
        </w:rPr>
        <w:t>” means that certain Promissory Note, dated as of the Century Acquisition Closing Date, by Borrower for the benefit of MJR Fund 1, Inc., a Florida corporation (f/k/a Century Metals &amp; Supplies, Inc.), as noteholder in an original principal amount of $3,500,000.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Century Subordination Agreement</w:t>
      </w:r>
      <w:r>
        <w:rPr>
          <w:rFonts w:ascii="Times New Roman" w:cs="Times New Roman" w:eastAsia="Times New Roman" w:hAnsi="Times New Roman"/>
          <w:sz w:val="18"/>
          <w:szCs w:val="18"/>
          <w:color w:val="auto"/>
        </w:rPr>
        <w:t>” means that certain Subordination Agreement dated as of the Century Acquisition Closing Date, by and among Borrowers, Century, Sellers and Administrative Agent.</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other than Permitted Holders, of Equity Interests representing more than 30% of the aggregate ordinary voting power represented by the issued and outstanding Equity Interests of the Company;</w:t>
      </w:r>
    </w:p>
    <w:p>
      <w:pPr>
        <w:spacing w:after="0" w:line="1" w:lineRule="exact"/>
        <w:rPr>
          <w:sz w:val="20"/>
          <w:szCs w:val="20"/>
          <w:color w:val="auto"/>
        </w:rPr>
      </w:pPr>
    </w:p>
    <w:p>
      <w:pPr>
        <w:jc w:val="both"/>
        <w:ind w:firstLine="8"/>
        <w:spacing w:after="0" w:line="252" w:lineRule="auto"/>
        <w:tabs>
          <w:tab w:leader="none" w:pos="2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 at any time of a majority of the seats (other than vacant seats) on the board of directors of the Company by Persons who were not (i) directors of the Company on the date of this Agreement, nominated, appointed or approved for consideration by shareholders for election by the board of directors of the Company (ii) approved by the board of directors of the Company as director candidates prior to their election, nor (iii) appointed by directors so nominated, appointed or approved; or (c) the acquisition of direct or indirect Control of the Company by any Person or group (within the meaning of the Securities Exchange Act of 1934 and the rules of the SEC thereunder as in effect on the date hereof) other than Permitted Holders; or (d) the Company shall cease to own, directly or indirectly, free and clear of all Liens or other encumbrances, at least 100% of the outstanding voting Equity Interests of the other Loan Parties on a fully diluted basis.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Swingline Loans, Protective Advances or Overadvances.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provided that, Collateral shall not include any real property owned by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Assignment of Purchase Documents</w:t>
      </w:r>
      <w:r>
        <w:rPr>
          <w:rFonts w:ascii="Times New Roman" w:cs="Times New Roman" w:eastAsia="Times New Roman" w:hAnsi="Times New Roman"/>
          <w:sz w:val="18"/>
          <w:szCs w:val="18"/>
          <w:color w:val="auto"/>
        </w:rPr>
        <w:t>” means that certain Collateral Assignment of Purchase Documents (including any and all supplements thereto), dated as of the Second Amendment Effective Date, between the Company and the Administrative Agent, as the same may be amended, restated, supplemented or otherwise modified from time to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“Collateral Assignment of Purchase Documents (Century)” means that certain Collateral Assignment of Purchase Documents (including any and all supplements thereto), dated as of the Century Acquisition Closing Date, between the Company and the Administrative Agent, as the same may be amended, restated, supplemented or otherwise modified from time to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has the meaning assigned to such term in the Security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amount of all outstanding commercial Letters of Credit </w:t>
      </w:r>
      <w:r>
        <w:rPr>
          <w:rFonts w:ascii="Times New Roman" w:cs="Times New Roman" w:eastAsia="Times New Roman" w:hAnsi="Times New Roman"/>
          <w:sz w:val="17"/>
          <w:szCs w:val="17"/>
          <w:i w:val="1"/>
          <w:iCs w:val="1"/>
          <w:u w:val="single" w:color="auto"/>
          <w:color w:val="auto"/>
        </w:rPr>
        <w:t>plus</w:t>
      </w:r>
    </w:p>
    <w:p>
      <w:pPr>
        <w:spacing w:after="0" w:line="41" w:lineRule="exact"/>
        <w:rPr>
          <w:sz w:val="20"/>
          <w:szCs w:val="20"/>
          <w:color w:val="auto"/>
        </w:rPr>
      </w:pPr>
    </w:p>
    <w:p>
      <w:pPr>
        <w:jc w:val="both"/>
        <w:ind w:firstLine="8"/>
        <w:spacing w:after="0" w:line="255" w:lineRule="auto"/>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Linked Transaction</w:t>
      </w:r>
      <w:r>
        <w:rPr>
          <w:rFonts w:ascii="Times New Roman" w:cs="Times New Roman" w:eastAsia="Times New Roman" w:hAnsi="Times New Roman"/>
          <w:sz w:val="18"/>
          <w:szCs w:val="18"/>
          <w:color w:val="auto"/>
        </w:rPr>
        <w:t>” shall mean any physically-settled commodity forward or forward option transaction, commodity intermediation transaction, commodity repurchase or reverse repurchase transaction, or other similar commodity linked transaction.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of a Financial Officer of the Borrower Representative in substantially the form of Exhibit 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Disbursement Account</w:t>
      </w:r>
      <w:r>
        <w:rPr>
          <w:rFonts w:ascii="Times New Roman" w:cs="Times New Roman" w:eastAsia="Times New Roman" w:hAnsi="Times New Roman"/>
          <w:sz w:val="18"/>
          <w:szCs w:val="18"/>
          <w:color w:val="auto"/>
        </w:rPr>
        <w:t>” means the account maintained with the Administrative Agent having an account # ending in -6576, and any replacement or additional accounts of the Borrowers maintained with the Administrative Agent as a zero balance, cash management account pursuant to and under any agreement between a Borrower and the Administrative Agent, as modified and amended from time to time, and through which all disbursements of a Borrower, any other Loan Party and any designated Subsidiary of a Borrower are made and settled on a daily basis with no uninvested balance remaining overnight.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Testing Period</w:t>
      </w:r>
      <w:r>
        <w:rPr>
          <w:rFonts w:ascii="Times New Roman" w:cs="Times New Roman" w:eastAsia="Times New Roman" w:hAnsi="Times New Roman"/>
          <w:sz w:val="18"/>
          <w:szCs w:val="18"/>
          <w:color w:val="auto"/>
        </w:rPr>
        <w:t xml:space="preserve">” means a period (a) commencing on the last day of the fiscal month of Borrowers most recently ended prior to a Covenant Trigger Event for which Borrowers have delivered (or are required to have delivered) to Administrative Agent monthly, quarterly or annual financial statements pursuant to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to this Agreement, and (b) continuing through and including the first day thereafter that Availability has equaled or exceeded the greater of (A) 10% of the Aggregate Revolving Commitment or (B) $</w:t>
      </w:r>
      <w:r>
        <w:rPr>
          <w:rFonts w:ascii="Times New Roman" w:cs="Times New Roman" w:eastAsia="Times New Roman" w:hAnsi="Times New Roman"/>
          <w:sz w:val="18"/>
          <w:szCs w:val="18"/>
          <w:color w:val="FF0000"/>
          <w:strike w:val="1"/>
        </w:rPr>
        <w:t>12,500,000</w:t>
      </w:r>
      <w:r>
        <w:rPr>
          <w:rFonts w:ascii="Times New Roman" w:cs="Times New Roman" w:eastAsia="Times New Roman" w:hAnsi="Times New Roman"/>
          <w:sz w:val="18"/>
          <w:szCs w:val="18"/>
          <w:u w:val="single" w:color="auto"/>
          <w:color w:val="0000FF"/>
        </w:rPr>
        <w:t>14,000,000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Trigger Event</w:t>
      </w:r>
      <w:r>
        <w:rPr>
          <w:rFonts w:ascii="Times New Roman" w:cs="Times New Roman" w:eastAsia="Times New Roman" w:hAnsi="Times New Roman"/>
          <w:sz w:val="18"/>
          <w:szCs w:val="18"/>
          <w:color w:val="auto"/>
        </w:rPr>
        <w:t>” means if at any time Availability is less than the greater of (A) 10% of the Aggregate Revolving Commitment or (B) $</w:t>
      </w:r>
      <w:r>
        <w:rPr>
          <w:rFonts w:ascii="Times New Roman" w:cs="Times New Roman" w:eastAsia="Times New Roman" w:hAnsi="Times New Roman"/>
          <w:sz w:val="18"/>
          <w:szCs w:val="18"/>
          <w:color w:val="FF0000"/>
          <w:strike w:val="1"/>
        </w:rPr>
        <w:t>12,500,000</w:t>
      </w:r>
      <w:r>
        <w:rPr>
          <w:rFonts w:ascii="Times New Roman" w:cs="Times New Roman" w:eastAsia="Times New Roman" w:hAnsi="Times New Roman"/>
          <w:sz w:val="18"/>
          <w:szCs w:val="18"/>
          <w:u w:val="single" w:color="auto"/>
          <w:color w:val="0000FF"/>
        </w:rPr>
        <w:t>14,000,000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such Lender’s Revolving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 the Swingline Lender or any other Lender.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(i)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Funding Date</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Account Debtor</w:t>
      </w:r>
      <w:r>
        <w:rPr>
          <w:rFonts w:ascii="Times New Roman" w:cs="Times New Roman" w:eastAsia="Times New Roman" w:hAnsi="Times New Roman"/>
          <w:sz w:val="18"/>
          <w:szCs w:val="18"/>
          <w:color w:val="auto"/>
        </w:rPr>
        <w:t>” means (i) until such time as approval has been rescinded in writing by Administrative Agent, Marathon Equipment Company and (ii) any other Account Debtor obligated with respect to Accounts owing by having 90-day payment terms that is approved in writing by Administrative Agent in its sole discretion, and for which such approval has not been rescinded in writing by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Net Income for such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(iv) any extraordinary non-cash charges for such period and (v) any other non-cash charges for such period (but excluding any non-cash charge in respect of an item that was included in Net Income in a prior period and any non-cash charge that relates to the write-down or write-off of inventory),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Company and its Subsidiaries on a consolidated basis in accordance with GAAP.</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at any time, the Accounts of a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76" w:lineRule="exact"/>
        <w:rPr>
          <w:sz w:val="20"/>
          <w:szCs w:val="20"/>
          <w:color w:val="auto"/>
        </w:rPr>
      </w:pPr>
    </w:p>
    <w:p>
      <w:pPr>
        <w:ind w:left="1900" w:hanging="596"/>
        <w:spacing w:after="0"/>
        <w:tabs>
          <w:tab w:leader="none" w:pos="1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security interest in favor of the Administrative Agent;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 respect to which the scheduled due date is more than 60 days </w:t>
      </w:r>
      <w:r>
        <w:rPr>
          <w:rFonts w:ascii="Times New Roman" w:cs="Times New Roman" w:eastAsia="Times New Roman" w:hAnsi="Times New Roman"/>
          <w:sz w:val="18"/>
          <w:szCs w:val="18"/>
          <w:color w:val="009900"/>
          <w:strike w:val="1"/>
        </w:rPr>
        <w:t>(or, with respect to Accounts owing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 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Account Debtor, 90 days)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after the date of the original invoice therefor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(unless such Account is owing by a Designated Account Debtor approved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by Administrative Agent in its sole discretion)</w:t>
      </w:r>
      <w:r>
        <w:rPr>
          <w:rFonts w:ascii="Times New Roman" w:cs="Times New Roman" w:eastAsia="Times New Roman" w:hAnsi="Times New Roman"/>
          <w:sz w:val="18"/>
          <w:szCs w:val="18"/>
          <w:color w:val="000000"/>
        </w:rPr>
        <w:t>, (ii) which is unpaid more than 90 days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9900"/>
        </w:rPr>
        <w:t>(or, with respect to Accounts owing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Marathon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Equipment Company, such period as may be otherwise agreed to by Administrative Agent in its sole discretion, up to 120 days)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after the date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original invoice therefor or more than 60 days after the original due date therefor (“Overage”),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when calculating the amount under this clause (ii), for the same Account Debtor, the Administrative Agent shall include the net amount of such Overage and add back any credits, but only to the extent that such credits do not exceed the total gross receivables from such Account Debtor, or (iii) which has been written off the books of such Borrower or otherwise designated as uncollectible;</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20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for which more than 50% of the Accounts owing from such Account Debtor and its Affiliates are ineligible pursuant to clause (c) above;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to the extent the aggregate amount of Accounts owing from such Account Debtor and its Affiliates to all Borrowers exceeds 20% of the aggregate amount of Eligible Accounts of all Borrowers;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-2421890</wp:posOffset>
            </wp:positionV>
            <wp:extent cx="716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628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-2284730</wp:posOffset>
            </wp:positionV>
            <wp:extent cx="12128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left="660" w:firstLine="644"/>
        <w:spacing w:after="0" w:line="258" w:lineRule="auto"/>
        <w:tabs>
          <w:tab w:leader="none" w:pos="19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the sale of goods or performance of services in the ordinary course of business, (ii) is not evidenced by an invoice or other documentation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9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(iv) admitted in writing its inability, or is generally unable to, pay its debts as they become due, (v) become insolvent, or (vi) ceased operation of its business;</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Account Debtor which has sold all or substantially all of its assets;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 does not maintain its chief executive office in the U.S. or any territory thereof or Canada or (ii) is not organized under applicable law of the U.S., any state or territory of the U.S., or the District of Columbia, Canada, or any province of Canada unless, in any such case, such Account is backed by a Letter of Credit acceptable to the Administrative Agent which is in the possession of, and is directly drawable by, the Administrative Agent;</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in any currency other than U.S. dollars;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41 U.S.C. § 15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other steps necessary to perfect the Lien of the Administrative Agent in such Account have been complied with to the Administrative Agent’s satisfaction;</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9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Affiliate of any Loan Party or any employee, officer, director, agent or stockholder of any Loan Party or any of its Affiliates;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left="1920" w:hanging="616"/>
        <w:spacing w:after="0"/>
        <w:tabs>
          <w:tab w:leader="none" w:pos="1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for any Account Debtor, exceeds a credit limit determined by the Administrative Agent, to the extent of such excess;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counterclaim, deduction, defense, setoff or dispute (in each case, only to the extent of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evidenced by any promissory note, chattel paper or instrument;</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20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(i) located in any jurisdiction which requires filing of a “Notice of Business Activities Report” or other similar report in order to permit such Borrower to seek judicial enforcement in such jurisdiction of payment of such Account, unless such Borrower has filed such report or qualified to do business in such jurisdiction or (ii) which is a Sanctioned Person;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such Borrower has made any agreement with the Account Debtor for any reduction thereof, other than discounts and adjustments given in the ordinary course of business and only to the extent of such reduction, or any Account which was partially paid and such Borrower created a new receivable for the unpaid portion of such Account;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was created on cash on delivery terms;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 field examination of such Account, the results of which shall are satisfactory to the Administrative Agent and (ii) such Account does not secure any Indebtedness permitted by Section 6.01(j);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determines may not be paid by reason of the Account Debtor’s inability to pay or which the Administrative Agent otherwise reasonably determines is unacceptable for any reason whatsoever.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Borrowing Base Certificate. In determining the amount of an Eligible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Finished Goods</w:t>
      </w:r>
      <w:r>
        <w:rPr>
          <w:rFonts w:ascii="Times New Roman" w:cs="Times New Roman" w:eastAsia="Times New Roman" w:hAnsi="Times New Roman"/>
          <w:sz w:val="18"/>
          <w:szCs w:val="18"/>
          <w:color w:val="auto"/>
        </w:rPr>
        <w:t>” means, Eligible Inventory constituting finished goods to be sold by a Borrower in the ordinary course of business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at any time, the Inventory of a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76" w:lineRule="exact"/>
        <w:rPr>
          <w:sz w:val="20"/>
          <w:szCs w:val="20"/>
          <w:color w:val="auto"/>
        </w:rPr>
      </w:pPr>
    </w:p>
    <w:p>
      <w:pPr>
        <w:ind w:left="2560" w:hanging="608"/>
        <w:spacing w:after="0"/>
        <w:tabs>
          <w:tab w:leader="none" w:pos="2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Administrative Agent;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 and which does not conform in all material respects to all standards imposed by any Governmental Authority;</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such Borrower shall (i) have any direct or indirect ownership, interest or title or (ii) be indicated on any purchase order or invoice with respect to such Inventory as having or purporting to have an interest therein;</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unless such Inventory is Eligible Finished Goods or Eligible Raw Materials, does not constitute finished goods,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ind w:left="660" w:firstLine="1292"/>
        <w:spacing w:after="0" w:line="266" w:lineRule="auto"/>
        <w:tabs>
          <w:tab w:leader="none" w:pos="27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not located in the U.S. or is in transit with a common carrier from vendors and suppliers or has not been released or cleared for sale by US Customs and Border Protection, or other regulatory agencies,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Inventory in transit from vendors and suppliers may be included as Eligible Inventory despite the foregoing provision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so long as:</w:t>
      </w:r>
    </w:p>
    <w:p>
      <w:pPr>
        <w:spacing w:after="0" w:line="175" w:lineRule="exact"/>
        <w:rPr>
          <w:rFonts w:ascii="Times New Roman" w:cs="Times New Roman" w:eastAsia="Times New Roman" w:hAnsi="Times New Roman"/>
          <w:sz w:val="18"/>
          <w:szCs w:val="18"/>
          <w:color w:val="auto"/>
        </w:rPr>
      </w:pPr>
    </w:p>
    <w:p>
      <w:pPr>
        <w:jc w:val="both"/>
        <w:ind w:left="1300" w:firstLine="1228"/>
        <w:spacing w:after="0" w:line="266" w:lineRule="auto"/>
        <w:tabs>
          <w:tab w:leader="none" w:pos="31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(1) a true and correct copy of the non-negotiable bill of lading and other shipping documents for such Inventory and (2) evidence of satisfactory casualty insurance naming the Administrative Agent as lender loss payable and otherwise covering such risks as the Administrative Agent may reasonably request,</w:t>
      </w:r>
    </w:p>
    <w:p>
      <w:pPr>
        <w:spacing w:after="0" w:line="175" w:lineRule="exact"/>
        <w:rPr>
          <w:rFonts w:ascii="Times New Roman" w:cs="Times New Roman" w:eastAsia="Times New Roman" w:hAnsi="Times New Roman"/>
          <w:sz w:val="18"/>
          <w:szCs w:val="18"/>
          <w:color w:val="auto"/>
        </w:rPr>
      </w:pPr>
    </w:p>
    <w:p>
      <w:pPr>
        <w:jc w:val="both"/>
        <w:ind w:left="1300" w:firstLine="1228"/>
        <w:spacing w:after="0" w:line="266" w:lineRule="auto"/>
        <w:tabs>
          <w:tab w:leader="none" w:pos="31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must be in transit within the U.S., and the Administrative Agent shall have received, if requested, a duly executed Collateral Access Agreement, in form and substance satisfactory to the Administrative Agent, from the applicable customs broker, freight forwarder or carrier for such Inventory, and</w:t>
      </w:r>
    </w:p>
    <w:p>
      <w:pPr>
        <w:spacing w:after="0" w:line="175" w:lineRule="exact"/>
        <w:rPr>
          <w:rFonts w:ascii="Times New Roman" w:cs="Times New Roman" w:eastAsia="Times New Roman" w:hAnsi="Times New Roman"/>
          <w:sz w:val="18"/>
          <w:szCs w:val="18"/>
          <w:color w:val="auto"/>
        </w:rPr>
      </w:pPr>
    </w:p>
    <w:p>
      <w:pPr>
        <w:ind w:left="3200" w:hanging="672"/>
        <w:spacing w:after="0"/>
        <w:tabs>
          <w:tab w:leader="none" w:pos="32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carrier is not an Affiliate of the applicable vendor or supplier.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5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sole discretion; provided that, with respect to Inventory that is a located at a location subject to a lease assigned to or entered into by such Borrower in connection with the Century Acquisition, such Inventory will not be rendered ineligible solely by virtue of this clause (h) during the ninety (90) day period beginning on the Fifth Amendment Effective Date (or such later date as may be agreed in writing by the Administrative Agent in its sole discretion).</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and is not evidenced by a Document (other than bills of lading to the extent permitted pursuant to clause (g) above), unless (i) such warehouseman or bailee has delivered to the Administrative Agent a Collateral Access Agreement and such other documentation as the Administrative Agent may require or (ii) an appropriate Reserve has been established by the Administrative Agent in its sole discretion;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in-transit to or from such third party location or outside processor, unless (i) such processor has delivered to the Administrative Agent a Collateral Access Agreement and such other documentation as the Administrative Agent may require or (ii) an appropriate Reserve has been established by the Administrative Agent in its sole discretion;</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the subject of a consignment by such Borrower as consignor;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reflected in a current perpetual inventory report of such Borrower;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left="2560" w:hanging="608"/>
        <w:spacing w:after="0"/>
        <w:tabs>
          <w:tab w:leader="none" w:pos="2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acquired from a Sanctioned Person;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an appraisal and field examination of such Inventory, the results of which shall be satisfactory to the Administrative Agent in its Permitted Discretion and (ii) such Inventory does not secure any Indebtedness permitted by Section 6.01(j); and</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otherwise determines in its Permitted Discretion is unacceptable for any reason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whatsoever.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Inventory of a Borrower which was previously Eligible Inventory ceases to be Eligible Inventory hereunder, such Borrower or the Borrower Representative shall notify the Administrative Agent thereof on and at the time of submission to the Administrative Agent of the next Borrowing Base Certificate.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Raw Materials</w:t>
      </w:r>
      <w:r>
        <w:rPr>
          <w:rFonts w:ascii="Times New Roman" w:cs="Times New Roman" w:eastAsia="Times New Roman" w:hAnsi="Times New Roman"/>
          <w:sz w:val="18"/>
          <w:szCs w:val="18"/>
          <w:color w:val="auto"/>
        </w:rPr>
        <w:t>” means, Eligible Inventory of a Borrower constituting raw materials used or consumed by a Borrower in the ordinary course of business in the manufacture or production of other inventory, excluding Eligible Finished Goods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Borrower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Availability</w:t>
      </w:r>
      <w:r>
        <w:rPr>
          <w:rFonts w:ascii="Times New Roman" w:cs="Times New Roman" w:eastAsia="Times New Roman" w:hAnsi="Times New Roman"/>
          <w:sz w:val="18"/>
          <w:szCs w:val="18"/>
          <w:color w:val="auto"/>
        </w:rPr>
        <w:t xml:space="preserve">” means, at any time, an amount equal to (a) Availability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aggregate amount of all outstanding trade payables of the Borrowers which have been unpaid for more than 60 days after the due date therefor (other than trade payables being contested or disputed in good faith), all as determined by the Administrative Agent in its sole discretion.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Recipient's failure to comply with Section 2.17(f); and (d) any withholding Taxes imposed under FATCA.</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Extenuating Circumstance</w:t>
      </w:r>
      <w:r>
        <w:rPr>
          <w:rFonts w:ascii="Times New Roman" w:cs="Times New Roman" w:eastAsia="Times New Roman" w:hAnsi="Times New Roman"/>
          <w:sz w:val="18"/>
          <w:szCs w:val="18"/>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by and among Administrative Agent and the Borrowers, dated as of May 19, 2021, as the same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 Effective Date</w:t>
      </w:r>
      <w:r>
        <w:rPr>
          <w:rFonts w:ascii="Times New Roman" w:cs="Times New Roman" w:eastAsia="Times New Roman" w:hAnsi="Times New Roman"/>
          <w:sz w:val="18"/>
          <w:szCs w:val="18"/>
          <w:color w:val="auto"/>
        </w:rPr>
        <w:t>” means August 29,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 Fee Letter</w:t>
      </w:r>
      <w:r>
        <w:rPr>
          <w:rFonts w:ascii="Times New Roman" w:cs="Times New Roman" w:eastAsia="Times New Roman" w:hAnsi="Times New Roman"/>
          <w:sz w:val="18"/>
          <w:szCs w:val="18"/>
          <w:color w:val="auto"/>
        </w:rPr>
        <w:t>” means that certain Fee Letter by and among Administrative Agent and the Company, dated as of the Fifth Amendment Effective Date, as the same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a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March 11, 2022.</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at any date, the ratio of (a)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Unfinanced Capital Expenditures to (b) Fixed Charges for such period, all calculated for the period of twelve consecutive calendar months ended on such date (or, if such date is not the last day of a calendar month, ended on the last day of the calendar month most recently ended prior to such date).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scheduled principal payments on Indebtedness actually made,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expenses for Taxes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Restricted Payments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Capital Lease Obligation payments,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cash contributions to any Plan, all calculated for the Company and its Subsidiaries on a consolidated basis in accordance with GAAP.</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as of the Second Amendment Effective Date shall be 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IBA</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Representative to convert or continue a Borrowing in accordance with Section 2.08.</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CBFR Loan (other than a Swingline Loan), the first Business Day of each calendar month and the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individually and collectively, each of JPMCB,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Sublimit</w:t>
      </w:r>
      <w:r>
        <w:rPr>
          <w:rFonts w:ascii="Times New Roman" w:cs="Times New Roman" w:eastAsia="Times New Roman" w:hAnsi="Times New Roman"/>
          <w:sz w:val="18"/>
          <w:szCs w:val="18"/>
          <w:color w:val="auto"/>
        </w:rPr>
        <w:t>” means, as of the Fifth Amendment Effective Date, (a) $40,000,000, in the case of JPMCB and (b)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 Representative.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an Issuing Bank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issued pursuant to this Agreement,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it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promissory notes issued pursuant to this Agreement, any Letter of Credit Agreement, the Collateral Documents, the Negative Pledge Agreement, the Collateral Assignment of Purchase Documents, the Collateral Assignment of Purchase Documents (Century), each Compliance Certificate, the Loan Guaranty, the Fee Letter, the Second Amendment Fee Letter, the Fifth Amendment Fee Letter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means each Loan Party.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the Borrowers’ Domestic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Swingline Loans, Overadvances and Protective Advances.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prospects or condition, financial or otherwise, of the Company and the other Loan Parties taken as a whole, (b) the ability of any Loan Party to perform any of its Obligations, (c) the Collateral, or the Administrative Agent’s Liens (on behalf of itself and other Secured Parties) on the Collateral or the priority of such Liens, or (d) the rights of or benefits available to the Administrative Agent, the Issuing Bank or the Lenders under any of the Loan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means all material agreements and contracts identified in Section 3.12 of the Disclosure Certificate.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Company and its Subsidiaries in an aggregate principal amount exceeding $1,000,000. For purposes of determining Material Indebtedness, the “principal amount” of the obligations of the Borrowers or any Subsidiary in respect of any Swap Agreement at any time shall be the maximum aggregate amount (giving effect to any netting agreements) that such Borrower or such Subsidiary would be required to pay if such Swap Agreement were terminated at such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August 29, 2030 or any earlier date on which the Commitments are reduced to zero or otherwise terminated pursuant to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Pledge Agreement</w:t>
      </w:r>
      <w:r>
        <w:rPr>
          <w:rFonts w:ascii="Times New Roman" w:cs="Times New Roman" w:eastAsia="Times New Roman" w:hAnsi="Times New Roman"/>
          <w:sz w:val="18"/>
          <w:szCs w:val="18"/>
          <w:color w:val="auto"/>
        </w:rPr>
        <w:t>” means that certain Negative Pledge Agreement (including any and all supplements thereto), dated as of the Second Amendment Effective Date, among the Loan Parties and the Administrative Agent, and any other negative pledge agreement entered into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Company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Orderly Liquidation Value</w:t>
      </w:r>
      <w:r>
        <w:rPr>
          <w:rFonts w:ascii="Times New Roman" w:cs="Times New Roman" w:eastAsia="Times New Roman" w:hAnsi="Times New Roman"/>
          <w:sz w:val="18"/>
          <w:szCs w:val="18"/>
          <w:color w:val="auto"/>
        </w:rPr>
        <w:t>” means, with respect to Inventory of any Person, the orderly liquidation value thereof as determined in a manner acceptable to the Administrative Agent in its Permitted Discretion by an appraiser acceptable to the Administrative Agent, net of all costs of liquidation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w:t>
      </w:r>
      <w:r>
        <w:rPr>
          <w:rFonts w:ascii="Times New Roman" w:cs="Times New Roman" w:eastAsia="Times New Roman" w:hAnsi="Times New Roman"/>
          <w:sz w:val="18"/>
          <w:szCs w:val="18"/>
          <w:color w:val="auto"/>
        </w:rPr>
        <w:t>” shall be deemed to be satisfied in connection with a Subject Transaction if:</w:t>
      </w:r>
    </w:p>
    <w:p>
      <w:pPr>
        <w:spacing w:after="0" w:line="22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or would result immediately after giving effect to such Subject Transaction;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to and at all times during the 30-day period immediately prior to such Subject Transaction, the Borrowers shall have either (i) (A) Availability calculated on a pro forma basis after giving effect to such Subject Transaction of not less than the greater of (1) 15% of the Aggregate Revolving Commitment and (2) </w:t>
      </w:r>
      <w:r>
        <w:rPr>
          <w:rFonts w:ascii="Times New Roman" w:cs="Times New Roman" w:eastAsia="Times New Roman" w:hAnsi="Times New Roman"/>
          <w:sz w:val="18"/>
          <w:szCs w:val="18"/>
          <w:color w:val="FF0000"/>
          <w:strike w:val="1"/>
        </w:rPr>
        <w:t>$18,750,000</w:t>
      </w:r>
      <w:r>
        <w:rPr>
          <w:rFonts w:ascii="Times New Roman" w:cs="Times New Roman" w:eastAsia="Times New Roman" w:hAnsi="Times New Roman"/>
          <w:sz w:val="18"/>
          <w:szCs w:val="18"/>
          <w:u w:val="single" w:color="auto"/>
          <w:color w:val="0000FF"/>
        </w:rPr>
        <w:t>21,000,000</w:t>
      </w:r>
      <w:r>
        <w:rPr>
          <w:rFonts w:ascii="Times New Roman" w:cs="Times New Roman" w:eastAsia="Times New Roman" w:hAnsi="Times New Roman"/>
          <w:sz w:val="18"/>
          <w:szCs w:val="18"/>
          <w:color w:val="auto"/>
        </w:rPr>
        <w:t xml:space="preserve"> and (B) a Fixed Charge Coverage Ratio for the most recently completed trailing twelve month period for which the Borrowers are required to have delivered financial statements to the Administrative Agent in accordance with the terms of this Agreement, calculated on a pro forma basis as if such Subject Transaction had been made on the last day of such period, of not less than 1.10 to 1.00, or (ii) Availability calculated on a pro forma basis after giving effect to such Subject Transaction of not less than (1) 17.5% of the Aggregate Revolving Commitment and (2) </w:t>
      </w:r>
      <w:r>
        <w:rPr>
          <w:rFonts w:ascii="Times New Roman" w:cs="Times New Roman" w:eastAsia="Times New Roman" w:hAnsi="Times New Roman"/>
          <w:sz w:val="18"/>
          <w:szCs w:val="18"/>
          <w:color w:val="FF0000"/>
          <w:strike w:val="1"/>
        </w:rPr>
        <w:t>$21,875,000</w:t>
      </w:r>
      <w:r>
        <w:rPr>
          <w:rFonts w:ascii="Times New Roman" w:cs="Times New Roman" w:eastAsia="Times New Roman" w:hAnsi="Times New Roman"/>
          <w:sz w:val="18"/>
          <w:szCs w:val="18"/>
          <w:u w:val="single" w:color="auto"/>
          <w:color w:val="0000FF"/>
        </w:rPr>
        <w:t>24,500,000</w:t>
      </w:r>
      <w:r>
        <w:rPr>
          <w:rFonts w:ascii="Times New Roman" w:cs="Times New Roman" w:eastAsia="Times New Roman" w:hAnsi="Times New Roman"/>
          <w:sz w:val="18"/>
          <w:szCs w:val="18"/>
          <w:color w:val="auto"/>
        </w:rPr>
        <w:t>; and</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a certificate in form and substance reasonably satisfactory to the Administrative Agent certifying as to the items described in (a) and (b) above and attaching calculations for item (b).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any Subject Transaction that is a Permitted Acquisition, item (b) above shall be calculated as if all consideration given in connection with such Acquisition, other than Equity Interests of the applicable Borrower delivered to the seller(s) in such Acquisition, is paid in cash at the time of making such Acquisition.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“Subject Transaction” shall mean any (i) Restricted Payment, (ii) Permitted Acquisition, (iii) an investment, loan, advance or guaranty described in Section 6.04(c), (d) or (e) or (iv) a payment of Indebtedness described in Section 6.08(b)(iii) or (iv).</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1680" w:hanging="376"/>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not a hostile or contested acquisition;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in all material respects (other than any representation or warranty that is expressly qualified by a Material Adverse Effect or other materiality, in which case such representation or warranty shall be true and correct in all respects) and no Default (including any Default in compliance (on a pro forma basis) with the covenants contained in Section 6.12(a)) exists, will exist, or would result therefrom;</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7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the Equity Interests of a Person, such Acquisition is structured so that the acquired Person shall become a Wholly-Owned Subsidiary of a Borrower or a Loan Party pursuant to the terms of this Agreement;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assets, such Acquisition is structured so that a Borrower or another Loan Party shall acquire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assets;</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left="1700" w:hanging="396"/>
        <w:spacing w:after="0"/>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involves a merger or a consolidation involving a Borrower or any other Loan Party, such Borrower or such Loan Party, as applicable, shall be the surviving entity;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as a result of or in connection with any such Acquisition, assume or incur any direct or contingent liabilities (whether relating to environmental, Tax, litigation, or other matters)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Acquisition of the Equity Interests of any Person, all Liens on property of such Person (other than Liens permitted by Section 6.02) shall be terminated unless the Administrative Agent and the Lenders in their sole discretion consent otherwise, and in connection with an Acquisition of the assets of any Person, all Liens on such assets (other than Liens permitted by Section 6.02) shall be terminated;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 the total consideration (including the maximum potential total amount of all deferred payment obligations (including earn-outs) and Indebtedness assumed or incurred) of such Acquisition does not exceed $2,000,000 or (ii) the purchase price for such Acquisition is paid exclusively with (a) the proceeds of a cash equity contribution to the Company, (b) the proceeds of the issuance by the Company of any Equity Interests or (c) Equity Interests of the Company delivered to the seller(s) in such Acquisition, or a combination thereof, then, with respect to such Acquisition, the Payment Condition has been satisfied;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7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with respect to any newly acquired or formed Wholly-Owned Subsidiary of a Borrower or a Loan Party, as applicable, required under Section 5.14 shall have been taken;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the final executed material documentation relating to such Acquisition within 10 days following the consummation thereof.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900" w:hanging="596"/>
        <w:spacing w:after="0"/>
        <w:tabs>
          <w:tab w:leader="none" w:pos="1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delinquent or are being contested in compliance with Section 5.04;</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left="660" w:firstLine="644"/>
        <w:spacing w:after="0" w:line="282" w:lineRule="auto"/>
        <w:tabs>
          <w:tab w:leader="none" w:pos="19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the Commodities Intermediary in the Commodities Intermediary Account, provided that such Liens secure obligations permitted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except with respect to clause (e) above.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shall mean (i) Dimensional Fund Advisors LP and their Affiliates (ii) Renaissance Technologies Holdings Corporation and their Affiliates and (iii) members of management of the Company who are holders of Equity Interests of the Company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right="20" w:firstLine="644"/>
        <w:spacing w:after="0" w:line="266" w:lineRule="auto"/>
        <w:tabs>
          <w:tab w:leader="none" w:pos="19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Acquisition</w:t>
      </w:r>
      <w:r>
        <w:rPr>
          <w:rFonts w:ascii="Times New Roman" w:cs="Times New Roman" w:eastAsia="Times New Roman" w:hAnsi="Times New Roman"/>
          <w:sz w:val="18"/>
          <w:szCs w:val="18"/>
          <w:color w:val="auto"/>
        </w:rPr>
        <w:t>” means the acquisition, on or about the Second Amendment Effective Date, by the Company of certain assets of Plate Plus, Inc. pursuant to and in accordance with the Plateplus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Assets</w:t>
      </w:r>
      <w:r>
        <w:rPr>
          <w:rFonts w:ascii="Times New Roman" w:cs="Times New Roman" w:eastAsia="Times New Roman" w:hAnsi="Times New Roman"/>
          <w:sz w:val="18"/>
          <w:szCs w:val="18"/>
          <w:color w:val="auto"/>
        </w:rPr>
        <w:t>” means, the assets acquired by the Borrowers in connection with the Plateplus Acquisition.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Purchase Agreement</w:t>
      </w:r>
      <w:r>
        <w:rPr>
          <w:rFonts w:ascii="Times New Roman" w:cs="Times New Roman" w:eastAsia="Times New Roman" w:hAnsi="Times New Roman"/>
          <w:sz w:val="18"/>
          <w:szCs w:val="18"/>
          <w:color w:val="auto"/>
        </w:rPr>
        <w:t>” means, the Asset Purchase Agreement, dated as of April 26, 2022, by and among the Company, Plateplus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sole stockholder of Plateplus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4"/>
        <w:spacing w:after="0" w:line="282" w:lineRule="auto"/>
        <w:tabs>
          <w:tab w:leader="none" w:pos="19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of any property or asset of any Loan Party or Subsidiary, other than Dispositions described in Section 6.05;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any Loan Party or Subsidiary with a fair value immediately prior to such event equal to or greater than $100,000.</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any Equity Interests, or the receipt by the Company of any capital contribution (unless, in each case, the proceeds thereof are used to finance a substantially contemporaneous Permitted Acquisition); or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Subsidiary of any Indebtedness, other than Indebtedness permitted under Section 6.01.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the time determined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Section 2.20, (a) at any time prior to the earlier of the Loans becoming due and payable pursuant to Article VII or the Commitments terminating or expiring, Lenders having Credit Exposures and Unfunded Commitments representing at least 66.70% of the sum of the Aggregate Credit Exposure and Unfunded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for purposes of declaring the Loans to be due and payable pursuant to Article VII, the Unfunded Commitment of each Lender shall be deemed to be zero in determining the Required Lenders and (b) for all purposes after the Loans become due and payable pursuant to Article VII or the Commitments expire or terminate, Lenders having Credit Exposures representing at least 66.70% of the Aggregate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Lenders (other than Defaulting Lenders) having Revolving Exposures and unused Revolving Commitments representing at least 66.70% of the sum of the Aggregate Revolving Exposure and unused Revolving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Revolving Lenders, Required Revolving Lenders shall mean both Revolving Lenders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any and all reserves which the Administrative Agent deems necessary, in its sole discretion, to maintain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Financial Officer or other executive officer of a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Revolving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Sixth</w:t>
      </w:r>
      <w:r>
        <w:rPr>
          <w:rFonts w:ascii="Times New Roman" w:cs="Times New Roman" w:eastAsia="Times New Roman" w:hAnsi="Times New Roman"/>
          <w:sz w:val="18"/>
          <w:szCs w:val="18"/>
          <w:color w:val="auto"/>
        </w:rPr>
        <w:t xml:space="preserve"> Amendment Effective Date, the aggregate amount of the Lenders’ Revolving Commitment is </w:t>
      </w:r>
      <w:r>
        <w:rPr>
          <w:rFonts w:ascii="Times New Roman" w:cs="Times New Roman" w:eastAsia="Times New Roman" w:hAnsi="Times New Roman"/>
          <w:sz w:val="18"/>
          <w:szCs w:val="18"/>
          <w:color w:val="FF0000"/>
          <w:strike w:val="1"/>
        </w:rPr>
        <w:t>$125,000,000</w:t>
      </w:r>
      <w:r>
        <w:rPr>
          <w:rFonts w:ascii="Times New Roman" w:cs="Times New Roman" w:eastAsia="Times New Roman" w:hAnsi="Times New Roman"/>
          <w:sz w:val="18"/>
          <w:szCs w:val="18"/>
          <w:u w:val="single" w:color="auto"/>
          <w:color w:val="0000FF"/>
        </w:rPr>
        <w:t>140,000,000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of (a) the outstanding principal amount of such Lender’s Revolving Loans, its LC Exposure and its Swingline Exposure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Overadvances outstanding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a Lender with a Revolving Commitment or, if the Revolving Commitments have terminated or expired, a Lender with Revolving Exposure.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April 29,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Fee Letter</w:t>
      </w:r>
      <w:r>
        <w:rPr>
          <w:rFonts w:ascii="Times New Roman" w:cs="Times New Roman" w:eastAsia="Times New Roman" w:hAnsi="Times New Roman"/>
          <w:sz w:val="18"/>
          <w:szCs w:val="18"/>
          <w:color w:val="auto"/>
        </w:rPr>
        <w:t>” means that certain Fee Letter by and among Administrative Agent and the Borrowers, dated as of the Second Amendment Effective Date, as the same may be amended, restated, supplemented or otherwise modified from time to time.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(a) Banking Services Obligations and (b) Swap Agreement Obligations owing to one or more Lenders or their respective Affiliates;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“Sixth Amendment Effective Date” means December 9,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amount of all LC Disbursements relating to standby Letters of Credit that have not yet been reimbursed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at such time. The Standby LC Exposure of any Revolving Lender at any time shall be its Applicable Percentage of the aggregate Standby LC Exposure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2.18(f).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 or a Loan Party,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physical commodity repurchase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total Swingline Exposure at such time.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for any tenor comparable to the applicable Interest Period, the Term SOFR Reference Rate at approximately 5:00 a.m. Dallas time, two (2)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xml:space="preserve">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and for any tenor comparable to the applicable Interest Period, the rate per annum determined by the Administrative Agent as the forward-looking term rate based on SOFR. If by 5:00 p.m. (City of Dallas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means, the Transition Services Agreement, dated as of April 29, 2022, by and between the Company and Plateplus Inc.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CBFR.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xml:space="preserve">” means, with respect to each Lender, the Revolving Commitment of such Lender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its Revolving Exposure.</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xml:space="preserve">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Borrowing”).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In the event that historical accounting practices, systems or reserves relating to the components of the Borrowing Base are modified in a manner that is adverse to the Lenders in any material respect, the Borrowers will agree to maintain such additional reserves (for purposes of computing the Borrowing Base) in respect of the components of the Borrowing Base and make such other adjustments (which may include maintaining additional reserves, modifying the advance rates or modifying the eligibility criteria for the components of the Borrowing Base).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2" w:lineRule="exact"/>
        <w:rPr>
          <w:sz w:val="20"/>
          <w:szCs w:val="20"/>
          <w:color w:val="auto"/>
        </w:rPr>
      </w:pPr>
    </w:p>
    <w:p>
      <w:pPr>
        <w:jc w:val="both"/>
        <w:ind w:firstLine="656"/>
        <w:spacing w:after="0" w:line="256" w:lineRule="auto"/>
        <w:tabs>
          <w:tab w:leader="none" w:pos="13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Notifications</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be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successor rate thereto, or replacement rate thereof, including without limitation, whether the composition or characteristics of any such alternative successor or replacement reference rate will be similar to, or produce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hereto, in each case, in a manner adverse to the Borrowers. The Administrative Agent may select information sources or services in it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in dollars to the Borrowers from time to time during the Availability 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 2.04, by making immediately available funds available to the Administrative Agent’s designated account, not later than 2:00 p.m., Chicago time. Within the foregoing limits and subject to the terms and conditions set forth herein, the Borrowers may borrow, prepay and reborrow Revolving Loans.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Overadvance and any Swingline Loan shall be made in accordance with the procedures set forth in Sections 2.04 and 2.05.</w:t>
      </w:r>
    </w:p>
    <w:p>
      <w:pPr>
        <w:spacing w:after="0" w:line="183" w:lineRule="exact"/>
        <w:rPr>
          <w:sz w:val="20"/>
          <w:szCs w:val="20"/>
          <w:color w:val="auto"/>
        </w:rPr>
      </w:pPr>
    </w:p>
    <w:p>
      <w:pPr>
        <w:jc w:val="both"/>
        <w:ind w:firstLine="656"/>
        <w:spacing w:after="0" w:line="254" w:lineRule="auto"/>
        <w:tabs>
          <w:tab w:leader="none" w:pos="14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Revolving Borrowing shall be comprised entirely of CBFR Loans or Term Benchmark Loans as the Borrower Representative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Borrowings made on the Second Amendment Effective Date must be made as CBFR Borrowings but may be converted into Term Benchmark Borrowings in accordance with Section 2.08. Each Swingline Loan shall be a CBFR Loan. Each Lender at its option may make any Term Benchmark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 After giving effect to each requested Term Benchmark Borrowing, including those which are converted from a CBFR Borrowing in accordance with Section 2.08, there shall not be outstanding more than five (5) Term Benchmark Borrowings, in the aggregate at any time.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Term Benchmark Borrowing, such Borrowing shall be in an aggregate amount that is an integral multiple of $100,000 and not less than $1,000,000. CBFR Borrowings may be in any amount.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firstLine="656"/>
        <w:spacing w:after="0" w:line="282" w:lineRule="auto"/>
        <w:tabs>
          <w:tab w:leader="none" w:pos="12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Revolving Borrowings.</w:t>
      </w:r>
      <w:r>
        <w:rPr>
          <w:rFonts w:ascii="Times New Roman" w:cs="Times New Roman" w:eastAsia="Times New Roman" w:hAnsi="Times New Roman"/>
          <w:sz w:val="18"/>
          <w:szCs w:val="18"/>
          <w:color w:val="auto"/>
        </w:rPr>
        <w:t xml:space="preserve"> To request a Revolving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(or if an Extenuating Circumstance shall exist, by telephone) not later than (a) in the case of a Term Benchmark Borrowing, 10:00 a.m., Chicago time, three (3) Business Days before the date of the proposed Borrowing or (b) in the case of a CBFR Borrowing, 3:00 p.m., Chicago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CBFR Borrowing to finance the reimbursement of an LC Disbursement as contemplated by Section 2.06(e)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w:t>
      </w:r>
    </w:p>
    <w:p>
      <w:pPr>
        <w:spacing w:after="0" w:line="192" w:lineRule="exact"/>
        <w:rPr>
          <w:sz w:val="20"/>
          <w:szCs w:val="20"/>
          <w:color w:val="auto"/>
        </w:rPr>
      </w:pPr>
    </w:p>
    <w:p>
      <w:pPr>
        <w:ind w:left="1880" w:hanging="576"/>
        <w:spacing w:after="0"/>
        <w:tabs>
          <w:tab w:leader="none" w:pos="1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and a breakdown of the separate wires comprising such Borrowing;</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21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CBFR Borrowing. If no Interest Period is specified with respect to any requested Term Benchmark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if an Event of Default under clauses (a), (b), (h) or (i) of the definition thereof or resulting from a breach of Section 6.12 has occurred and is continuing, to enhance the likelihood of, or maximize the amount of, repayment of the Loans and other Obligations, or (iii) to pay any other amount chargeable to or required to be paid by the Borrowers pursuant to the terms of this Agreement that have not been paid by Borrowers on or before the date required, including payments of reimbursable expenses (including costs, fees, and expenses as described in Section 9.03) and other sums payable under the Loan Documents (any of such Loans are herein referred to as “Protective Advances”); provided that, that the aggregate amount of Protective Advances outstanding at any time shall not at any time exceed ten percent (10%) of the Aggregate Revolving Commitment without the prior consent of each Lender; provided further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(other than any Defaulting Lender).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92" w:lineRule="exact"/>
        <w:rPr>
          <w:sz w:val="20"/>
          <w:szCs w:val="20"/>
          <w:color w:val="auto"/>
        </w:rPr>
      </w:pPr>
    </w:p>
    <w:p>
      <w:pPr>
        <w:jc w:val="both"/>
        <w:ind w:firstLine="656"/>
        <w:spacing w:after="0" w:line="256" w:lineRule="auto"/>
        <w:tabs>
          <w:tab w:leader="none" w:pos="1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 and Overadvances.</w:t>
      </w:r>
    </w:p>
    <w:p>
      <w:pPr>
        <w:spacing w:after="0" w:line="225" w:lineRule="exact"/>
        <w:rPr>
          <w:sz w:val="20"/>
          <w:szCs w:val="20"/>
          <w:color w:val="auto"/>
        </w:rPr>
      </w:pPr>
    </w:p>
    <w:p>
      <w:pPr>
        <w:jc w:val="both"/>
        <w:ind w:firstLine="656"/>
        <w:spacing w:after="0" w:line="252" w:lineRule="auto"/>
        <w:tabs>
          <w:tab w:leader="none" w:pos="9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Swingline Lender and the Revolving Lenders agree that in order to facilitate the administration of this Agreement and the other Loan Documents, promptly after the Borrower Representative requests a CBFR Borrowing, the Swingline Lender may elect to have the terms of this Section 2.05(a) apply to such Borrowing Request by advancing, on behalf of the Revolving Lenders and in the amount requested, same day funds to the Borrowers, on the date of the applicable Borrowing to a Funding Accounts (each such Loan made solely by the Swingline Lender pursuant to this Section 2.05(a) is referred to in this Agreement as a “</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with settlement among them as to the Swingline Loans to take place on a periodic basis as set forth in Section 2.05(d). Each Swingline Loan shall be subject to all the terms and conditions applicable to other CBFR Loans funded by the Revolving Lenders, except that all payments thereon shall be payable to the Swingline Lender solely for its own account. In addition, the Borrowers hereby authorize the Swingline Lender to, and the Swingline Lender may, subject to the terms and conditions set forth herein (but without any further written notice required), not later than 1:00 p.m., Chicago time, on each Business Day, make available to the Borrowers by means of a credit to a Funding Accounts, the proceeds of a Swingline Loan to the extent necessary to pay items to be drawn on any Controlled Disbursement Account that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Business Day there is insufficient borrowing capacity to permit the Swingline Lender to make available to the Borrowers a Swingline Loan in the amount necessary to pay all items to be so drawn on any such Controlled Disbursement Account on such Business Day, then the Borrowers shall be deemed to have requested a CBFR Borrowing pursuant to Section 2.03 in the amount of such deficiency to be made on such Business Day. The Swingline Lender shall not make any Swingline Loan if the requested Swingline Loan exceeds (i) Availability (before or after giving effect to such Swingline Loan) or (ii) when added to the other Swingline Loans, exceeds ten percent (10%) of the Aggregate Revolving Commitment. All Swingline Loans shall be CBFR Borrowings.</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ind w:firstLine="656"/>
        <w:spacing w:after="0" w:line="252"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“Overadvances”) or (y) deem the amount of Revolving Loans outstanding to the Borrowers that are in excess of Availability to be Overadvances; provided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as follows: (i) the aggregate amount of Overadvances shall not to exceed an amount equal to ten percent (10%) of Availability at any time, (ii) no Overadvance may remain outstanding for more than thirty days and (iii) no Overadvance shall cause any Revolving Lender's Revolving Exposure to exceed its Revolving Commitment; provided that, the Required Revolving Lenders may at any time revoke the Administrative Agent’s authorization to make Overadvances. Any such revocation must be in writing and shall become effective prospectively upon the Administrative Agent’s receipt thereof. For purposes of this paragraph, the discretion granted to Administrative Agent hereunder shall not preclude involuntary Overadvances that may result from time to time due to the fact that the Borrowing Base was unintentionally exceeded for any reason, including, but not limited to Collateral previously deemed to be “Eligible Accounts” or “Eligible Inventory” as applicable, becomes ineligible or collections of Accounts applied to reduce outstanding Revolving Borrowings are thereafter returned for insufficient funds.</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Revolving Commitment. The Swingline Lender or the Administrative Agent may, at any time, require the Revolving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the Swingline Lender, shall request settlement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with the Revolving Lenders on at least a weekly basis or on any date that the Administrative Agent elects, by notifying the Revolving Lenders of such requested Settlement by facsimile, telephone, or e-mail no later than 12:00 noon Chicago time on the date of such requested Settlement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Representative may request any Issuing Bank to issue Letters of Credit for its own account or for the account of another Borrower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this Agreement.</w:t>
      </w:r>
    </w:p>
    <w:p>
      <w:pPr>
        <w:spacing w:after="0" w:line="180" w:lineRule="exact"/>
        <w:rPr>
          <w:sz w:val="20"/>
          <w:szCs w:val="20"/>
          <w:color w:val="auto"/>
        </w:rPr>
      </w:pPr>
    </w:p>
    <w:p>
      <w:pPr>
        <w:jc w:val="both"/>
        <w:ind w:firstLine="656"/>
        <w:spacing w:after="0" w:line="251" w:lineRule="auto"/>
        <w:tabs>
          <w:tab w:leader="none" w:pos="1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xml:space="preserve"> To request the issuance of a Letter of Credit (or the amendment or extension of an outstanding Letter of Credit), the Borrower Representative shall deliver by hand or facsimile (or transmit through Electronic System, if arrangements for doing so have been approved by the respective Issuing Bank) to an Issuing Bank selected by it and to the Administrative Agent (reasonably in advance of, but in any event prior to 9:00 am, Chicago time, at least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(i) the aggregate LC Exposure shall not exceed $40,000,000, (ii) no Revolving Lender’s Revolving Exposure shall exceed its Revolving Commitment and (iii) the Aggregate Revolving Exposure shall not exceed the lesser of (x) the Aggregate Revolving Commitment and (y)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89" w:lineRule="exact"/>
        <w:rPr>
          <w:sz w:val="20"/>
          <w:szCs w:val="20"/>
          <w:color w:val="auto"/>
        </w:rPr>
      </w:pPr>
    </w:p>
    <w:p>
      <w:pPr>
        <w:ind w:left="2080" w:hanging="776"/>
        <w:spacing w:after="0"/>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w:t>
      </w:r>
    </w:p>
    <w:p>
      <w:pPr>
        <w:spacing w:after="0" w:line="207" w:lineRule="exact"/>
        <w:rPr>
          <w:sz w:val="20"/>
          <w:szCs w:val="20"/>
          <w:color w:val="auto"/>
        </w:rPr>
      </w:pPr>
    </w:p>
    <w:p>
      <w:pPr>
        <w:jc w:val="both"/>
        <w:ind w:firstLine="656"/>
        <w:spacing w:after="0" w:line="261" w:lineRule="auto"/>
        <w:tabs>
          <w:tab w:leader="none" w:pos="13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 (ii) the date that is five Business Days prior to the Maturity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Borrowers shall reimburse such LC Disbursement by paying to the Administrative Agent an amount equal to such LC Disbursement not later than 11:00 a.m., Chicago time, on (a)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may, subject to the conditions to borrowing set forth herein, request in accordance with Section 2.03 that such payment be financed with a CBFR Borrowing in an equivalent amount and, to the extent so financed, the Borrowers’ obligation to make such payment shall be discharged and replaced by the resulting CBFR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CBFR Revolving Loans or Swingline Loans as contemplated above) shall not constitute a Loan and shall not relieve the Borrowers of their obligation to reimburse such LC Disbursement.</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firstLine="656"/>
        <w:spacing w:after="0" w:line="251" w:lineRule="auto"/>
        <w:tabs>
          <w:tab w:leader="none" w:pos="13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fax or through Electronic Systems) of such demand for payment if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such Issuing Bank and the Revolving Lenders with respect to any such LC Disbursement.</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ind w:firstLine="656"/>
        <w:spacing w:after="0" w:line="254" w:lineRule="auto"/>
        <w:tabs>
          <w:tab w:leader="none" w:pos="127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9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an Issuing Bank.</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2.12(c). From and after the effective date of any such replacement, (A) the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appointment and acceptance of a successor Issuing Bank, any Issuing Bank may resign as an Issuing Bank at any time upon thirty days’ prior written notice to the Administrative Agent, the Borrower Representative and the Lenders, in which case, such resigning Issuing Bank shall be replaced in accordance with Section 2.06(i)(i) above.</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VII. Such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656"/>
        <w:spacing w:after="0" w:line="253" w:lineRule="auto"/>
        <w:tabs>
          <w:tab w:leader="none" w:pos="13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that is not the Administrative Agent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The Administrative Agent will make such Loans available to the Borrower Representative by promptly crediting the funds so received in the aforesaid account of the Administrative Agent to a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CBFR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firstLine="656"/>
        <w:spacing w:after="0" w:line="253" w:lineRule="auto"/>
        <w:tabs>
          <w:tab w:leader="none" w:pos="13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and (ii) in the case of the Borrowers, the interest rate applicable to CBFR Loans. If such Lender pays such amount to the Administrative Agent, then such amount shall constitute such Lender's Loan included in such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xml:space="preserve"> (a)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89" w:lineRule="exact"/>
        <w:rPr>
          <w:sz w:val="20"/>
          <w:szCs w:val="20"/>
          <w:color w:val="auto"/>
        </w:rPr>
      </w:pPr>
    </w:p>
    <w:p>
      <w:pPr>
        <w:jc w:val="both"/>
        <w:ind w:firstLine="656"/>
        <w:spacing w:after="0" w:line="254" w:lineRule="auto"/>
        <w:tabs>
          <w:tab w:leader="none" w:pos="12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Section 2.03 if the Borrowers were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 Representative.</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ind w:firstLine="656"/>
        <w:spacing w:after="0" w:line="282" w:lineRule="auto"/>
        <w:tabs>
          <w:tab w:leader="none" w:pos="12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(or if permitted, telephonic) Interest Election Request (including requests submitted through Electronic System) shall specify the following information in compliance with Section 2.02:</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2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7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Borrowers shall be deemed to have selected an Interest Period of one month's duration.</w:t>
      </w:r>
    </w:p>
    <w:p>
      <w:pPr>
        <w:spacing w:after="0" w:line="162" w:lineRule="exact"/>
        <w:rPr>
          <w:sz w:val="20"/>
          <w:szCs w:val="20"/>
          <w:color w:val="auto"/>
        </w:rPr>
      </w:pPr>
    </w:p>
    <w:p>
      <w:pPr>
        <w:ind w:right="20" w:firstLine="656"/>
        <w:spacing w:after="0" w:line="282" w:lineRule="auto"/>
        <w:tabs>
          <w:tab w:leader="none" w:pos="13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CBFR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each Term Benchmark Borrowing shall be converted to a CBFR Borrowing at the end of the Interest Period applicable thereto.</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of Commitments; Increase in Revolving Commitments.</w:t>
      </w:r>
      <w:r>
        <w:rPr>
          <w:rFonts w:ascii="Times New Roman" w:cs="Times New Roman" w:eastAsia="Times New Roman" w:hAnsi="Times New Roman"/>
          <w:sz w:val="18"/>
          <w:szCs w:val="18"/>
          <w:color w:val="auto"/>
        </w:rPr>
        <w:t xml:space="preserve"> (a) Unless previously terminated, the Revolving Commitments shall terminate on the Maturity Date.</w:t>
      </w:r>
    </w:p>
    <w:p>
      <w:pPr>
        <w:spacing w:after="0" w:line="162" w:lineRule="exact"/>
        <w:rPr>
          <w:sz w:val="20"/>
          <w:szCs w:val="20"/>
          <w:color w:val="auto"/>
        </w:rPr>
      </w:pPr>
    </w:p>
    <w:p>
      <w:pPr>
        <w:ind w:left="1260" w:hanging="604"/>
        <w:spacing w:after="0"/>
        <w:tabs>
          <w:tab w:leader="none" w:pos="1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terminate the Revolving Commitments upon the Payment in Full of the Secured Obligations.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of any election to terminate the Commitments under paragraph (b) of this Section at least three (3)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firstLine="656"/>
        <w:spacing w:after="0" w:line="261" w:lineRule="auto"/>
        <w:tabs>
          <w:tab w:leader="none" w:pos="12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the right to increase the Revolving Commitments by obtaining additional Revolving Commitments, either from one or more of the Lenders or another lending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$5,000,000,</w:t>
      </w:r>
    </w:p>
    <w:p>
      <w:pPr>
        <w:jc w:val="both"/>
        <w:ind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on behalf of the Borrowers, may make a maximum of two (2) such requests, (iii) after giving effect thereto, the sum of the total of the additional Commitments </w:t>
      </w:r>
      <w:r>
        <w:rPr>
          <w:rFonts w:ascii="Times New Roman" w:cs="Times New Roman" w:eastAsia="Times New Roman" w:hAnsi="Times New Roman"/>
          <w:sz w:val="18"/>
          <w:szCs w:val="18"/>
          <w:u w:val="single" w:color="auto"/>
          <w:color w:val="0000FF"/>
        </w:rPr>
        <w:t>after the Sixth Amendment Effective Date</w:t>
      </w:r>
      <w:r>
        <w:rPr>
          <w:rFonts w:ascii="Times New Roman" w:cs="Times New Roman" w:eastAsia="Times New Roman" w:hAnsi="Times New Roman"/>
          <w:sz w:val="18"/>
          <w:szCs w:val="18"/>
          <w:color w:val="auto"/>
        </w:rPr>
        <w:t xml:space="preserve"> does not exceed $</w:t>
      </w:r>
      <w:r>
        <w:rPr>
          <w:rFonts w:ascii="Times New Roman" w:cs="Times New Roman" w:eastAsia="Times New Roman" w:hAnsi="Times New Roman"/>
          <w:sz w:val="18"/>
          <w:szCs w:val="18"/>
          <w:color w:val="FF0000"/>
          <w:strike w:val="1"/>
        </w:rPr>
        <w:t>75,000,000</w:t>
      </w:r>
      <w:r>
        <w:rPr>
          <w:rFonts w:ascii="Times New Roman" w:cs="Times New Roman" w:eastAsia="Times New Roman" w:hAnsi="Times New Roman"/>
          <w:sz w:val="18"/>
          <w:szCs w:val="18"/>
          <w:u w:val="single" w:color="auto"/>
          <w:color w:val="0000FF"/>
        </w:rPr>
        <w:t>60,000,000</w:t>
      </w:r>
      <w:r>
        <w:rPr>
          <w:rFonts w:ascii="Times New Roman" w:cs="Times New Roman" w:eastAsia="Times New Roman" w:hAnsi="Times New Roman"/>
          <w:sz w:val="18"/>
          <w:szCs w:val="18"/>
          <w:color w:val="auto"/>
        </w:rPr>
        <w:t>, (iv) the Administrative Agent and the Issuing Bank have approved the identity of any such new Lender, such approvals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all Lenders if any such increase or addition would cause the Revolving Commitments to exceed $200,000,000.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Borrowers are in compliance (on a pro forma basis) with the covenants contained in Section 6.12(a) and (ii) legal opinions and documents consistent with those delivered on the Effective Date, to the extent requested by the Administrative Agent.</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2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and Amortization of Loans; Evidence of Debt.</w:t>
      </w:r>
      <w:r>
        <w:rPr>
          <w:rFonts w:ascii="Times New Roman" w:cs="Times New Roman" w:eastAsia="Times New Roman" w:hAnsi="Times New Roman"/>
          <w:sz w:val="18"/>
          <w:szCs w:val="18"/>
          <w:color w:val="auto"/>
        </w:rPr>
        <w:t xml:space="preserve"> (a) The Borrowers hereby unconditionally promise to pay (i) to the Administrative Agent for the account of each Revolving Lender the then unpaid principal amount of each Revolving Loan on the Maturity Date, and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demand by the Administrative Agent or thirty (30) days from the date of such Overadvance.</w:t>
      </w:r>
    </w:p>
    <w:p>
      <w:pPr>
        <w:spacing w:after="0" w:line="183" w:lineRule="exact"/>
        <w:rPr>
          <w:sz w:val="20"/>
          <w:szCs w:val="20"/>
          <w:color w:val="auto"/>
        </w:rPr>
      </w:pPr>
    </w:p>
    <w:p>
      <w:pPr>
        <w:jc w:val="both"/>
        <w:ind w:firstLine="656"/>
        <w:spacing w:after="0" w:line="256" w:lineRule="auto"/>
        <w:tabs>
          <w:tab w:leader="none" w:pos="15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that full cash dominion is in effect pursuant to Section 7.3 of the Security Agreement, on each Business Day, the Administrative Agent shall apply all funds credited to the Collection Account on the immediately preceding Business Day (at the discretion of the Administrative Agent, whether or not immediately available)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an Event of Default has occurred and is continuing, to cash collateralize outstanding LC Exposure. Notwithstanding the foregoing, to the extent any funds credited to the Collection Account constitute Net Proceeds, the application of such Net Proceeds shall be subject to Section 2.11(c).</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xml:space="preserve"> (a) The Borrowers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76" w:lineRule="exact"/>
        <w:rPr>
          <w:sz w:val="20"/>
          <w:szCs w:val="20"/>
          <w:color w:val="auto"/>
        </w:rPr>
      </w:pPr>
    </w:p>
    <w:p>
      <w:pPr>
        <w:jc w:val="both"/>
        <w:ind w:firstLine="656"/>
        <w:spacing w:after="0" w:line="261" w:lineRule="auto"/>
        <w:tabs>
          <w:tab w:leader="none" w:pos="12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Overadvances permitted under Section 2.05, in the event and on such occasion that the Aggregate Revolving Exposure exceeds the lesser of (i) the Aggregate Revolving Commitment and (ii) the Borrowing Base, the Borrowers shall prepay the Revolving Loans, LC Exposure and/or Swingline Loans or cash collateralize the LC Exposure in an account with the Administrative Agent pursuant to Section 2.06(j), as applicable, in an aggregate amount equal to such excess.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656"/>
        <w:spacing w:after="0" w:line="253" w:lineRule="auto"/>
        <w:tabs>
          <w:tab w:leader="none" w:pos="13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any Loan Party in respect of any Prepayment Event, the Borrowers shall, immediately after such Net Proceeds are received by any Loan Party, prepay the Obligations and cash collateralize the LC Exposure as set forth in Section 2.11(d) below in an aggregate amount equal to (x) in the case of a prepayment event described in clause (c) of the definition of the term “Prepayment Event”, 20% of such Net Proceeds and (y) in the case of all other Prepayment Events,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prepayment event described in clause (c) of the definition of the term “Prepayment Event”, unless an Event of Default has occurred and is continuing, there shall be no requirement to cash collateralize the LC Exposure, and (y) in the case of any event described in clause (a) or</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equipment or other tangible assets (excluding inventory) to be used in the business of the Loan Parties, and certifying that no Default has occurred and is continuing, then either (i) so long as full cash dominion is not in effect, no prepayment shall be required pursuant to this paragraph in respect of the Net Proceeds specified in such certificate or (ii) if full cash dominion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192" w:lineRule="exact"/>
        <w:rPr>
          <w:rFonts w:ascii="Times New Roman" w:cs="Times New Roman" w:eastAsia="Times New Roman" w:hAnsi="Times New Roman"/>
          <w:sz w:val="18"/>
          <w:szCs w:val="18"/>
          <w:color w:val="auto"/>
        </w:rPr>
      </w:pPr>
    </w:p>
    <w:p>
      <w:pPr>
        <w:ind w:left="660" w:firstLine="644"/>
        <w:spacing w:after="0" w:line="282" w:lineRule="auto"/>
        <w:tabs>
          <w:tab w:leader="none" w:pos="1945"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request a Revolving Borrowing (specifying that the request is to use Net Proceeds pursuant to this Section) or the applicable Loan Party shall request a release from the cash collateral account be made in the amount needed;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5"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conditions set forth in Section 4.02 have been met, the Revolving Lenders shall make such Revolving Borrowing or the Administrative Agent shall release funds from the cash collateral account;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4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Net Proceeds applied against the Revolving Borrowing, the Reserve established with respect to such insurance proceeds shall be reduced by the amount of such Revolving Borrowing;</w:t>
      </w:r>
    </w:p>
    <w:p>
      <w:pPr>
        <w:spacing w:after="0" w:line="121"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by the end of such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a prepayment shall be required at such time in an amount equal to such Net Proceeds that have not been so applied.</w:t>
      </w:r>
    </w:p>
    <w:p>
      <w:pPr>
        <w:spacing w:after="0" w:line="199" w:lineRule="exact"/>
        <w:rPr>
          <w:sz w:val="20"/>
          <w:szCs w:val="20"/>
          <w:color w:val="auto"/>
        </w:rPr>
      </w:pPr>
    </w:p>
    <w:p>
      <w:pPr>
        <w:jc w:val="both"/>
        <w:ind w:firstLine="656"/>
        <w:spacing w:after="0" w:line="258" w:lineRule="auto"/>
        <w:tabs>
          <w:tab w:leader="none" w:pos="129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prepayments made pursuant to Section 2.11(a) shall be applied, if made with respect to the Revolving Loans or the Swingline Loans, to prepay such Loans in accordance with the Lenders’ respective Applicable Percentages without a corresponding reduction in the Revolving Commitments and to cash collateralize outstanding LC Exposure. All such amounts pursuant to Section 2.11(c)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without a corresponding reduction in the Revolving Commitments and, if required in accordance with Section 2.11(c), to cash collateralize outstanding LC Exposure.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jc w:val="both"/>
        <w:ind w:firstLine="656"/>
        <w:spacing w:after="0" w:line="253" w:lineRule="auto"/>
        <w:tabs>
          <w:tab w:leader="none" w:pos="13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10:00 a.m., Chicago time, (A) in the case of prepayment of a Term Benchmark Borrowing, three (3) Business Days before the date of prepayment, or (B) in the case of prepayment of a CBFR Revolving Borrowing, one (1)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Borrowers agree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the Revolving Commitments terminate. Accrued commitment fees shall be payable in arrears on the first Business Day of each calendar month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7" w:lineRule="exact"/>
        <w:rPr>
          <w:sz w:val="20"/>
          <w:szCs w:val="20"/>
          <w:color w:val="auto"/>
        </w:rPr>
      </w:pPr>
    </w:p>
    <w:p>
      <w:pPr>
        <w:ind w:firstLine="656"/>
        <w:spacing w:after="0" w:line="282" w:lineRule="auto"/>
        <w:tabs>
          <w:tab w:leader="none" w:pos="12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Administrative Agent for its own account, all fees and other amounts required to be paid pursuant to the Fee Letter and the Second Amendment Fee Letter, at the times and in the amounts as specified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month shall be payable on the first Business Day of each calendar month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right="20" w:firstLine="656"/>
        <w:spacing w:after="0" w:line="282" w:lineRule="auto"/>
        <w:tabs>
          <w:tab w:leader="none" w:pos="13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CBFR Borrowings (including all Swingline Loans) shall bear interest at the CBFR plus (or minus)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firstLine="656"/>
        <w:spacing w:after="0" w:line="282" w:lineRule="auto"/>
        <w:tabs>
          <w:tab w:leader="none" w:pos="13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Term Benchmark Borrowing shall bear interest at the Adjusted Term SOFR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Protective Advance and each Overadvance shall bear interest at the CBFR plus (or minus) the Applicable Rate for Revolving Loans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2%.</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(for CBFR Loans, accrued through the last day of the prior calendar month)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The applicable CB Floating Rate and the Adjusted Term SOFR Rate shall be determined by the Administrative Agent, and such determination shall be conclusive absent manifest error.</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 Illegality.</w:t>
      </w:r>
    </w:p>
    <w:p>
      <w:pPr>
        <w:spacing w:after="0" w:line="225" w:lineRule="exact"/>
        <w:rPr>
          <w:sz w:val="20"/>
          <w:szCs w:val="20"/>
          <w:color w:val="auto"/>
        </w:rPr>
      </w:pPr>
    </w:p>
    <w:p>
      <w:pPr>
        <w:ind w:left="1040" w:hanging="384"/>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2.14 if: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prior to commencement of any Interest Period for a Term Benchmark Borrowing, that the adequate and reasonable means do not exist for ascertaining the Adjusted Term SOFR Rate or the Term SOFR Rate (including because the Term SOFR Reference Rate is not available or published on a current basis), for such Interest Period (each a “</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w:t>
      </w:r>
      <w:r>
        <w:rPr>
          <w:rFonts w:ascii="Times New Roman" w:cs="Times New Roman" w:eastAsia="Times New Roman" w:hAnsi="Times New Roman"/>
          <w:sz w:val="18"/>
          <w:szCs w:val="18"/>
          <w:color w:val="auto"/>
        </w:rPr>
        <w:t xml:space="preserve"> as promptly as practicable thereafter and,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 CBFR Borrowing; provided that if the circumstances giving rise to such notice affect only one Type of Borrowings, then all other Types of Borrowings shall be permitted. Furthermore, if any Term Benchmark Loan is outstanding on the date the Borrower Representative’s receipt of the notice from the Administrative Agent 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with respect to a Relevant Rate applicable to such Term Benchmark Loan, then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any Term Benchmark Loan shall on the last day of the Interest Period applicable to such Loan (or the next succeeding Business Day if such day is not a Business Day), be converted by the Administrative Agent to, and shall constitute, a CBFR Loan.</w:t>
      </w:r>
    </w:p>
    <w:p>
      <w:pPr>
        <w:spacing w:after="0" w:line="187" w:lineRule="exact"/>
        <w:rPr>
          <w:sz w:val="20"/>
          <w:szCs w:val="20"/>
          <w:color w:val="auto"/>
        </w:rPr>
      </w:pPr>
    </w:p>
    <w:p>
      <w:pPr>
        <w:jc w:val="both"/>
        <w:ind w:firstLine="656"/>
        <w:spacing w:after="0" w:line="257" w:lineRule="auto"/>
        <w:tabs>
          <w:tab w:leader="none" w:pos="110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(City of Dallas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firstLine="656"/>
        <w:spacing w:after="0" w:line="261" w:lineRule="auto"/>
        <w:tabs>
          <w:tab w:leader="none" w:pos="13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Representative and the Lenders of (i) an occurrence of a Benchmark Transition Event, (ii) the implementation of any Benchmark Replacement, (iii) the effectiveness of any Benchmark Replacement Conforming Changes and</w:t>
      </w:r>
    </w:p>
    <w:p>
      <w:pPr>
        <w:jc w:val="both"/>
        <w:ind w:firstLine="8"/>
        <w:spacing w:after="0" w:line="253" w:lineRule="auto"/>
        <w:tabs>
          <w:tab w:leader="none" w:pos="3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3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 Representative’s receipt of notice of the commencement of a Benchmark Unavailability Period, the Borrowers may revoke any request for a Term Benchmark Borrowing of, conversion to or continuation of Term Benchmark Loans to be made, converted or continued during any Benchmark Unavailability Period and, failing that, the Borrowers will be deemed to have converted any such request for a Term Benchmark Borrowing into a request for a Borrowing of or conversion to a CBFR Borrowing. Furthermore, if any Term Benchmark Loan is outstanding on the date of the Borrower Representative’s receipt of notice of the commencement of a Benchmark Unavailability Period with respect to a Relevant Rate applicable to such Term Benchmark Loan, then until such time as a Benchmark Replacement is implemented pursuant to this Section 2.14, Term Benchmark Loan shall on the last day of the Interest Period applicable to such Loan (or the next succeeding Business Day if such day is not a Business Day), be converted by the Administrative Agent to, and shall constitute, a CBFR Loan.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(a) If any Change in Law shall:</w:t>
      </w:r>
    </w:p>
    <w:p>
      <w:pPr>
        <w:spacing w:after="0" w:line="225" w:lineRule="exact"/>
        <w:rPr>
          <w:sz w:val="20"/>
          <w:szCs w:val="20"/>
          <w:color w:val="auto"/>
        </w:rPr>
      </w:pPr>
    </w:p>
    <w:p>
      <w:pPr>
        <w:jc w:val="both"/>
        <w:ind w:left="660" w:firstLine="482"/>
        <w:spacing w:after="0" w:line="266" w:lineRule="auto"/>
        <w:tabs>
          <w:tab w:leader="none" w:pos="18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left="660" w:right="20" w:firstLine="482"/>
        <w:spacing w:after="0" w:line="282" w:lineRule="auto"/>
        <w:tabs>
          <w:tab w:leader="none" w:pos="17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61"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20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7" w:lineRule="exact"/>
        <w:rPr>
          <w:sz w:val="20"/>
          <w:szCs w:val="20"/>
          <w:color w:val="auto"/>
        </w:rPr>
      </w:pPr>
    </w:p>
    <w:p>
      <w:pPr>
        <w:jc w:val="both"/>
        <w:ind w:firstLine="656"/>
        <w:spacing w:after="0" w:line="254" w:lineRule="auto"/>
        <w:tabs>
          <w:tab w:leader="none" w:pos="132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applicable thereto (including as a result of an Event of Default or as a result of any prepayment pursuant to Section 2.11),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Section 2.09(c) and is revoked in accordance therewith), or (d) the assignment of any Term Benchmark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Term Benchmark Loan had such event not occurred, at the Adjusted Term SOFR Rate that would have been applicable to such Term Benchmark Loan, for the period from the date of such event to the last day of the then current Interest Period therefor (or, in the case of a failure to borrow, convert or continue, for the period that would have been the Interest Period for such Term Benchmark Loan), over (ii) the amount of interest which would accrue on such principal amount for such period at the interest rate which such Lender would bid were it to bid, at the commencement of such period, for dollar deposits of a comparable amount and period from other banks in the U.S.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ind w:firstLine="656"/>
        <w:spacing w:after="0" w:line="282" w:lineRule="auto"/>
        <w:tabs>
          <w:tab w:leader="none" w:pos="13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the payment of, Other Taxes.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(other than (i) Indemnified Taxes that a court of competent jurisdiction finally determines to have resulted from the gross negligence or willful misconduct of such Recipient or (ii) interest or penalties attributable to the failure or delay by such Recipient to make a written demand to the Loan Party within 180 days of receiving written notice that such Taxes subject to indemnification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have been levied, imposed or asserted against it).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ind w:firstLine="656"/>
        <w:spacing w:after="0" w:line="253" w:lineRule="auto"/>
        <w:tabs>
          <w:tab w:leader="none" w:pos="140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Person,</w:t>
      </w:r>
    </w:p>
    <w:p>
      <w:pPr>
        <w:spacing w:after="0" w:line="225" w:lineRule="exact"/>
        <w:rPr>
          <w:sz w:val="20"/>
          <w:szCs w:val="20"/>
          <w:color w:val="auto"/>
        </w:rPr>
      </w:pPr>
    </w:p>
    <w:p>
      <w:pPr>
        <w:jc w:val="both"/>
        <w:ind w:left="1300" w:firstLine="652"/>
        <w:spacing w:after="0" w:line="261" w:lineRule="auto"/>
        <w:tabs>
          <w:tab w:leader="none" w:pos="262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left="1300" w:firstLine="652"/>
        <w:spacing w:after="0" w:line="261" w:lineRule="auto"/>
        <w:tabs>
          <w:tab w:leader="none" w:pos="27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960" w:firstLine="640"/>
        <w:spacing w:after="0" w:line="255" w:lineRule="auto"/>
        <w:tabs>
          <w:tab w:leader="none" w:pos="330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an executed copy of IRS Form W-8BEN, IRS Form W-8BEN-E or Form W-8IMY (or successor form), as applicable, establishing an exemption from, or reduction of, U.S. federal withholding Tax pursuant to the “interest” article of such tax treaty and (y) with respect to any other applicable payments under any Loan Document, IRS Form W-8BEN, IRS Form W-8BEN-E or Form W-8IMY (or successor form), as applicable, establishing an exemption from, or reduction of, U.S. federal withholding Tax pursuant to the “business profits” or “other income” article of such tax treaty;</w:t>
      </w:r>
    </w:p>
    <w:p>
      <w:pPr>
        <w:spacing w:after="0" w:line="188"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33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W-8ECI (or successor form);</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56" w:lineRule="auto"/>
        <w:tabs>
          <w:tab w:leader="none" w:pos="336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an executed copy of IRS Form W-8BEN, IRS Form W-8BEN-E or Form W-8IMY (or successor form) (with proper attachments), as applicable; or</w:t>
      </w:r>
    </w:p>
    <w:p>
      <w:pPr>
        <w:spacing w:after="0" w:line="187" w:lineRule="exact"/>
        <w:rPr>
          <w:rFonts w:ascii="Times New Roman" w:cs="Times New Roman" w:eastAsia="Times New Roman" w:hAnsi="Times New Roman"/>
          <w:sz w:val="18"/>
          <w:szCs w:val="18"/>
          <w:color w:val="auto"/>
        </w:rPr>
      </w:pPr>
    </w:p>
    <w:p>
      <w:pPr>
        <w:jc w:val="both"/>
        <w:ind w:left="1960" w:firstLine="640"/>
        <w:spacing w:after="0" w:line="255" w:lineRule="auto"/>
        <w:tabs>
          <w:tab w:leader="none" w:pos="343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(or successor form), accompanied by IRS Form W-8ECI, IRS Form W-8BEN or IRS Form W-8BEN-E (or successor form), as applicable,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7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ind w:left="1300" w:firstLine="652"/>
        <w:spacing w:after="0" w:line="271" w:lineRule="auto"/>
        <w:tabs>
          <w:tab w:leader="none" w:pos="260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firstLine="656"/>
        <w:spacing w:after="0" w:line="253" w:lineRule="auto"/>
        <w:tabs>
          <w:tab w:leader="none" w:pos="13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 xml:space="preserve"> (a) The Borrowers shall make each payment or prepayment required to be made by them hereunder (whether of principal, interest, fees or reimbursement of LC Disbursements, or of amounts payable under Section 2.15, 2.16 or 2.17, or otherwise) prior to 2:00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56"/>
        <w:spacing w:after="0" w:line="251" w:lineRule="auto"/>
        <w:tabs>
          <w:tab w:leader="none" w:pos="13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 amount to the Administrative Agent equal to one hundred five percent (105%) of the aggregate LC Exposure, to be held as cash collateral for such Obligations, and to pay any amounts owing in respect of Swap Agreement Obligations (other than Commodity Linked Transactions(s)) up to and including the amount most recently provided to the Administrative Agent pursuant to Section 2.22, for which Reserves have been established,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in respect of Banking Services Obligations and Swap Agreement Obligations up to and including the amount most recently provided to the Administrative Agent pursuant to Section 2.22 and to the extent not paid pursuant to clause sixth above,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payment of any other Secured Obligation due to the Administrative Agent or any Lender by the Borrowers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20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firstLine="656"/>
        <w:spacing w:after="0" w:line="252" w:lineRule="auto"/>
        <w:tabs>
          <w:tab w:leader="none" w:pos="12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p>
    <w:p>
      <w:pPr>
        <w:spacing w:after="0" w:line="225" w:lineRule="exact"/>
        <w:rPr>
          <w:sz w:val="20"/>
          <w:szCs w:val="20"/>
          <w:color w:val="auto"/>
        </w:rPr>
      </w:pPr>
    </w:p>
    <w:p>
      <w:pPr>
        <w:jc w:val="both"/>
        <w:ind w:firstLine="656"/>
        <w:spacing w:after="0" w:line="255" w:lineRule="auto"/>
        <w:tabs>
          <w:tab w:leader="none" w:pos="13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Section 2.15, or if the Borrowers are required to pay any Indemnified Taxes or additional amounts to any Lender or any Governmental Authority for the account of any Lender pursuant to Section 2.17, and, in each case, such Lender has declined or is unable to designate a different lending office in accordance with paragraph (a) of this Section,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jc w:val="center"/>
        <w:ind w:right="-279"/>
        <w:spacing w:after="0"/>
        <w:tabs>
          <w:tab w:leader="none" w:pos="1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fees shall cease to accrue on the unfunded portion of the Revolving Commitment of such Defaulting Lender pursuant to Section 2.12(a);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firstLine="656"/>
        <w:spacing w:after="0" w:line="251" w:lineRule="auto"/>
        <w:tabs>
          <w:tab w:leader="none" w:pos="10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8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jc w:val="both"/>
        <w:ind w:left="660" w:firstLine="644"/>
        <w:spacing w:after="0" w:line="258" w:lineRule="auto"/>
        <w:tabs>
          <w:tab w:leader="none" w:pos="20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Borrowers shall within five (5) Business Days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cash collateralize any portion of such Defaulting Lender’s LC Exposure pursuant to clause (ii) above, the Borrowers shall not be required to pay any fees to such Defaulting Lender pursuant to Section 2.12(c)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Sections 2.12(a) and 2.12(c) shall be adjusted in accordance with such non-Defaulting Lenders’ Applicable Percentages;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2.12(c) with respect to such Defaulting Lender’s LC Exposure shall be payable to the Issuing Bank until and to the extent that such LC Exposure is reallocated and/or cash collateralized; and</w:t>
      </w:r>
    </w:p>
    <w:p>
      <w:pPr>
        <w:spacing w:after="0" w:line="180" w:lineRule="exact"/>
        <w:rPr>
          <w:sz w:val="20"/>
          <w:szCs w:val="20"/>
          <w:color w:val="auto"/>
        </w:rPr>
      </w:pPr>
    </w:p>
    <w:p>
      <w:pPr>
        <w:jc w:val="both"/>
        <w:ind w:firstLine="656"/>
        <w:spacing w:after="0" w:line="258" w:lineRule="auto"/>
        <w:tabs>
          <w:tab w:leader="none" w:pos="12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Borrowers and the Issuing Bank agrees that a Defaulting Lender has adequately remedied all matters that caused such Lender to be a Defaulting Lender, then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Banking Services and Swap Agreements</w:t>
      </w:r>
      <w:r>
        <w:rPr>
          <w:rFonts w:ascii="Times New Roman" w:cs="Times New Roman" w:eastAsia="Times New Roman" w:hAnsi="Times New Roman"/>
          <w:sz w:val="18"/>
          <w:szCs w:val="18"/>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shall be required to provide any notice described in this Section 2.22 in respect of such Banking Services or Swap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29"/>
          <w:szCs w:val="29"/>
          <w:color w:val="auto"/>
          <w:vertAlign w:val="superscript"/>
        </w:rPr>
        <w:t>1</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2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90" w:lineRule="exact"/>
        <w:rPr>
          <w:sz w:val="20"/>
          <w:szCs w:val="20"/>
          <w:color w:val="auto"/>
        </w:rPr>
      </w:pPr>
    </w:p>
    <w:p>
      <w:pPr>
        <w:ind w:left="120" w:hanging="112"/>
        <w:spacing w:after="0"/>
        <w:tabs>
          <w:tab w:leader="none" w:pos="12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provide updated schedules to the Credit Agreement and the Security Agreement as necessary.</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 No consent or approval of, registration or filing with, or any other action by, any Governmental Authority or approval, consent or authorization of any Person is required for the execution, delivery and performance of the Plateplus Purchase Agreement and the Transition Services Agreement by the parties thereto, except such as have been obtained or made and are in full force and effect. As of and at all times following the Century Acquisition Closing Date, no consent or approval of, registration or filing with, or any other action by, any Governmental Authority or approval, consent or authorization of any Person is required for the execution, delivery and performance of the Century Acquisition Document by the Persons party thereto, except as have been obtained or made and are in full force and effect.</w:t>
      </w:r>
    </w:p>
    <w:p>
      <w:pPr>
        <w:spacing w:after="0" w:line="19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xml:space="preserve"> (a) The Company has heretofore furnished to the Lenders its consolidated balance sheet and statements of income, stockholders equity and cash flows (i) as of and for the fiscal year ended March 31, 2020, reported on by Moss Adams LLP, independent public accountants, (ii) as of and for the fiscal month and the portion of the fiscal year ended February 28, 2021, certified by a Financial Officer and (iii) a draft of the consolidated balance sheet and statements of income, stockholders equity and cash flows of the Company for the fiscal year ended March 31, 2021. Such financial statements present fairly, in all material respects, the financial position and results of operations and cash flows of the Company and its consolidated Subsidiaries as of such dates and for such periods in accordance with GAAP, subject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(all of which, when taken as a whole, would not be materially adverse) and the absence of footnotes in the case of the statements referred to in clause (ii) and (iii) above.</w:t>
      </w:r>
    </w:p>
    <w:p>
      <w:pPr>
        <w:spacing w:after="0" w:line="198" w:lineRule="exact"/>
        <w:rPr>
          <w:sz w:val="20"/>
          <w:szCs w:val="20"/>
          <w:color w:val="auto"/>
        </w:rPr>
      </w:pPr>
    </w:p>
    <w:p>
      <w:pPr>
        <w:ind w:left="1280" w:hanging="624"/>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or condition has occurred that has had, or could reasonably be expected to have, a Material Adverse Effect, since March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31, 2020.</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 As of the </w:t>
      </w:r>
      <w:r>
        <w:rPr>
          <w:rFonts w:ascii="Times New Roman" w:cs="Times New Roman" w:eastAsia="Times New Roman" w:hAnsi="Times New Roman"/>
          <w:sz w:val="18"/>
          <w:szCs w:val="18"/>
          <w:color w:val="FF0000"/>
          <w:strike w:val="1"/>
        </w:rPr>
        <w:t>date of this Agreement</w:t>
      </w:r>
      <w:r>
        <w:rPr>
          <w:rFonts w:ascii="Times New Roman" w:cs="Times New Roman" w:eastAsia="Times New Roman" w:hAnsi="Times New Roman"/>
          <w:sz w:val="18"/>
          <w:szCs w:val="18"/>
          <w:u w:val="single" w:color="auto"/>
          <w:color w:val="0000FF"/>
        </w:rPr>
        <w:t>Fifth Amendment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of its Subsidiaries has good and indefeasible title to, or valid leasehold interests in, all of its real and personal property, free of all Liens other than those permitted by Section 6.02.</w:t>
      </w:r>
    </w:p>
    <w:p>
      <w:pPr>
        <w:spacing w:after="0" w:line="183" w:lineRule="exact"/>
        <w:rPr>
          <w:sz w:val="20"/>
          <w:szCs w:val="20"/>
          <w:color w:val="auto"/>
        </w:rPr>
      </w:pPr>
    </w:p>
    <w:p>
      <w:pPr>
        <w:jc w:val="both"/>
        <w:ind w:firstLine="656"/>
        <w:spacing w:after="0" w:line="261" w:lineRule="auto"/>
        <w:tabs>
          <w:tab w:leader="none" w:pos="13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xml:space="preserve"> (a) There are no actions, suits or proceedings by or before any arbitrator or Governmental Authority pending against or, to the knowledge of any Loan Party, threatened against or affecting any Loan Party or any Subsidiary (i) as to which there is a reasonable possi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bility of an adverse determination and that, if adversely determined, could reasonably be expected, individually or in the aggregate, to result in a Material Adverse Effect (other than the Disclosed Matters) or (ii) that involve any Loan Document or the Transactions.</w:t>
      </w:r>
    </w:p>
    <w:p>
      <w:pPr>
        <w:spacing w:after="0" w:line="200" w:lineRule="exact"/>
        <w:rPr>
          <w:sz w:val="20"/>
          <w:szCs w:val="20"/>
          <w:color w:val="auto"/>
        </w:rPr>
      </w:pPr>
    </w:p>
    <w:p>
      <w:pPr>
        <w:jc w:val="both"/>
        <w:ind w:firstLine="656"/>
        <w:spacing w:after="0" w:line="256" w:lineRule="auto"/>
        <w:tabs>
          <w:tab w:leader="none" w:pos="129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(i) no Loan Party or any Subsidiary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has been no change in the status of the Disclosed Matters that, individually or in the aggregate, has resulted in, or could reasonably be expected to result in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xml:space="preserve"> Except where the failure to do so, individually or in the aggregate, could not reasonably be expected to result in a Material Adverse Effect, each Loan Party and each Subsidiary is in compliance with (a) all Requirements of Law applicable to it or its property and (b) all indentures, agreements and other instruments binding upon it or its property. No Default has occurred and is continuing.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xml:space="preserve"> No Loan Party 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Loan Party and each Subsidiary has timely filed (taking into account extensions) or caused to be filed all income and other material Tax returns required to have been filed and has paid or caused to be paid all income and other material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$50,000 the fair market value of the assets of all such underfunded Plans.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ind w:firstLine="656"/>
        <w:spacing w:after="0" w:line="282" w:lineRule="auto"/>
        <w:tabs>
          <w:tab w:leader="none" w:pos="13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xml:space="preserve">. All material agreements and contracts to which any Loan Party is a party or is bound as of the </w:t>
      </w:r>
      <w:r>
        <w:rPr>
          <w:rFonts w:ascii="Times New Roman" w:cs="Times New Roman" w:eastAsia="Times New Roman" w:hAnsi="Times New Roman"/>
          <w:sz w:val="18"/>
          <w:szCs w:val="18"/>
          <w:color w:val="FF0000"/>
          <w:strike w:val="1"/>
        </w:rPr>
        <w:t>date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Fifth Amendment Effective 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listed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Schedule 3.12</w:t>
      </w:r>
      <w:r>
        <w:rPr>
          <w:rFonts w:ascii="Times New Roman" w:cs="Times New Roman" w:eastAsia="Times New Roman" w:hAnsi="Times New Roman"/>
          <w:sz w:val="18"/>
          <w:szCs w:val="18"/>
          <w:color w:val="000000"/>
        </w:rPr>
        <w:t>. No Loan Party is in default in the performance, observance or fulfillment of any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obligations, covenants or conditions contained in (a) any material agreement to which it is a party or (b) any agreement or instrument evidencing or governing Indebtedness, in each case which could reasonably be expected to result in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 Immediately after the consummation of the Transactions to occur on the Second Amendment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Second Amendment Effective Date.</w:t>
      </w:r>
    </w:p>
    <w:p>
      <w:pPr>
        <w:spacing w:after="0" w:line="189" w:lineRule="exact"/>
        <w:rPr>
          <w:sz w:val="20"/>
          <w:szCs w:val="20"/>
          <w:color w:val="auto"/>
        </w:rPr>
      </w:pPr>
    </w:p>
    <w:p>
      <w:pPr>
        <w:jc w:val="both"/>
        <w:ind w:firstLine="656"/>
        <w:spacing w:after="0" w:line="266" w:lineRule="auto"/>
        <w:tabs>
          <w:tab w:leader="none" w:pos="128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Insurance. Schedule 3.14</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Fifth</w:t>
      </w:r>
      <w:r>
        <w:rPr>
          <w:rFonts w:ascii="Times New Roman" w:cs="Times New Roman" w:eastAsia="Times New Roman" w:hAnsi="Times New Roman"/>
          <w:sz w:val="18"/>
          <w:szCs w:val="18"/>
          <w:color w:val="auto"/>
        </w:rPr>
        <w:t xml:space="preserve"> Amendment Effective Date.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Fifth</w:t>
      </w:r>
      <w:r>
        <w:rPr>
          <w:rFonts w:ascii="Times New Roman" w:cs="Times New Roman" w:eastAsia="Times New Roman" w:hAnsi="Times New Roman"/>
          <w:sz w:val="18"/>
          <w:szCs w:val="18"/>
          <w:color w:val="auto"/>
        </w:rPr>
        <w:t xml:space="preserve"> Amendment Effective Date, all premiums in respect of such insurance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7"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sets forth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Fifth</w:t>
      </w:r>
      <w:r>
        <w:rPr>
          <w:rFonts w:ascii="Times New Roman" w:cs="Times New Roman" w:eastAsia="Times New Roman" w:hAnsi="Times New Roman"/>
          <w:sz w:val="18"/>
          <w:szCs w:val="18"/>
          <w:color w:val="auto"/>
        </w:rPr>
        <w:t xml:space="preserve"> Amendment Effective Date (a) a correct and complete list of the name and relationship to the Company of each and all of the Company’s Subsidiaries, (b) a true and complete listing of each class of each Borrower’s authorized Equity Interests, all of which issued Equity Interests are validly issued, outstanding, fully paid and non-assessable, and owned beneficially and of record by the Persons identified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assessable. As of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Fifth</w:t>
      </w:r>
      <w:r>
        <w:rPr>
          <w:rFonts w:ascii="Times New Roman" w:cs="Times New Roman" w:eastAsia="Times New Roman" w:hAnsi="Times New Roman"/>
          <w:sz w:val="18"/>
          <w:szCs w:val="18"/>
          <w:color w:val="auto"/>
        </w:rPr>
        <w:t xml:space="preserve"> Amendment Effective Date, there are no outstanding commitments or other obligations of any Loan Party to issue, and no options, warrants or other rights of any Person to acquire, any shares of any class of capital stock or other equity interests of any Loan Party.</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The provisions of this Agreement and the other Loan Documents create legal and valid Liens on all of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As of the Second Amendment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have been used and will be used, whether directly or indirectly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Burdensome Restrictions</w:t>
      </w:r>
      <w:r>
        <w:rPr>
          <w:rFonts w:ascii="Times New Roman" w:cs="Times New Roman" w:eastAsia="Times New Roman" w:hAnsi="Times New Roman"/>
          <w:sz w:val="18"/>
          <w:szCs w:val="18"/>
          <w:color w:val="auto"/>
        </w:rPr>
        <w:t>. No Loan Party is subject to any Burdensome Restrictions except Burdensome Restrictions permitted under Section 6.10.</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in all material respects and applicable Sanctions. None of (a) any Loan Party, any Subsidiary or any of their respective directors, officers or, to the knowledge of any such Loan Party or Subsidiary, employees, or (b) to the knowledge of any such Loan Party or Subsidiary, any agent of such Loan Party or any Subsidiary that will act in any capacity in connection with or benefit from the credit facility established hereby, is a Sanctioned Person or is in violation of any Sanctions. No Borrowing or Letter of Credit, use of proceeds, Transaction or other transaction contemplated by this Agreement or the other Loan Documents will violate Anti-Corruption Laws or applicable Sanctions.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No Loan Party is an EEA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Plan Assets; Prohibited Transactions</w:t>
      </w:r>
      <w:r>
        <w:rPr>
          <w:rFonts w:ascii="Times New Roman" w:cs="Times New Roman" w:eastAsia="Times New Roman" w:hAnsi="Times New Roman"/>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amend and restate the Existing Credit Agreement in the form of this Agreement, and the obligation to make Loans and of the Issuing Bank to issue Letters of Credit hereunder shall not become effective until the date on which each of the following conditions is satisfied (or waived in accordance with Section 9.02):</w:t>
      </w:r>
    </w:p>
    <w:p>
      <w:pPr>
        <w:spacing w:after="0" w:line="176" w:lineRule="exact"/>
        <w:rPr>
          <w:sz w:val="20"/>
          <w:szCs w:val="20"/>
          <w:color w:val="auto"/>
        </w:rPr>
      </w:pPr>
    </w:p>
    <w:p>
      <w:pPr>
        <w:jc w:val="both"/>
        <w:ind w:left="660" w:firstLine="644"/>
        <w:spacing w:after="0" w:line="257" w:lineRule="auto"/>
        <w:tabs>
          <w:tab w:leader="none" w:pos="174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customary legal opinion of the Loan Parties' counsel, addressed to the Administrative Agent, the Issuing Bank and the Lenders, all in form and substance satisfactory to the Administrative Agent and its counsel.</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left="660" w:firstLine="644"/>
        <w:spacing w:after="0" w:line="255" w:lineRule="auto"/>
        <w:tabs>
          <w:tab w:leader="none" w:pos="169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Lenders shall have received (i) audited consolidated financial statements of the Company for the fiscal years ending March 2018, March 2019, March 2020 (ii) to the extent available as of the Effective Date, a draft of the consolidated financial statements of the Company for the fiscal year ending March 2021, (iii) unaudited interim consolidated financial statements of the Company for each fiscal month ended after the date of the latest applicable financial statements delivered pursuant to clause (i) of this paragraph and on or prior to February 28, 2021, and such financial statements shall not, in the reasonable judgment of the Administrative Agent, reflect any material adverse change in the consolidated financial condition of the Company, as reflected in the audited, consolidated financial statements described in clause (i) of this paragraph and (iv) satisfactory projections for the fiscal years of the Company ending March 2022 and March 2023.</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18" w:lineRule="exact"/>
        <w:tabs>
          <w:tab w:leader="none" w:pos="180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each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Administrative Agent shall have received a certificate, signed by a Financial Officer of the Company,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8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are organized and where the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2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The Administrative Agent shall have received satisfactory pay-off letters for all existing Indebtedness to be repaid from the proceeds of the initial Borrowing,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left="660" w:firstLine="644"/>
        <w:spacing w:after="0" w:line="266" w:lineRule="auto"/>
        <w:tabs>
          <w:tab w:leader="none" w:pos="173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The Administrative Agent shall have received a notice setting forth the deposit accounts of the Borrowers (the “</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to which the Administrative Agent is authorized by the Borrowers to transfer the proceeds of any Borrowings requested or authorized pursuant to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List</w:t>
      </w:r>
      <w:r>
        <w:rPr>
          <w:rFonts w:ascii="Times New Roman" w:cs="Times New Roman" w:eastAsia="Times New Roman" w:hAnsi="Times New Roman"/>
          <w:sz w:val="18"/>
          <w:szCs w:val="18"/>
          <w:color w:val="auto"/>
        </w:rPr>
        <w:t>. The Administrative Agent shall have received a true and complete customer list for each Borrower and its Subsidiaries, which list shall state the customer’s name, mailing address and phone number and shall be certified as true and correct by a Financial Officer of the Borrower Representative.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Access and Control Agreements</w:t>
      </w:r>
      <w:r>
        <w:rPr>
          <w:rFonts w:ascii="Times New Roman" w:cs="Times New Roman" w:eastAsia="Times New Roman" w:hAnsi="Times New Roman"/>
          <w:sz w:val="18"/>
          <w:szCs w:val="18"/>
          <w:color w:val="auto"/>
        </w:rPr>
        <w:t>. The Administrative Agent shall have received (i) each Collateral Access Agreement required to be provided pursuant to Section 4.13 of the Security Agreement, (ii) each Deposit Account Control Agreement required to be provided pursuant to Section 4.14 of the Security Agreement and (iii) a control agreement acceptable to Administrative Agent in its Permitted Discretion, executed by StoneX Financial Inc. (the “</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with respect to Account #462-24461 maintained with the Commodities Intermediary (the “</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solvency certificate signed by a Financial Officer dated the Effective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Borrowing Base Certificate which calculates the Borrowing Base as of a recent date determined by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Excess Availability shall not be less than $20,000,000.</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7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requested by the Administrative Agent in its sole discretion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Unless required to be delivered by a later date pursuant to Section 5.16, the Administrative Agent shall have received evidence of insurance coverage in form, scope, and substance reasonably satisfactory to the Administrative Agent and otherwise in compliance with the terms of Section 5.10 hereof and Section 4.12 of the Security Agreement.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left="660" w:firstLine="644"/>
        <w:spacing w:after="0" w:line="266" w:lineRule="auto"/>
        <w:tabs>
          <w:tab w:leader="none" w:pos="17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If a Letter of Credit is requested to be issued on the Effective Date, the Administrative Agent shall have received a properly completed letter of credit application (whether standalone or pursuant to a master agreement, as applicable). The Borrowers shall have executed the Issuing Bank’s master agreement for the issuance of commercial Letters of Credit.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7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shall have received a properly completed and signed IRS Form W-8 or W-9, as applicable, for each Loan Party.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9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Structure</w:t>
      </w:r>
      <w:r>
        <w:rPr>
          <w:rFonts w:ascii="Times New Roman" w:cs="Times New Roman" w:eastAsia="Times New Roman" w:hAnsi="Times New Roman"/>
          <w:sz w:val="18"/>
          <w:szCs w:val="18"/>
          <w:color w:val="auto"/>
        </w:rPr>
        <w:t>. The corporate structure, capital structure and other material debt instruments, material accounts and governing documents of the Borrowers and their Affiliates shall be acceptable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9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The Administrative Agent or its designee shall have conducted, at the sole cost and expense of the Lenders, a field examination of the Borrower’s Accounts, Inventory and related working capital matters and of the Borrowers’ related data processing and other systems, the results of which shall be satisfactory to the Administrative Agent in its sole discretion. The Loan Parties shall have no obligation to reimburse the Administrative Agent or the Lenders for the cost of such field examination notwithstanding Section 4.01(e).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Administrative Agent and its counsel shall have completed all legal due diligence, the results of which shall be satisfactory to Administrative Agent in its sole discretion.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The Administrative Agent shall have received an appraisal of the Borrowers’ Inventory from one or more firms satisfactory to the Administrative Agent, which appraisal shall be satisfactory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(i) The Administrative Agent shall have received,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(ii) shall be deemed to be satisfied).</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7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of this Agreement (and, in the event such conditions are not so satisfied or waived, the Commitments may be terminated at such time by written notice to Borrower Representative delivered by Administrative Agent.).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and of the Issuing Bank to issue, amend or extend any Letter of Credit, is subject to the satisfaction of the following conditions:</w:t>
      </w:r>
    </w:p>
    <w:p>
      <w:pPr>
        <w:spacing w:after="0" w:line="162" w:lineRule="exact"/>
        <w:rPr>
          <w:sz w:val="20"/>
          <w:szCs w:val="20"/>
          <w:color w:val="auto"/>
        </w:rPr>
      </w:pPr>
    </w:p>
    <w:p>
      <w:pPr>
        <w:jc w:val="both"/>
        <w:ind w:left="660" w:firstLine="644"/>
        <w:spacing w:after="0" w:line="261" w:lineRule="auto"/>
        <w:tabs>
          <w:tab w:leader="none" w:pos="19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(i) no Default shall have occurred and be continuing and (ii) no Protective Advance shall be outstanding.</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Borrowing or the issuance of any Letter of Credit, Availability shall not be less than zero.</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shall have occurred and no condition shall exist which has or could be reasonably expected to have a Material Adverse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Borrowers on the date thereof as to the matters specified in paragraphs (a), (b), (c) and (d) of this Section.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paragraphs (a) or (b) of this Section, unless otherwise directed by the Required Lenders (or if there are only two Lenders, any Lender),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Borrowing Base and Other Information.</w:t>
      </w:r>
      <w:r>
        <w:rPr>
          <w:rFonts w:ascii="Times New Roman" w:cs="Times New Roman" w:eastAsia="Times New Roman" w:hAnsi="Times New Roman"/>
          <w:sz w:val="18"/>
          <w:szCs w:val="18"/>
          <w:color w:val="auto"/>
        </w:rPr>
        <w:t xml:space="preserve"> The Borrowers will furnish to the Administrative Agent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left="660" w:firstLine="644"/>
        <w:spacing w:after="0" w:line="254" w:lineRule="auto"/>
        <w:tabs>
          <w:tab w:leader="none" w:pos="191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year (after giving effect to any permitted extensions) (or, if such financial statements are not required to be filed with the SEC, on or before the date that is 90 days after the end of each such fiscal year) the audited consolidated balance sheet of the Company and its Subsidiaries and related statements of operations, stockholders' equity and cash flows as of the end of and for each fiscal year of the Company,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8" w:name="page119"/>
    <w:bookmarkEnd w:id="118"/>
    <w:p>
      <w:pPr>
        <w:jc w:val="both"/>
        <w:ind w:left="660" w:firstLine="644"/>
        <w:spacing w:after="0" w:line="254" w:lineRule="auto"/>
        <w:tabs>
          <w:tab w:leader="none" w:pos="191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quarter (after giving effect to any permitted extensions) (or, if such financial statements are not required to be filed with the SEC, on or before the date that is 45 days after the end of each such fiscal quarter), the consolidated balance sheet of the Company and its Subsidiaries and related statements of operations, stockholders' equity and cash flows as of the end of and for each fiscal quarter of the Company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3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fiscal month of the Company, the consolidated balance sheet of the Company and its Subsidiaries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6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(b) or (c) above,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9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 later than 30 days following the end of each fiscal year of the Company, a copy of the plan and forecast (including a projected consolidated and consolidating balance sheet, income statement and cash flow statement) of the Company for each month of the upcoming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left="660" w:firstLine="644"/>
        <w:spacing w:after="0" w:line="258" w:lineRule="auto"/>
        <w:tabs>
          <w:tab w:leader="none" w:pos="19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but in any event within 20 days of the end of each calendar month, as of the period then ended, a Borrowing Base Certificate and supporting information in connection therewith, together with any additional reports with respect to the Borrowing Base as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any time that Availability is less than the greater of (A) 15% of the Aggregate Revolving Commitment and (B) $</w:t>
      </w:r>
      <w:r>
        <w:rPr>
          <w:rFonts w:ascii="Times New Roman" w:cs="Times New Roman" w:eastAsia="Times New Roman" w:hAnsi="Times New Roman"/>
          <w:sz w:val="18"/>
          <w:szCs w:val="18"/>
          <w:color w:val="FF0000"/>
          <w:strike w:val="1"/>
        </w:rPr>
        <w:t>18,750,000</w:t>
      </w:r>
      <w:r>
        <w:rPr>
          <w:rFonts w:ascii="Times New Roman" w:cs="Times New Roman" w:eastAsia="Times New Roman" w:hAnsi="Times New Roman"/>
          <w:sz w:val="18"/>
          <w:szCs w:val="18"/>
          <w:u w:val="single" w:color="auto"/>
          <w:color w:val="0000FF"/>
        </w:rPr>
        <w:t>21,000,000</w:t>
      </w:r>
      <w:r>
        <w:rPr>
          <w:rFonts w:ascii="Times New Roman" w:cs="Times New Roman" w:eastAsia="Times New Roman" w:hAnsi="Times New Roman"/>
          <w:sz w:val="18"/>
          <w:szCs w:val="18"/>
          <w:color w:val="auto"/>
        </w:rPr>
        <w:t>, Borrowers shall deliver the reports set forth in this clause (g) on a weekly basis within 3 Business Days of the end of each calendar week;</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period then ended, all delivered electronically in a text formatted file acceptable to the Administrative Agent: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7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aging of the Borrowers’ Accounts, including all invoices aged by invoice date and due date (with an explanation of the terms offered), prepared in a manner reasonably acceptable to the Administrative Agent, together with a summary specifying the name and balance due for each Account Debtor;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82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Borrowers’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weighted average cost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3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worksheet of calculations prepared by the Borrowers to determine Eligible Accounts and Eligible Inventory, such worksheets detailing the Accounts and Inventory excluded from Eligible Accounts and Eligible Inventory and the reason for such exclusion;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66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Borrowers’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loan balance per the Borrowers’ general ledger to the loan balance under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ind w:left="1880" w:hanging="576"/>
        <w:spacing w:after="0"/>
        <w:tabs>
          <w:tab w:leader="none" w:pos="1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Administrative Agent’s request: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invoices issued by the Borrowers in connection with any Accounts, credit memos, shipping and delivery documents, and other information related thereto;</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7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purchase orders, invoices, and shipping and delivery documents in connection with any Inventory or Equipment purchased by any Loan Party; and</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balance of all intercompany accounts of the Loan Parties;</w:t>
      </w:r>
    </w:p>
    <w:p>
      <w:pPr>
        <w:spacing w:after="0" w:line="2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49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8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as the case may be;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by the Administrative Agent or any Lender, copies of (i) any documents described in Section 101(k)(1) of ERISA that any Borrower or any ERISA Affiliate may request with respect to any Multiemployer Plan and (ii) any notices described in Section 101(l)(1) of ERISA that any Borrower or any ERISA Affiliate may request with respect to any Multiemployer Plan;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9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Administrative Agent, as soon as possible and in any event within twenty (20) Business Days of filing thereof, copies of all U.S. federal income tax returns filed by any Loan Party with the U.S. Internal Revenue Service.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any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any Borrower or any Subsidiary thereof;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and to the extent requested, copies of any detailed audit reports, management letters or recommendations submitted to the board of directors (or the audit committee of the board of directors) of any Borrower by independent accountants in connection with the accounts or books of such Borrower or any Subsidiary, or any audit of any of them as the Administrative Agent or any Lender (through the Administrative Agent) may reasonably request.</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5.01(a), (b) or (l)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and warrants that each of it, and its Controlling and Controlled entities, in each case, if any (collectively with the Borrowers, the “</w:t>
      </w:r>
      <w:r>
        <w:rPr>
          <w:rFonts w:ascii="Times New Roman" w:cs="Times New Roman" w:eastAsia="Times New Roman" w:hAnsi="Times New Roman"/>
          <w:sz w:val="18"/>
          <w:szCs w:val="18"/>
          <w:u w:val="single" w:color="auto"/>
          <w:color w:val="auto"/>
        </w:rPr>
        <w:t>Relevant Entities</w:t>
      </w:r>
      <w:r>
        <w:rPr>
          <w:rFonts w:ascii="Times New Roman" w:cs="Times New Roman" w:eastAsia="Times New Roman" w:hAnsi="Times New Roman"/>
          <w:sz w:val="18"/>
          <w:szCs w:val="18"/>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 (A) authorizes the Administrative Agent to make the financial statements to be provided under Section 5.01(a) and (b) above (collectively or individually, as the context requires,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along with the Loan Documents, available to Public-Siders and</w:t>
      </w:r>
    </w:p>
    <w:p>
      <w:pPr>
        <w:spacing w:after="0" w:line="3" w:lineRule="exact"/>
        <w:rPr>
          <w:sz w:val="20"/>
          <w:szCs w:val="20"/>
          <w:color w:val="auto"/>
        </w:rPr>
      </w:pPr>
    </w:p>
    <w:p>
      <w:pPr>
        <w:jc w:val="both"/>
        <w:ind w:left="660" w:hanging="4"/>
        <w:spacing w:after="0" w:line="252" w:lineRule="auto"/>
        <w:tabs>
          <w:tab w:leader="none" w:pos="9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Borrowers’ compliance with the covenants contained herein or with respect to the Borrowing Base.</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xml:space="preserve"> The Borrowers will furnish to the Administrative Agent and each Lender prompt (but in any event within any time period that may be specified below) written notice of the following:</w:t>
      </w:r>
    </w:p>
    <w:p>
      <w:pPr>
        <w:spacing w:after="0" w:line="162" w:lineRule="exact"/>
        <w:rPr>
          <w:sz w:val="20"/>
          <w:szCs w:val="20"/>
          <w:color w:val="auto"/>
        </w:rPr>
      </w:pPr>
    </w:p>
    <w:p>
      <w:pPr>
        <w:ind w:left="1260" w:hanging="604"/>
        <w:spacing w:after="0"/>
        <w:tabs>
          <w:tab w:leader="none" w:pos="12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the occurrence of any Default;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29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following receipt, receipt of any notice of any investigation by a Governmental Authority or any litigation or Proceeding commenced or threatened against any Loan Party or any Subsidiary that (i) seeks damages in excess of $100,000, (ii) seeks injunctive relief,</w:t>
      </w:r>
    </w:p>
    <w:p>
      <w:pPr>
        <w:jc w:val="both"/>
        <w:ind w:firstLine="8"/>
        <w:spacing w:after="0" w:line="250" w:lineRule="auto"/>
        <w:tabs>
          <w:tab w:leader="none" w:pos="32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w:t>
      </w:r>
    </w:p>
    <w:p>
      <w:pPr>
        <w:ind w:right="20" w:firstLine="8"/>
        <w:spacing w:after="0" w:line="260" w:lineRule="auto"/>
        <w:tabs>
          <w:tab w:leader="none" w:pos="31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asserts liability on the part of any Loan Party or any Subsidiary in excess of $100,000 in respect of any Tax, fee, assessment, or other governmental charge, or (vii) involves any product recall;</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firstLine="656"/>
        <w:spacing w:after="0" w:line="282" w:lineRule="auto"/>
        <w:tabs>
          <w:tab w:leader="none" w:pos="125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Lien (other than Permitted Encumbrances) or claim made or asserted against any of the Collateral;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loss, damage, or destruction to the Collateral in the amount of $100,000 or more, whether or not covered by insurance;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receipt thereof, any and all default notices received under or with respect to any leased location or public warehouse where Collateral is located;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execution thereof, all material amendments to any Material Agreement, together with a copy of each such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execution thereof, any Loan Party entering into a Swap Agreement or an amendment thereto, together with copies of all agreements evidencing such Swap Agreement or amendment;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obtaining knowledge thereof, the occurrence of any ERISA Event that, alone or together with any other ERISA Events that have occurred, could reasonably be expected to result in liability of the Loan Parties and their Subsidiaries in an aggregate amount exceeding $100,000;</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implementation thereof, any material change in accounting or financial reporting practices by any</w:t>
      </w:r>
    </w:p>
    <w:p>
      <w:pPr>
        <w:spacing w:after="0" w:line="27" w:lineRule="exact"/>
        <w:rPr>
          <w:rFonts w:ascii="Times New Roman" w:cs="Times New Roman" w:eastAsia="Times New Roman" w:hAnsi="Times New Roman"/>
          <w:sz w:val="18"/>
          <w:szCs w:val="18"/>
          <w:color w:val="auto"/>
        </w:rPr>
      </w:pPr>
    </w:p>
    <w:p>
      <w:pPr>
        <w:ind w:right="10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Subsidiary;</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other development that results, or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3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occurrence thereof, any change in the information provided in the Beneficial Ownership Certification delivered to such Lender that would result in a change to the list of beneficial owners identified in such certification; and</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following the formation or acquisition thereof, any Subsidiary is formed or acquired after the date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a reference line that reads “Notice under Section 5.02 of Amended and Restated Credit Agreement dated May 19, 2021” and (iii)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maintain its legal existence, (b) except where the failure to do so could not reasonably be expected to result in a Material Adverse Effect, do all things necessary to maintain and preserve the rights, qualifications, licenses, permits, franchises, governmental authorizations, intellectual property rights, licenses and permits material to the conduct of its business, and all requisite authority to conduct its business in each jurisdiction in which its business is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(c) carry on and conduct its business in substantially the same manner and in substantially the same fields of enterprise as it is presently conducted.</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 Each Loan Party will, and will cause each Subsidiary to, keep and maintain all property material to the conduct of its business in good working order and condition, ordinary wear and tear excepted.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Each Loan Party acknowledges that the Administrative Agent, after exercising its rights of inspection, may prepare and distribute to the Lenders certain Reports pertaining to each Loan Party’s assets for internal use by the Administrative Agent and the Lenders. The Loan Parties shall be responsible for the costs and expenses of one (1) field examination during any 12-month period and one (1) additional field examination (for the total of two (2) such field examinations during any 12-month period) conducted at any time that Availability is less than the greater of (A) 15% of the Aggregate Revolving Commitment or (B) $</w:t>
      </w:r>
      <w:r>
        <w:rPr>
          <w:rFonts w:ascii="Times New Roman" w:cs="Times New Roman" w:eastAsia="Times New Roman" w:hAnsi="Times New Roman"/>
          <w:sz w:val="18"/>
          <w:szCs w:val="18"/>
          <w:color w:val="FF0000"/>
          <w:strike w:val="1"/>
        </w:rPr>
        <w:t>18,750,000</w:t>
      </w:r>
      <w:r>
        <w:rPr>
          <w:rFonts w:ascii="Times New Roman" w:cs="Times New Roman" w:eastAsia="Times New Roman" w:hAnsi="Times New Roman"/>
          <w:sz w:val="18"/>
          <w:szCs w:val="18"/>
          <w:u w:val="single" w:color="auto"/>
          <w:color w:val="0000FF"/>
        </w:rPr>
        <w:t>21,000,000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be responsible for the costs and expenses of all field examinations conducted while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the Loan Parties shall not be responsible for the costs and expenses of the initial field examination conducted in connection with entering into this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xml:space="preserve"> Each Loan Party will, and will cause each Subsidiary to, (a) comply with all Sanctions and to comply, in all material respects, with all Anti-Corruption Laws, (b) comply with each other Requirement of Law applicable to it or its property (including without limitation Environmental Laws) except, in each case, where the failure to do so, individually or in the aggregate, could not reasonably be expected to result in a Material Adverse Effect, and (c)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jc w:val="both"/>
        <w:ind w:left="660" w:firstLine="644"/>
        <w:spacing w:after="0" w:line="254" w:lineRule="auto"/>
        <w:tabs>
          <w:tab w:leader="none" w:pos="168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and the Letters of Credit will be used only (i) to repay certain indebtedness of the Company existing prior to the Effective Date, (ii) to finance certain Capital Expenditures related to the businesses in which the Loan Parties are engaged on the Effective Date, (iii) to finance a portion of the Plateplus Acquisition on the Second Amendment Effective Date. (iv) subject to the satisfaction of the Century Acquisition Conditions, to finance a portion of the Century Acquisition on the Century Acquisition Closing Date and (v) other working capital and general organizational purposes in the ordinary course of business. No part of the proceeds of any Loan and no Letter of Credit will be used, whether directly or indirectly, (i) for any purpose that entails a violation of any of the regulations of the Federal Reserve Board, including Regulations T, U and X,(ii) to make any Acquisition other than Permitted Acquisitions or (iii) to finance a portion of the Century Acquisition unless the Century Acquisition Conditions have been satisfied.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w:t>
      </w:r>
    </w:p>
    <w:p>
      <w:pPr>
        <w:jc w:val="both"/>
        <w:ind w:left="660" w:hanging="4"/>
        <w:spacing w:after="0" w:line="253" w:lineRule="auto"/>
        <w:tabs>
          <w:tab w:leader="none" w:pos="8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xml:space="preserve"> The Borrowers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Subject to the limitations below, at the request of the Administrative Agent, the Borrowers will provide the Administrative Agent with appraisals or updates thereof of the Inventory of the Loan Parties from an appraiser selected and engaged by the Administrative Agent, and prepared on a basis satisfactory to the Administrative Agent in its Permitted Discretion, such appraisals and updates to include, without limitation, information required by any applicable Requirement of Law. The Loan Parties shall be obligated to arrange or facilitate, and shall be responsible for the costs and expenses of, up to two (2) Inventory appraisals per calendar year. Additionally, there shall be no limitation on the number or frequency of Inventory appraisals if an Event of Default has occurred and is continuing, and the Loan Parties shall be responsible for the costs and expenses of any such appraisals conducted while an Event of Default has occurred and is continuing.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Each Borrower and each Subsidiary will maintain the Administrative Agent as its principal depository bank, including for the maintenance of operating, administrative, cash management, collection activity and other deposit accounts for the conduct of its business.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 (a) Subject to applicable Requirement of Law, each Loan Party will cause each Domestic Subsidiary formed or acquired after the date of this Agreement to become a Loan Party by executing a Joinder Agreement. In connection therewith, the Administrative Agent shall have received all documentation and other information regarding such newly formed or acquired Domestic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189" w:lineRule="exact"/>
        <w:rPr>
          <w:sz w:val="20"/>
          <w:szCs w:val="20"/>
          <w:color w:val="auto"/>
        </w:rPr>
      </w:pPr>
    </w:p>
    <w:p>
      <w:pPr>
        <w:jc w:val="both"/>
        <w:ind w:firstLine="656"/>
        <w:spacing w:after="0" w:line="266" w:lineRule="auto"/>
        <w:tabs>
          <w:tab w:leader="none" w:pos="132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cause 100% of the issued and outstanding Equity Interests of each of its Domestic Subsidiaries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Loan Party will, and will cause each Domestic Subsidiary to, execute and deliver, or cause to be executed and delivered, to the Administrative Agent such documents, agreements and instruments, and will take or cause to be taken such further actions (including the filing and recording of financing statements, fixture filings and other documents and such other actions or deliveries of the type required by Section 4.01, as applicable), which may be required by any Requirement of Law or which the Administrative Agent may, from time to time, request in its sole discretion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material assets are acquired by any Loan Party after the Effective Date (other than real property and other than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requested by the Administrative Agent in its sole discretion to grant and perfect such Liens, including actions described in paragraph</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all at the expense of the Loan Parties.</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Merger of Subsidiary</w:t>
      </w:r>
      <w:r>
        <w:rPr>
          <w:rFonts w:ascii="Times New Roman" w:cs="Times New Roman" w:eastAsia="Times New Roman" w:hAnsi="Times New Roman"/>
          <w:sz w:val="18"/>
          <w:szCs w:val="18"/>
          <w:color w:val="auto"/>
        </w:rPr>
        <w:t>. Within sixty (60) days after the Effective Date, Borrowers shall deliver to the Administrative Agent a plan of merger and certificate of merger, satisfactory to Administrative Agent in its Permitted Discretion, filed with and accepted by the Secretary of State of the state of Texas and giving effect to the merger of Friedman/Decatur L.L.C., an Alabama limited liability company, with and into the Company, with the Company being the surviving entity following the effectiveness of such merger.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Within twenty (20) days after the Effective Date, or such longer period as may be agreed to by the Administrative Agent in its Permitted Discretion, Borrowers shall deliver to the Administrative Agent all endorsements necessary to comply with the provisions of Section 4.12(b) of the Security Agreement, in each case, in form and substance satisfactory to the Administrative Agent in its Permitted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Enforcement of Rights</w:t>
      </w:r>
      <w:r>
        <w:rPr>
          <w:rFonts w:ascii="Times New Roman" w:cs="Times New Roman" w:eastAsia="Times New Roman" w:hAnsi="Times New Roman"/>
          <w:sz w:val="18"/>
          <w:szCs w:val="18"/>
          <w:color w:val="auto"/>
        </w:rPr>
        <w:t>. The Company shall Enforce all of its rights under the Plateplus Purchase Agreement, the Transition Services Agreement and the Century Acquisition Documents including, but not limited to, all indemnification rights and pursue all remedies available to it with diligence and in good faith in connection with the enforcement of any such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No Loan Party will, nor will it permit any Subsidiary to, create, incur, assume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900" w:hanging="244"/>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date hereof and set forth in Schedule 6.01 and any extensions, renewals, refinancings and replacements of any such Indebtedness in accordance with clause (f)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to any Subsidiary and of any Subsidiary to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Borrower of Indebtedness of any Subsidiary and by any Subsidiary of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any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$8,000,000 at any time outstanding;</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firstLine="656"/>
        <w:spacing w:after="0" w:line="253" w:lineRule="auto"/>
        <w:tabs>
          <w:tab w:leader="none" w:pos="10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of any of the Indebtedness described in clauses (b), (e), (i), (j) and (k) 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in an aggregate principal amount not exceeding $5,000,000 at any time outstanding;</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after the date hereof in connection with a Permitted Acquisition or that is assumed by a Borrower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exists at the time such Permitted Acquisition is consummated and is not created in contemplation of or in connection therewith and (ii) the aggregate principal amount of Indebtedness permitted by clause (i) above, together with any Refinance Indebtedness in respect thereof permitted by Section 6.01(f) (it being understood that Indebtedness under clause (i) above shall constitute “Original Indebtedness” for purposes of Section 6.01(f)), shall not exceed $10,000,000 at any time outstanding;</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with respect to the Century Earn-Out;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Commodity Linked Transactions(s) in an aggregate amount not exceeding $30,000,000;</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Century Seller Note in an aggregate amount not to exceed $4,000,000;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principal amount not exceeding $5,000,000 at any time outstanding.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62" w:lineRule="exact"/>
        <w:rPr>
          <w:sz w:val="20"/>
          <w:szCs w:val="20"/>
          <w:color w:val="auto"/>
        </w:rPr>
      </w:pPr>
    </w:p>
    <w:p>
      <w:pPr>
        <w:ind w:left="1680" w:hanging="376"/>
        <w:spacing w:after="0"/>
        <w:tabs>
          <w:tab w:leader="none" w:pos="16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any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such Borrower or Subsidiary or any other Borrower or Subsidiary and</w:t>
      </w:r>
    </w:p>
    <w:p>
      <w:pPr>
        <w:ind w:left="660" w:hanging="4"/>
        <w:spacing w:after="0" w:line="260" w:lineRule="auto"/>
        <w:tabs>
          <w:tab w:leader="none" w:pos="93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secure only those obligations which it secures on the date hereof, and extensions, renewals and replacements thereof that do not increase the outstanding principal amount thereof;</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80% of the cost of acquiring, constructing or improving such fixed or capital assets and (iv) such Liens shall not apply to any other property or assets of such Borrower or Subsidiary or any other Borrower or Subsidiary;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5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46" w:lineRule="exact"/>
        <w:rPr>
          <w:rFonts w:ascii="Times New Roman" w:cs="Times New Roman" w:eastAsia="Times New Roman" w:hAnsi="Times New Roman"/>
          <w:sz w:val="18"/>
          <w:szCs w:val="18"/>
          <w:color w:val="auto"/>
        </w:rPr>
      </w:pPr>
    </w:p>
    <w:p>
      <w:pPr>
        <w:ind w:left="660" w:firstLine="644"/>
        <w:spacing w:after="0" w:line="245" w:lineRule="exact"/>
        <w:tabs>
          <w:tab w:leader="none" w:pos="200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210 of the UCC in effect in the relevant jurisdiction covering only the items being collected upon;</w:t>
      </w:r>
    </w:p>
    <w:p>
      <w:pPr>
        <w:spacing w:after="0" w:line="19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Commodity Linked Transaction(s) permitted by Section 6.01(l);</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any Borrower or another Loan Party in respect of Indebtedness owed by such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none of the Liens permitted pursuant to this Section 6.02 may at any time attach to any Loan Party’s (1) Accounts, other than those permitted under clause (a) of the definition of Permitted Encumbrances and clause (a) above and (2) Inventory, other than those permitted under clauses (a) and (b) of the definition of Permitted Encumbrances and clause (a) or (g) above.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(a) 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with respect to an acquisition of assets or Equity Interests of another Person in connection with a Permitted Acquisition, any Person may merge into a Borrower in a transaction in which the surviving entity is a Borrower, (ii) any Person may merge into any Subsidiary in a transaction in which the surviving entity is a Subsidiary and, if any party to such merger is a Loan Party, such surviving entity is a Loan Party or becomes a Loan Party concurrently with such merger and (iii) any Subsidiary may liquidate or dissolve if the Borrower which owns such Subsidiary determines in good faith that such liquidation or dissolution is in the best interests of such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94" w:lineRule="exact"/>
        <w:rPr>
          <w:sz w:val="20"/>
          <w:szCs w:val="20"/>
          <w:color w:val="auto"/>
        </w:rPr>
      </w:pPr>
    </w:p>
    <w:p>
      <w:pPr>
        <w:jc w:val="both"/>
        <w:ind w:firstLine="656"/>
        <w:spacing w:after="0" w:line="261" w:lineRule="auto"/>
        <w:tabs>
          <w:tab w:leader="none" w:pos="13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engage to any material extent in any business other than businesses of the type conducted by the Borrowers and their Subsidiaries on the date hereof and businesses reasonably related thereto.</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change its fiscal year from the basis in effect on the Effective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7" w:lineRule="exact"/>
        <w:rPr>
          <w:sz w:val="20"/>
          <w:szCs w:val="20"/>
          <w:color w:val="auto"/>
        </w:rPr>
      </w:pPr>
    </w:p>
    <w:p>
      <w:pPr>
        <w:ind w:left="660" w:firstLine="644"/>
        <w:spacing w:after="0" w:line="282" w:lineRule="auto"/>
        <w:tabs>
          <w:tab w:leader="none" w:pos="196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hereof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9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Borrowers and their Subsidiaries in Equity Interests in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Equity Interests held by a Loan Party shall be pledged pursuant to the Security Agreement (provided that the foregoing shall not be applicable to Equity Interests of a Foreign Subsidiary)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investment, the Loan Parties would fail to comply with clause (ii) of the above proviso, such investment shall be permitted under this Section 6.04(c) if the Payment Condition is satisfied with respect thereto;</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left="660" w:firstLine="644"/>
        <w:spacing w:after="0" w:line="255" w:lineRule="auto"/>
        <w:tabs>
          <w:tab w:leader="none" w:pos="21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loan or advance, the Loan Parties would fail to comply with clause (ii) of the above proviso, such loan or advance shall be permitted under this Section 6.04(d) if the Payment Condition is satisfied with respect thereto;</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guarantee, the Loan Parties would fail to comply with the above proviso, such guarantee shall be permitted under this Section 6.04(e) if the Payment Condition is satisfied with respect thereto;</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by a Loan Party to its employees on an arms-length basis in the ordinary course of business consistent with past practices for travel and entertainment expenses, relocation costs and similar purposes up to a maximum of $50,000 in the aggregate at any one time outstanding;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2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6.07;</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a Borrower or consolidates or merges with a Borrower or any of the Subsidiaries (including in connection with a Permitted Acquisition) so long as such investments were not made in contemplation of such Person becoming a Subsidiary or of such merger;</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Dispositions permitted by Section 6.05;</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relation to Commodity Linked Transaction(s) permitted by Section 6.01(l);</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 and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ind w:left="660" w:right="20" w:firstLine="644"/>
        <w:spacing w:after="0" w:line="282" w:lineRule="auto"/>
        <w:tabs>
          <w:tab w:leader="none" w:pos="20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provided that, the Company shall not enter into the Century Acquisition Documents or consummate the Century Acquisition unless the Century Acquisition Conditions have been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Loan Party will, nor will it permit any Subsidiary to, Dispose of any asset (other than real property), including any Equity Interest owned by it, nor will any Borrower permit any Subsidiary to issue any additional Equity Interest in such Subsidiary (other than to another Borrower or another Subsidiary in compliance with Section 6.04), except:</w:t>
      </w:r>
    </w:p>
    <w:p>
      <w:pPr>
        <w:spacing w:after="0" w:line="176" w:lineRule="exact"/>
        <w:rPr>
          <w:sz w:val="20"/>
          <w:szCs w:val="20"/>
          <w:color w:val="auto"/>
        </w:rPr>
      </w:pPr>
    </w:p>
    <w:p>
      <w:pPr>
        <w:ind w:left="660" w:right="20" w:firstLine="644"/>
        <w:spacing w:after="0" w:line="282" w:lineRule="auto"/>
        <w:tabs>
          <w:tab w:leader="none" w:pos="191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and (ii) used, obsolete, worn out or surplus equipment or property in the ordinary course of business;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to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Dispositions involving a Subsidiary that is not a Loan Party shall be made in compliance with Section 6.09;</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in connection with the compromise, settlement or collection thereof;</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 and other investments permitted by Section 6.04 (other than other than Equity Interests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w:t>
      </w:r>
    </w:p>
    <w:p>
      <w:pPr>
        <w:spacing w:after="0" w:line="206"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 permitted by Section 6.06;</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commodity Inventory in connection with Commodity Linked Transaction(s) permitted by Section 6.01(l);</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2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any Borrower or any Subsidiary;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Disposed of in reliance upon this paragraph (h) shall not exceed $1,000,000 during any fiscal year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Dispositions permitted hereby (other than those permitted by paragraphs (b) and (f) above) shall be made for fair value and for at least 75% cash consideration.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xml:space="preserve"> No Loan Party will, nor will it permit any Subsidiary to, enter into any arrangement, directly or indirectly, whereby it shall sell or transfer any property (other than real property)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xml:space="preserve">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 and (c) Swap Agreements entered into for the purposes of physical commodity repurchase transactions, for which the aggregate amount of such Loan Party’s obligations thereunder, together with obligations of the Loan Parties under all other Commodity Linked Transaction(s), does not exceed $30,000,000.</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 xml:space="preserve"> (a) No Loan Party will, nor will it permit any Subsidiary to, declare or make, or agree to declare or make, directly or indirectly, any Restricted Payment, or incur any obligation (contingent or otherwise) to do so, except (i) the Borrowers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Borrowers may make Restricted Payments, not exceeding $500,000 during any fiscal year of the Company, pursuant to and in accordance with stock option plans or other benefit plans for management or employees of the Borrowers and their Subsidiaries and (iv) the Borrowers may make other Restricted Payments subject to the satisfaction of the Payment Condition with respect to any such Restricted Payment.</w:t>
      </w:r>
    </w:p>
    <w:p>
      <w:pPr>
        <w:spacing w:after="0" w:line="192" w:lineRule="exact"/>
        <w:rPr>
          <w:sz w:val="20"/>
          <w:szCs w:val="20"/>
          <w:color w:val="auto"/>
        </w:rPr>
      </w:pPr>
    </w:p>
    <w:p>
      <w:pPr>
        <w:jc w:val="both"/>
        <w:ind w:firstLine="656"/>
        <w:spacing w:after="0" w:line="261" w:lineRule="auto"/>
        <w:tabs>
          <w:tab w:leader="none" w:pos="141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Indebtedness created under the Loan Documents;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any Indebtedness permitted under Section 6.01, other than (a) payments in respect of the Subordinated Indebtedness prohibited by the subordination provisions thereof and (b) payments of the Century Seller Note or Century Earn-Out except as set forth in clauses (iii) and (iv) below;</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6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shall have occurred and be continuing or would result immediately after giving effect to such payment, payment in relation to Commodity Linked Transaction(s) permitted by Section 6.01(l);</w:t>
      </w:r>
    </w:p>
    <w:p>
      <w:pPr>
        <w:spacing w:after="0" w:line="16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shall have occurred and be continuing or would result immediately after giving effect to such payment,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1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under the Century Seller Note as and when due in accordance therewith, (b) subject to the satisfaction of the Payment Condition, prepayments of the Century Seller Note and (c) any reduction in the amount of the Century Seller Note by set-off in accordance with Section 7.06 of the Century Purchase Agreement; in each case, to the extent not in violation of the Century Subordination Agreement;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shall have occurred and be continuing or would result immediately after giving effect to such payment, subject to the Payment Condition, payments of the Century Earn-Out in accordance with the terms of the Century Purchase Agreement and not in violation of the Century Subordination Agreement (which payments, for the avoidance of doubt, shall not constitute Fixed Charges); provided that, reductions in the amount of the Century Earn-out by set-off in accordance with Section 7.06 of the Century Purchase Agreement may be made at any time so long as no Default shall have occurred and be continuing;</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left="1960" w:hanging="656"/>
        <w:spacing w:after="0"/>
        <w:tabs>
          <w:tab w:leader="none" w:pos="1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3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any Loan Parties not involving any other Affiliate, (c) any investment permitted by Sections 6.04(c) or 6.04(d), (d) any Indebtedness permitted under Section 6.01(c), (e) any Restricted Payment permitted by Section 6.08, (f) loans or advances to employees permitted under Section 6.04, (g) the payment of reasonable fees to directors of any Borrower or any Subsidiary who are not employees of such Borrower or Subsidiary, and compensation and employee benefit arrangements paid to, and indemnities provided for the benefit of, directors, officers or employees of the Borrowers or their Subsidiaries in the ordinary course of business and (h) any issuances of securities or other payments, awards or grants in cash, securities or otherwise pursuant to, or the funding of, employment agreements, stock options and stock ownership plans approved by a Borrower’s board of directors.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of its Equity Interests or to make or repay loans or advances to any Borrower or any other Subsidiary or to Guarantee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No Loan Party will, nor will it permit any Subsidiary to, amend, modify or waive any of its rights under (a) any agreement relating to any Subordinated Indebtedness, (b) its charter, articles or certificate of incorporation or organization, by-laws, operating, management or partnership agreement or other organizational or governing documents, to the extent any such amendment, modification or waiver would be adverse to the Lenders, (c) the Plateplus Purchase Agreement, the Transition Services Agreement, or any related agreements, (d) the Century Acquisition Documents or (e) the Century Seller Note.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29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The Borrowers will not permit the Fixed Charge Coverage Ratio, as of the last day of any calendar month ending during a Covenant Testing Period, to be less than 1.00 to 1.00 for the trailing twelve month period then ending.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firstLine="656"/>
        <w:spacing w:after="0" w:line="282" w:lineRule="auto"/>
        <w:tabs>
          <w:tab w:leader="none" w:pos="12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interest on any Loan or any fee or any other amount (other than an amount referred to in clause (a) of this Article) payable under this Agreement or any other Loan Document, when and as the same shall become due and payable, and such failure continues unremedied for a period of three (3) Business Days;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1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Section 5.02(a), 5.03(a) (with respect to a Loan Party’s existence) or 5.08 or in Article VI;</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this Agreement (other than those which constitute a default under another Section of this Article), or any other Loan Document,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5.04, 5.06, 5.10, 5.11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188"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656"/>
        <w:spacing w:after="0" w:line="255" w:lineRule="auto"/>
        <w:tabs>
          <w:tab w:leader="none" w:pos="1375"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an order or decree approving or ordering any of the foregoing shall be entered;</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13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123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become unable, admit in writing its inability, or publicly declare its intention not to,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one or more judgments for the payment of money in an aggregate amount in excess of $3,000,000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as defined in the Security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Loan Guarantor shall fail to comply in any material respect with any of the terms or provisions of the Loan Guaranty to which it is a party, or any Loan Guarantor shall deny that it has any further liability under the Loan Guaranty to which it is a party, or shall give notice to such effect, including, but not limited to notice of termination delivered pursuant to Section 10.08;</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ind w:firstLine="656"/>
        <w:spacing w:after="0" w:line="282" w:lineRule="auto"/>
        <w:tabs>
          <w:tab w:leader="none" w:pos="12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fail to remain in full force or effect or any action shall be taken to discontinue or to assert the invalidity or unenforceability of any Collateral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7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is criminally indicted or convicted under any law that may reasonably be expected to have a Material Adverse Effect;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any or all of the following actions, at the same or different times: (i) terminate the Commitments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and under any other Loan Document,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Commitments shall automatically terminate and the principal of the Loans then outstanding and the cash collateral for the LC Exposure, together with accrued interest thereon and all fees (including, for the avoidance of doubt, any break funding payments) and other obligations of the Borrowers accrued hereunder and under any other Loan Documents,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3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656"/>
        <w:spacing w:after="0" w:line="252" w:lineRule="auto"/>
        <w:tabs>
          <w:tab w:leader="none" w:pos="154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3"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86" w:lineRule="exact"/>
        <w:rPr>
          <w:sz w:val="20"/>
          <w:szCs w:val="20"/>
          <w:color w:val="auto"/>
        </w:rPr>
      </w:pPr>
    </w:p>
    <w:p>
      <w:pPr>
        <w:jc w:val="both"/>
        <w:ind w:left="660" w:firstLine="644"/>
        <w:spacing w:after="0" w:line="254" w:lineRule="auto"/>
        <w:tabs>
          <w:tab w:leader="none" w:pos="166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left="660" w:firstLine="644"/>
        <w:spacing w:after="0" w:line="282" w:lineRule="auto"/>
        <w:tabs>
          <w:tab w:leader="none" w:pos="173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87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80" w:lineRule="exact"/>
        <w:rPr>
          <w:sz w:val="20"/>
          <w:szCs w:val="20"/>
          <w:color w:val="auto"/>
        </w:rPr>
      </w:pPr>
    </w:p>
    <w:p>
      <w:pPr>
        <w:ind w:left="1740" w:hanging="436"/>
        <w:spacing w:after="0"/>
        <w:tabs>
          <w:tab w:leader="none" w:pos="17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656"/>
        <w:spacing w:after="0" w:line="258" w:lineRule="auto"/>
        <w:tabs>
          <w:tab w:leader="none" w:pos="12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are solely for the benefit of the Administrative Agent, the Lenders and the Issuing Banks,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Agent’s Reliance, Limitation of Liability,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 Representative,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p>
    <w:p>
      <w:pPr>
        <w:spacing w:after="0" w:line="225" w:lineRule="exact"/>
        <w:rPr>
          <w:sz w:val="20"/>
          <w:szCs w:val="20"/>
          <w:color w:val="auto"/>
        </w:rPr>
      </w:pPr>
    </w:p>
    <w:p>
      <w:pPr>
        <w:jc w:val="both"/>
        <w:ind w:right="20" w:firstLine="656"/>
        <w:spacing w:after="0" w:line="266" w:lineRule="auto"/>
        <w:tabs>
          <w:tab w:leader="none" w:pos="124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“Approved Electronic Platform”).</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13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5"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firstLine="656"/>
        <w:spacing w:after="0" w:line="258" w:lineRule="auto"/>
        <w:tabs>
          <w:tab w:leader="none" w:pos="146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27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the Issuing Bank and the Borrower Representative, whether or not a successor Administrative Agent has been appointed. Upon any such resignation, (i) the Administrative Agent may appoint one of its Affiliates as a successor Administrative Agent and (ii) if the Administrative Agent has not appointed one of its Affiliates as a successor Administrative Agent within 10 days of such resignation pursuant to clause (i) above,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(other than if the Administrative Agent appoints one of its Affiliates as a successor Administrative Agent pursuant to clause (i) above),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656"/>
        <w:spacing w:after="0" w:line="217" w:lineRule="exact"/>
        <w:tabs>
          <w:tab w:leader="none" w:pos="141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Acknowledgements of Lenders and Issuing Bank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3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56"/>
        <w:spacing w:after="0" w:line="258"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2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granted or held pursuant to the Loan Documents or to enforce any Guarantee of the Secured Obligations pursuant to the Loan Documents,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pursuant to the Loan Documents as collateral security for the Secured Obligations, the Administrative Agent is hereby authorized, and hereby granted a power of attorney, to execute and deliver on behalf of the Secured Parties any Loan Documents necessary or appropriate as determined by Administrative Agent in its sole discretion to grant and perfect a Lien on such Collateral in favor of the Administrative Agent on behalf of the Secured Parties.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ind w:firstLine="656"/>
        <w:spacing w:after="0" w:line="255" w:lineRule="auto"/>
        <w:tabs>
          <w:tab w:leader="none" w:pos="12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9" w:lineRule="exact"/>
        <w:rPr>
          <w:sz w:val="20"/>
          <w:szCs w:val="20"/>
          <w:color w:val="auto"/>
        </w:rPr>
      </w:pPr>
    </w:p>
    <w:p>
      <w:pPr>
        <w:jc w:val="both"/>
        <w:ind w:firstLine="8"/>
        <w:spacing w:after="0" w:line="251" w:lineRule="auto"/>
        <w:tabs>
          <w:tab w:leader="none" w:pos="33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jc w:val="both"/>
        <w:ind w:firstLine="656"/>
        <w:spacing w:after="0" w:line="261" w:lineRule="auto"/>
        <w:tabs>
          <w:tab w:leader="none" w:pos="10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2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left="660" w:firstLine="644"/>
        <w:spacing w:after="0" w:line="282" w:lineRule="auto"/>
        <w:tabs>
          <w:tab w:leader="none" w:pos="210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0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76" w:lineRule="exact"/>
        <w:rPr>
          <w:sz w:val="20"/>
          <w:szCs w:val="20"/>
          <w:color w:val="auto"/>
        </w:rPr>
      </w:pPr>
    </w:p>
    <w:p>
      <w:pPr>
        <w:ind w:left="1880" w:hanging="576"/>
        <w:spacing w:after="0"/>
        <w:tabs>
          <w:tab w:leader="none" w:pos="18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Representative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1121 Judson Road Suite 124,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Longview, TX</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Alex LaRue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903 758 2265</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left="1960" w:hanging="656"/>
        <w:spacing w:after="0" w:line="282" w:lineRule="auto"/>
        <w:tabs>
          <w:tab w:leader="none" w:pos="206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JPMCB in its capacity as an Issuing Bank or the Swingline Lender, to JPMorgan Chase Bank, N.A. 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Ross Avenue, 9th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Timothy J. Whitefoot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214 965 4731</w:t>
      </w:r>
    </w:p>
    <w:p>
      <w:pPr>
        <w:spacing w:after="0" w:line="207" w:lineRule="exact"/>
        <w:rPr>
          <w:sz w:val="20"/>
          <w:szCs w:val="20"/>
          <w:color w:val="auto"/>
        </w:rPr>
      </w:pPr>
    </w:p>
    <w:p>
      <w:pPr>
        <w:ind w:left="2020" w:hanging="716"/>
        <w:spacing w:after="0"/>
        <w:tabs>
          <w:tab w:leader="none" w:pos="2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it at its address or facsimile number set forth in its Administrative Questionnaire.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183" w:lineRule="exact"/>
        <w:rPr>
          <w:sz w:val="20"/>
          <w:szCs w:val="20"/>
          <w:color w:val="auto"/>
        </w:rPr>
      </w:pPr>
    </w:p>
    <w:p>
      <w:pPr>
        <w:jc w:val="both"/>
        <w:ind w:firstLine="656"/>
        <w:spacing w:after="0" w:line="252" w:lineRule="auto"/>
        <w:tabs>
          <w:tab w:leader="none" w:pos="134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any Borrower, any Loan Party, the Lenders and the Issuing Banks hereunder may be delivered or furnished by using Electronic Systems or Approved Electronic Platforms, as applicable, or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7" w:lineRule="exact"/>
        <w:rPr>
          <w:rFonts w:ascii="Times New Roman" w:cs="Times New Roman" w:eastAsia="Times New Roman" w:hAnsi="Times New Roman"/>
          <w:sz w:val="18"/>
          <w:szCs w:val="18"/>
          <w:color w:val="auto"/>
        </w:rPr>
      </w:pPr>
    </w:p>
    <w:p>
      <w:pPr>
        <w:ind w:right="20" w:firstLine="656"/>
        <w:spacing w:after="0" w:line="282" w:lineRule="auto"/>
        <w:tabs>
          <w:tab w:leader="none" w:pos="124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8" w:lineRule="exact"/>
        <w:rPr>
          <w:sz w:val="20"/>
          <w:szCs w:val="20"/>
          <w:color w:val="auto"/>
        </w:rPr>
      </w:pPr>
    </w:p>
    <w:p>
      <w:pPr>
        <w:jc w:val="both"/>
        <w:ind w:firstLine="656"/>
        <w:spacing w:after="0" w:line="251" w:lineRule="auto"/>
        <w:tabs>
          <w:tab w:leader="none" w:pos="132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the first sentence of Section 2.09(f) (with respect to any commitment increase) and subject to Section 2.14(c), (d) and (e) and Section 9.02(e) below,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2.09(c) or Section 2.18(b) or (d) in a manner that would alter the ratable reduction of Commitments or the manner in which payments are shared, without the written consent of each Lender (other than any Defaulting Lender), (E) increase the advance rates set forth in the definition of Borrowing Base or add new categories of eligible assets, without the written consent of the Required Revolving Lenders,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(G) release any Loan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or (I) subordinate the Obligations or the Administrative Agent’s Lien to any Indebtedness or other Lien, without the written consent of each Lender or as provided in clause (c)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or (J) change Section 2.20 without the written consent of each Lender (other than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jc w:val="both"/>
        <w:ind w:firstLine="656"/>
        <w:spacing w:after="0" w:line="252" w:lineRule="auto"/>
        <w:tabs>
          <w:tab w:leader="none" w:pos="12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by a Loan Party in compliance with the terms of this Agreement (and the Administrative Agent may rely conclusively on any certificate of such Loan Party certifying that the sale or disposition is made in compliance with the terms of this Agreement,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discretion, release its Liens on Collateral valued in the aggregate not in excess of $1,000,000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Each Secured Party authorizes the Administrative Agent to enter into subordination agreement or intercreditor agreement with respect to any other Lien(s) securing obligations under Commodity Linked Transaction(s) to the extent such other Liens and obligations are permitted under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ind w:firstLine="656"/>
        <w:spacing w:after="0" w:line="282" w:lineRule="auto"/>
        <w:tabs>
          <w:tab w:leader="none" w:pos="136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62"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shall, jointly and severally, pay all (i)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00" w:lineRule="exact"/>
        <w:rPr>
          <w:sz w:val="20"/>
          <w:szCs w:val="20"/>
          <w:color w:val="auto"/>
        </w:rPr>
      </w:pPr>
    </w:p>
    <w:p>
      <w:pPr>
        <w:ind w:left="1960" w:hanging="656"/>
        <w:spacing w:after="0"/>
        <w:tabs>
          <w:tab w:leader="none" w:pos="1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5.12, appraisals and insurance reviews;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5.06, 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6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regarding senior management and/or key investors, as deemed necessary or appropriate in the sole discretion of the Administrative Agent;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3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(1) lien and title searches and title insurance and (2) filing financing statements and continuations, and other actions to perfect, protect, and continue the Administrative Agent’s Liens;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ind w:left="1960" w:hanging="656"/>
        <w:spacing w:after="0"/>
        <w:tabs>
          <w:tab w:leader="none" w:pos="1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take; 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9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foregoing fees, costs and expenses may be charged to the Borrowers as Revolving Loans or to another deposit account, all as described in Section 2.18(c).</w:t>
      </w:r>
    </w:p>
    <w:p>
      <w:pPr>
        <w:spacing w:after="0" w:line="162" w:lineRule="exact"/>
        <w:rPr>
          <w:sz w:val="20"/>
          <w:szCs w:val="20"/>
          <w:color w:val="auto"/>
        </w:rPr>
      </w:pPr>
    </w:p>
    <w:p>
      <w:pPr>
        <w:jc w:val="both"/>
        <w:ind w:firstLine="656"/>
        <w:spacing w:after="0" w:line="253" w:lineRule="auto"/>
        <w:tabs>
          <w:tab w:leader="none" w:pos="139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neither any Borrower nor any Loan Party shall assert, and each Borrower and each Loan Party hereby waives, any claim against the Administrative Agent, any Arranger,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any Borrower or any Loan Party of any obligation it may have to indemnify an Indemnitee, as provided in Section 9.03(c), against any special, indirect, consequential or punitive damages asserted against such Indemnitee by a third party.</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Loan Parties shall, jointly and severally, indemnify the Administrative Agent, each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Liabilities and related expenses, including the fees, charges and disbursements of any counsel for any Indemnitee (but excluding Taxes, which shall be governed exclusively by Section 2.17, and Excluded Taxes),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or (iv)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WITHOUT LIMITATION OF THE FOREGOING, IT IS THE INTENTION OF EACH LOAN PARTY AND EACH LOAN PARTY AGREES THAT THE FOREGOING INDEMNITIES SHALL APPLY TO EACH INDEMNITEE WITH RESPECT TO LOSSES, CLAIMS, DAMAGES, PENALTIES, LIABILITIES AND RELATED EXPENSES (INCLUDING, WITHOUT LIMITATION, ALL EXPENSES OF LITIGATION OR PREPARATION THEREFOR), WHICH IN WHOLE OR IN PART ARE CAUSED BY OR ARISE OUT OF THE NEGLIGENCE OF SUCH (AND/OR ANY OTHER) INDEMNITEE. This Section 9.03(c) shall not apply with respect to Taxes other than any Taxes that represent losses or damages arising from any non-Tax claim.</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both"/>
        <w:ind w:firstLine="656"/>
        <w:spacing w:after="0" w:line="218" w:lineRule="exact"/>
        <w:tabs>
          <w:tab w:leader="none" w:pos="128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any Loan Party under paragraphs (a), (b) or (c) of this Section 9.03 to the Administrative Agent, each Issuing Bank and the Swingline Lender,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liable for the payment of any portion of such Liabilities, costs, expenses or disbursements that are found by a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 decision of a court of competent jurisdiction to have resulted primarily from such Agent-Related Person’s gross negligence or willful misconduct. The agreements in this Section shall</w:t>
      </w:r>
    </w:p>
    <w:tbl>
      <w:tblPr>
        <w:tblLayout w:type="fixed"/>
        <w:tblInd w:w="0" w:type="dxa"/>
        <w:tblCellMar>
          <w:top w:w="0" w:type="dxa"/>
          <w:left w:w="0" w:type="dxa"/>
          <w:bottom w:w="0" w:type="dxa"/>
          <w:right w:w="0" w:type="dxa"/>
        </w:tblCellMar>
      </w:tblPr>
      <w:tr>
        <w:trPr>
          <w:trHeight w:val="177"/>
        </w:trPr>
        <w:tc>
          <w:tcPr>
            <w:tcW w:w="7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survive the termination of this Agreement and the Payment in Full of the Secured Obligations.</w:t>
            </w:r>
          </w:p>
        </w:tc>
        <w:tc>
          <w:tcPr>
            <w:tcW w:w="6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35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Payments. All amounts due under this Section</w:t>
            </w:r>
          </w:p>
        </w:tc>
      </w:tr>
      <w:tr>
        <w:trPr>
          <w:trHeight w:val="23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9.03 shall be payable promptly after written demand therefor.</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66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6" w:lineRule="exact"/>
        <w:rPr>
          <w:sz w:val="20"/>
          <w:szCs w:val="20"/>
          <w:color w:val="auto"/>
        </w:rPr>
      </w:pPr>
    </w:p>
    <w:p>
      <w:pPr>
        <w:jc w:val="both"/>
        <w:ind w:left="1300" w:firstLine="742"/>
        <w:spacing w:after="0" w:line="258" w:lineRule="auto"/>
        <w:tabs>
          <w:tab w:leader="none" w:pos="279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of all or a portion of the Revolving Loans and Commitments unless it shall object thereto by written notice to the Administrative Agent within five (5)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ind w:left="2680" w:hanging="638"/>
        <w:spacing w:after="0"/>
        <w:tabs>
          <w:tab w:leader="none" w:pos="2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25" w:lineRule="exact"/>
        <w:rPr>
          <w:rFonts w:ascii="Times New Roman" w:cs="Times New Roman" w:eastAsia="Times New Roman" w:hAnsi="Times New Roman"/>
          <w:sz w:val="18"/>
          <w:szCs w:val="18"/>
          <w:color w:val="auto"/>
        </w:rPr>
      </w:pPr>
    </w:p>
    <w:p>
      <w:pPr>
        <w:ind w:left="2680" w:hanging="638"/>
        <w:spacing w:after="0"/>
        <w:tabs>
          <w:tab w:leader="none" w:pos="2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1300" w:firstLine="742"/>
        <w:spacing w:after="0" w:line="256" w:lineRule="auto"/>
        <w:tabs>
          <w:tab w:leader="none" w:pos="273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(such consent not to be unreasonably withheld or delayed)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an Event of Default has occurred and is continuing;</w:t>
      </w:r>
    </w:p>
    <w:p>
      <w:pPr>
        <w:spacing w:after="0" w:line="187" w:lineRule="exact"/>
        <w:rPr>
          <w:rFonts w:ascii="Times New Roman" w:cs="Times New Roman" w:eastAsia="Times New Roman" w:hAnsi="Times New Roman"/>
          <w:sz w:val="18"/>
          <w:szCs w:val="18"/>
          <w:color w:val="auto"/>
        </w:rPr>
      </w:pPr>
    </w:p>
    <w:p>
      <w:pPr>
        <w:ind w:left="1300" w:firstLine="742"/>
        <w:spacing w:after="0" w:line="282" w:lineRule="auto"/>
        <w:tabs>
          <w:tab w:leader="none" w:pos="270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jc w:val="both"/>
        <w:ind w:left="1300" w:firstLine="742"/>
        <w:spacing w:after="0" w:line="261" w:lineRule="auto"/>
        <w:tabs>
          <w:tab w:leader="none" w:pos="297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9" w:lineRule="exact"/>
        <w:rPr>
          <w:rFonts w:ascii="Times New Roman" w:cs="Times New Roman" w:eastAsia="Times New Roman" w:hAnsi="Times New Roman"/>
          <w:sz w:val="18"/>
          <w:szCs w:val="18"/>
          <w:color w:val="auto"/>
        </w:rPr>
      </w:pPr>
    </w:p>
    <w:p>
      <w:pPr>
        <w:jc w:val="both"/>
        <w:ind w:left="1300" w:firstLine="742"/>
        <w:spacing w:after="0" w:line="258" w:lineRule="auto"/>
        <w:tabs>
          <w:tab w:leader="none" w:pos="274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a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left="660" w:firstLine="1292"/>
        <w:spacing w:after="0" w:line="254" w:lineRule="auto"/>
        <w:tabs>
          <w:tab w:leader="none" w:pos="26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58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both"/>
        <w:ind w:firstLine="656"/>
        <w:spacing w:after="0" w:line="252" w:lineRule="auto"/>
        <w:tabs>
          <w:tab w:leader="none" w:pos="12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or notice to, the Borrowers, the Administrative Agent, the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 Loan Party or a Subsidiary or other Affiliate of a Loan Party in all or a portion of such Lender’s rights and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2.18(b)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656"/>
        <w:spacing w:after="0" w:line="261" w:lineRule="auto"/>
        <w:tabs>
          <w:tab w:leader="none" w:pos="14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w:t>
      </w:r>
    </w:p>
    <w:p>
      <w:pPr>
        <w:spacing w:after="0" w:line="1" w:lineRule="exact"/>
        <w:rPr>
          <w:sz w:val="20"/>
          <w:szCs w:val="20"/>
          <w:color w:val="auto"/>
        </w:rPr>
      </w:pPr>
    </w:p>
    <w:p>
      <w:pPr>
        <w:jc w:val="both"/>
        <w:ind w:firstLine="8"/>
        <w:spacing w:after="0" w:line="253" w:lineRule="auto"/>
        <w:tabs>
          <w:tab w:leader="none" w:pos="27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6" w:lineRule="exact"/>
        <w:rPr>
          <w:rFonts w:ascii="Times New Roman" w:cs="Times New Roman" w:eastAsia="Times New Roman" w:hAnsi="Times New Roman"/>
          <w:sz w:val="18"/>
          <w:szCs w:val="18"/>
          <w:color w:val="auto"/>
        </w:rPr>
      </w:pPr>
    </w:p>
    <w:p>
      <w:pPr>
        <w:jc w:val="both"/>
        <w:ind w:firstLine="656"/>
        <w:spacing w:after="0" w:line="251" w:lineRule="auto"/>
        <w:tabs>
          <w:tab w:leader="none" w:pos="134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xml:space="preserve"> (a)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76" w:lineRule="exact"/>
        <w:rPr>
          <w:sz w:val="20"/>
          <w:szCs w:val="20"/>
          <w:color w:val="auto"/>
        </w:rPr>
      </w:pPr>
    </w:p>
    <w:p>
      <w:pPr>
        <w:jc w:val="both"/>
        <w:ind w:firstLine="656"/>
        <w:spacing w:after="0" w:line="261" w:lineRule="auto"/>
        <w:tabs>
          <w:tab w:leader="none" w:pos="13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ind w:firstLine="656"/>
        <w:spacing w:after="0" w:line="254" w:lineRule="auto"/>
        <w:tabs>
          <w:tab w:leader="none" w:pos="135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20" w:lineRule="exact"/>
        <w:tabs>
          <w:tab w:leader="none" w:pos="133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00" w:lineRule="exact"/>
        <w:rPr>
          <w:rFonts w:ascii="Times New Roman" w:cs="Times New Roman" w:eastAsia="Times New Roman" w:hAnsi="Times New Roman"/>
          <w:sz w:val="18"/>
          <w:szCs w:val="18"/>
          <w:color w:val="auto"/>
        </w:rPr>
      </w:pPr>
    </w:p>
    <w:p>
      <w:pPr>
        <w:ind w:firstLine="656"/>
        <w:spacing w:after="0" w:line="282" w:lineRule="auto"/>
        <w:tabs>
          <w:tab w:leader="none" w:pos="134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to the extent such Information (i) becomes publicly available other than as a result of a breach of this Section or (ii) becomes available to the Administrative Agent, the Issuing Bank or any Lender on a non-confidential basis from a source other than the Borrowers, or (i)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73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Notwithstanding anything herein to the contrary, if at any time the interest rate applicable to any Loan, together with all fees, charges and other amounts which are treated as interest on such Loan under appli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Marketing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Borrowers hereby authorize JPMCB and its affiliates (collectively, the “</w:t>
      </w:r>
      <w:r>
        <w:rPr>
          <w:rFonts w:ascii="Times New Roman" w:cs="Times New Roman" w:eastAsia="Times New Roman" w:hAnsi="Times New Roman"/>
          <w:sz w:val="18"/>
          <w:szCs w:val="18"/>
          <w:u w:val="single" w:color="auto"/>
          <w:color w:val="auto"/>
        </w:rPr>
        <w:t>JPMCB Parties</w:t>
      </w:r>
      <w:r>
        <w:rPr>
          <w:rFonts w:ascii="Times New Roman" w:cs="Times New Roman" w:eastAsia="Times New Roman" w:hAnsi="Times New Roman"/>
          <w:sz w:val="18"/>
          <w:szCs w:val="18"/>
          <w:color w:val="auto"/>
        </w:rPr>
        <w:t>”), at their respective sole expense, and without any prior approval by the Borrowers, to include any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Representative notifies JPMCB in writing that such authorization is revoked.</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xml:space="preserve">. Notwithstanding anything to the contrary in any Loan Document or in any other agreement, arrangement or understanding among any such parties, each party hereto acknowledges that any liability of any </w:t>
      </w:r>
      <w:r>
        <w:rPr>
          <w:rFonts w:ascii="Times New Roman" w:cs="Times New Roman" w:eastAsia="Times New Roman" w:hAnsi="Times New Roman"/>
          <w:sz w:val="18"/>
          <w:szCs w:val="18"/>
          <w:u w:val="single" w:color="auto"/>
          <w:color w:val="auto"/>
        </w:rPr>
        <w:t>Affected</w:t>
      </w:r>
      <w:r>
        <w:rPr>
          <w:rFonts w:ascii="Times New Roman" w:cs="Times New Roman" w:eastAsia="Times New Roman" w:hAnsi="Times New Roman"/>
          <w:sz w:val="18"/>
          <w:szCs w:val="18"/>
          <w:color w:val="auto"/>
        </w:rPr>
        <w:t xml:space="preserve">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656"/>
        <w:spacing w:after="0" w:line="282" w:lineRule="auto"/>
        <w:tabs>
          <w:tab w:leader="none" w:pos="151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208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88" w:lineRule="exact"/>
        <w:rPr>
          <w:sz w:val="20"/>
          <w:szCs w:val="20"/>
          <w:color w:val="auto"/>
        </w:rPr>
      </w:pPr>
    </w:p>
    <w:p>
      <w:pPr>
        <w:jc w:val="both"/>
        <w:ind w:firstLine="656"/>
        <w:spacing w:after="0" w:line="255" w:lineRule="auto"/>
        <w:tabs>
          <w:tab w:leader="none" w:pos="129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jc w:val="both"/>
        <w:ind w:firstLine="656"/>
        <w:spacing w:after="0" w:line="255" w:lineRule="auto"/>
        <w:tabs>
          <w:tab w:leader="none" w:pos="13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Each Borrower hereby unconditionally and irrevocably agrees it is jointly and severally liable to the Administrative Agent, the Issuing Banks and the Lenders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Loan Documents unless and until the Administrative Agent, each Issuing Bank and each Lender have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the Administrative Agent or the Lenders under applicable law to pursue or exhaust remedies against any Collateral or other Loan Party before pursuing such Borrower or its property. Each Borrower consents and agrees that neither the Administrative Agent nor any Lender shall be under any obligation to marshal any assets in favor of any Loan Party or against or in payment of any or all of the Secured Obligations.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Renewal, Extension or Rearrangement</w:t>
      </w:r>
      <w:r>
        <w:rPr>
          <w:rFonts w:ascii="Times New Roman" w:cs="Times New Roman" w:eastAsia="Times New Roman" w:hAnsi="Times New Roman"/>
          <w:sz w:val="18"/>
          <w:szCs w:val="18"/>
          <w:color w:val="auto"/>
        </w:rPr>
        <w:t>. This Agreement amends and restates in its entirety the Existing Credit Agreement. This Agreement and the other Loan Documents govern the present relationship among the Loan Parties, Administrative Agent, the Lenders and the other Persons a signatory hereto. This Agreement, however, is in no way intended, nor shall it be construed, to affect, replace, impair or extinguish the creation, attachment, perfection or priority of the security interests in, and other Liens on, the Collateral, which security interests and other Liens each of the Loan Parties, by this Agreement, acknowledges, reaffirms and confirms to Administrative Agent and the Lenders. The Loan Parties agree that any outstanding commitment under the Existing Credit Agreement to make advances or otherwise extend credit or credit support to any Loan Party and each other obligation under the Existing Credit Agreement of any Person (other than a Loan Party) which is a party to the Existing Credit Agreement are hereby terminated.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92" w:lineRule="exact"/>
        <w:rPr>
          <w:sz w:val="20"/>
          <w:szCs w:val="20"/>
          <w:color w:val="auto"/>
        </w:rPr>
      </w:pPr>
    </w:p>
    <w:p>
      <w:pPr>
        <w:jc w:val="both"/>
        <w:ind w:firstLine="656"/>
        <w:spacing w:after="0" w:line="266" w:lineRule="auto"/>
        <w:tabs>
          <w:tab w:leader="none" w:pos="141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5" w:name="page166"/>
    <w:bookmarkEnd w:id="16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6" w:name="page167"/>
    <w:bookmarkEnd w:id="1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05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ind w:firstLine="656"/>
        <w:spacing w:after="0" w:line="282" w:lineRule="auto"/>
        <w:tabs>
          <w:tab w:leader="none" w:pos="11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indemnifying Loan Guarantors against other Loan Guarantors under this Section 10.11 shall be exercisable upon the Payment in Full of the Guaranteed Obligations and the termination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Borrower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Appointment; Nature of Relationship</w:t>
      </w:r>
      <w:r>
        <w:rPr>
          <w:rFonts w:ascii="Times New Roman" w:cs="Times New Roman" w:eastAsia="Times New Roman" w:hAnsi="Times New Roman"/>
          <w:sz w:val="18"/>
          <w:szCs w:val="18"/>
          <w:color w:val="auto"/>
        </w:rPr>
        <w:t>. Friedman Industries, Incorporated is hereby appointed by each of the Borrowers as its contractual representative (herein referred to as the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Successor Borrower Representative</w:t>
      </w:r>
      <w:r>
        <w:rPr>
          <w:rFonts w:ascii="Times New Roman" w:cs="Times New Roman" w:eastAsia="Times New Roman" w:hAnsi="Times New Roman"/>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rPr>
          <w:sz w:val="20"/>
          <w:szCs w:val="20"/>
          <w:color w:val="auto"/>
        </w:rPr>
      </w:pPr>
      <w:r>
        <w:rPr>
          <w:rFonts w:ascii="Times New Roman" w:cs="Times New Roman" w:eastAsia="Times New Roman" w:hAnsi="Times New Roman"/>
          <w:sz w:val="14"/>
          <w:szCs w:val="14"/>
          <w:color w:val="auto"/>
        </w:rPr>
        <w:t>#83413524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authorized officers as of the day and year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Texas corporation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0" w:name="page171"/>
    <w:bookmarkEnd w:id="170"/>
    <w:p>
      <w:pPr>
        <w:ind w:left="4520"/>
        <w:spacing w:after="0"/>
        <w:rPr>
          <w:sz w:val="20"/>
          <w:szCs w:val="20"/>
          <w:color w:val="auto"/>
        </w:rPr>
      </w:pPr>
      <w:r>
        <w:rPr>
          <w:rFonts w:ascii="Times New Roman" w:cs="Times New Roman" w:eastAsia="Times New Roman" w:hAnsi="Times New Roman"/>
          <w:sz w:val="18"/>
          <w:szCs w:val="18"/>
          <w:color w:val="auto"/>
        </w:rPr>
        <w:t>JPMORGAN CHASE BANK, N.A., individually and 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Timothy Whitefoot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Timothy Whitefoot</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0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449"/>
        </w:trPr>
        <w:tc>
          <w:tcPr>
            <w:tcW w:w="38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218"/>
        </w:trPr>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Revolving Commitment</w:t>
            </w:r>
          </w:p>
        </w:tc>
      </w:tr>
      <w:tr>
        <w:trPr>
          <w:trHeight w:val="207"/>
        </w:trPr>
        <w:tc>
          <w:tcPr>
            <w:tcW w:w="38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r>
      <w:tr>
        <w:trPr>
          <w:trHeight w:val="152"/>
        </w:trPr>
        <w:tc>
          <w:tcPr>
            <w:tcW w:w="3860" w:type="dxa"/>
            <w:vAlign w:val="bottom"/>
          </w:tcPr>
          <w:p>
            <w:pPr>
              <w:ind w:left="180"/>
              <w:spacing w:after="0" w:line="152" w:lineRule="exact"/>
              <w:rPr>
                <w:sz w:val="20"/>
                <w:szCs w:val="20"/>
                <w:color w:val="auto"/>
              </w:rPr>
            </w:pPr>
            <w:r>
              <w:rPr>
                <w:rFonts w:ascii="Times New Roman" w:cs="Times New Roman" w:eastAsia="Times New Roman" w:hAnsi="Times New Roman"/>
                <w:sz w:val="17"/>
                <w:szCs w:val="17"/>
                <w:color w:val="auto"/>
              </w:rPr>
              <w:t>JPMorgan Chase Bank, N.A.</w:t>
            </w:r>
          </w:p>
        </w:tc>
        <w:tc>
          <w:tcPr>
            <w:tcW w:w="2360" w:type="dxa"/>
            <w:vAlign w:val="bottom"/>
          </w:tcPr>
          <w:p>
            <w:pPr>
              <w:spacing w:after="0"/>
              <w:rPr>
                <w:sz w:val="13"/>
                <w:szCs w:val="13"/>
                <w:color w:val="auto"/>
              </w:rPr>
            </w:pPr>
          </w:p>
        </w:tc>
        <w:tc>
          <w:tcPr>
            <w:tcW w:w="240" w:type="dxa"/>
            <w:vAlign w:val="bottom"/>
          </w:tcPr>
          <w:p>
            <w:pPr>
              <w:jc w:val="right"/>
              <w:spacing w:after="0" w:line="152"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line="152" w:lineRule="exact"/>
              <w:rPr>
                <w:sz w:val="20"/>
                <w:szCs w:val="20"/>
                <w:color w:val="auto"/>
              </w:rPr>
            </w:pPr>
            <w:r>
              <w:rPr>
                <w:rFonts w:ascii="Times New Roman" w:cs="Times New Roman" w:eastAsia="Times New Roman" w:hAnsi="Times New Roman"/>
                <w:sz w:val="17"/>
                <w:szCs w:val="17"/>
                <w:b w:val="1"/>
                <w:bCs w:val="1"/>
                <w:color w:val="FF0000"/>
                <w:strike w:val="1"/>
              </w:rPr>
              <w:t>75,000,000</w:t>
            </w:r>
          </w:p>
        </w:tc>
        <w:tc>
          <w:tcPr>
            <w:tcW w:w="3640" w:type="dxa"/>
            <w:vAlign w:val="bottom"/>
            <w:gridSpan w:val="2"/>
          </w:tcPr>
          <w:p>
            <w:pPr>
              <w:jc w:val="right"/>
              <w:ind w:right="2820"/>
              <w:spacing w:after="0" w:line="152" w:lineRule="exact"/>
              <w:rPr>
                <w:sz w:val="20"/>
                <w:szCs w:val="20"/>
                <w:color w:val="auto"/>
              </w:rPr>
            </w:pPr>
            <w:r>
              <w:rPr>
                <w:rFonts w:ascii="Times New Roman" w:cs="Times New Roman" w:eastAsia="Times New Roman" w:hAnsi="Times New Roman"/>
                <w:sz w:val="17"/>
                <w:szCs w:val="17"/>
                <w:b w:val="1"/>
                <w:bCs w:val="1"/>
                <w:color w:val="0000FF"/>
              </w:rPr>
              <w:t>84,000,000</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170"/>
        </w:trPr>
        <w:tc>
          <w:tcPr>
            <w:tcW w:w="386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Wells Fargo Bank, National Association</w:t>
            </w:r>
          </w:p>
        </w:tc>
        <w:tc>
          <w:tcPr>
            <w:tcW w:w="26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FF0000"/>
                <w:strike w:val="1"/>
                <w:w w:val="96"/>
              </w:rPr>
              <w:t>50,000,000</w:t>
            </w:r>
          </w:p>
        </w:tc>
        <w:tc>
          <w:tcPr>
            <w:tcW w:w="3640" w:type="dxa"/>
            <w:vAlign w:val="bottom"/>
            <w:gridSpan w:val="2"/>
          </w:tcPr>
          <w:p>
            <w:pPr>
              <w:jc w:val="right"/>
              <w:ind w:right="2820"/>
              <w:spacing w:after="0" w:line="170" w:lineRule="exact"/>
              <w:rPr>
                <w:sz w:val="20"/>
                <w:szCs w:val="20"/>
                <w:color w:val="auto"/>
              </w:rPr>
            </w:pPr>
            <w:r>
              <w:rPr>
                <w:rFonts w:ascii="Times New Roman" w:cs="Times New Roman" w:eastAsia="Times New Roman" w:hAnsi="Times New Roman"/>
                <w:sz w:val="18"/>
                <w:szCs w:val="18"/>
                <w:b w:val="1"/>
                <w:bCs w:val="1"/>
                <w:color w:val="0000FF"/>
                <w:w w:val="98"/>
              </w:rPr>
              <w:t>56,000,000</w:t>
            </w:r>
          </w:p>
        </w:tc>
      </w:tr>
      <w:tr>
        <w:trPr>
          <w:trHeight w:val="20"/>
        </w:trPr>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17690" cy="17487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69176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900" w:type="dxa"/>
        <w:tblCellMar>
          <w:top w:w="0" w:type="dxa"/>
          <w:left w:w="0" w:type="dxa"/>
          <w:bottom w:w="0" w:type="dxa"/>
          <w:right w:w="0" w:type="dxa"/>
        </w:tblCellMar>
      </w:tblPr>
      <w:tr>
        <w:trPr>
          <w:trHeight w:val="33"/>
        </w:trPr>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7"/>
              </w:rPr>
              <w:t>125,000,000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97"/>
              </w:rPr>
              <w:t>140,000,000</w:t>
            </w:r>
          </w:p>
        </w:tc>
        <w:tc>
          <w:tcPr>
            <w:tcW w:w="0" w:type="dxa"/>
            <w:vAlign w:val="bottom"/>
          </w:tcPr>
          <w:p>
            <w:pPr>
              <w:spacing w:after="0" w:line="20" w:lineRule="exact"/>
              <w:rPr>
                <w:sz w:val="1"/>
                <w:szCs w:val="1"/>
                <w:color w:val="auto"/>
              </w:rPr>
            </w:pPr>
          </w:p>
        </w:tc>
      </w:tr>
      <w:tr>
        <w:trPr>
          <w:trHeight w:val="179"/>
        </w:trPr>
        <w:tc>
          <w:tcPr>
            <w:tcW w:w="19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222885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00" w:top="580" w:right="49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0" w:lineRule="exact"/>
        <w:rPr>
          <w:sz w:val="20"/>
          <w:szCs w:val="20"/>
          <w:color w:val="auto"/>
        </w:rPr>
      </w:pPr>
    </w:p>
    <w:p>
      <w:pPr>
        <w:spacing w:after="0" w:line="24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w:t>
      </w:r>
    </w:p>
    <w:p>
      <w:pPr>
        <w:spacing w:after="0" w:line="5" w:lineRule="exact"/>
        <w:rPr>
          <w:sz w:val="20"/>
          <w:szCs w:val="20"/>
          <w:color w:val="auto"/>
        </w:rPr>
      </w:pPr>
    </w:p>
    <w:p>
      <w:pPr>
        <w:ind w:firstLine="8"/>
        <w:spacing w:after="0" w:line="260" w:lineRule="auto"/>
        <w:tabs>
          <w:tab w:leader="none" w:pos="21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Assignor:</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1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Assignee:</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00"/>
        </w:trPr>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r>
      <w:tr>
        <w:trPr>
          <w:trHeight w:val="269"/>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3.</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Borrowers:</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43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4.</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414"/>
        </w:trPr>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Amended and Restated Credit Agreement dated as of May 19, 2021 among Friedman Industries, Incorporated and</w:t>
            </w:r>
          </w:p>
        </w:tc>
      </w:tr>
      <w:tr>
        <w:trPr>
          <w:trHeight w:val="216"/>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Agreement: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each other Person party thereto from time to time as a borrower, the other Loan Parties party thereto, the Lenders</w:t>
            </w:r>
          </w:p>
        </w:tc>
      </w:tr>
      <w:tr>
        <w:trPr>
          <w:trHeight w:val="234"/>
        </w:trPr>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parties thereto, JPMorgan Chase Bank, N.A., as Administrative Agent, and the other agents parties thereto</w:t>
            </w:r>
          </w:p>
        </w:tc>
      </w:tr>
    </w:tbl>
    <w:p>
      <w:pPr>
        <w:spacing w:after="0" w:line="198"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12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20" w:hanging="112"/>
        <w:spacing w:after="0"/>
        <w:tabs>
          <w:tab w:leader="none" w:pos="120" w:val="left"/>
        </w:tabs>
        <w:numPr>
          <w:ilvl w:val="0"/>
          <w:numId w:val="187"/>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Select as applicable</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14"/>
        </w:trPr>
        <w:tc>
          <w:tcPr>
            <w:tcW w:w="2840" w:type="dxa"/>
            <w:vAlign w:val="bottom"/>
            <w:tcBorders>
              <w:top w:val="single" w:sz="8" w:color="auto"/>
              <w:left w:val="single" w:sz="8" w:color="auto"/>
              <w:right w:val="single" w:sz="8" w:color="auto"/>
            </w:tcBorders>
          </w:tcPr>
          <w:p>
            <w:pPr>
              <w:ind w:left="760"/>
              <w:spacing w:after="0" w:line="214" w:lineRule="exact"/>
              <w:rPr>
                <w:sz w:val="20"/>
                <w:szCs w:val="20"/>
                <w:color w:val="auto"/>
              </w:rPr>
            </w:pPr>
            <w:r>
              <w:rPr>
                <w:rFonts w:ascii="Times New Roman" w:cs="Times New Roman" w:eastAsia="Times New Roman" w:hAnsi="Times New Roman"/>
                <w:sz w:val="15"/>
                <w:szCs w:val="15"/>
                <w:color w:val="auto"/>
              </w:rPr>
              <w:t>Facility Assigned</w:t>
            </w:r>
            <w:r>
              <w:rPr>
                <w:rFonts w:ascii="Times New Roman" w:cs="Times New Roman" w:eastAsia="Times New Roman" w:hAnsi="Times New Roman"/>
                <w:sz w:val="24"/>
                <w:szCs w:val="24"/>
                <w:color w:val="auto"/>
                <w:vertAlign w:val="superscript"/>
              </w:rPr>
              <w:t>2</w:t>
            </w:r>
          </w:p>
        </w:tc>
        <w:tc>
          <w:tcPr>
            <w:tcW w:w="420" w:type="dxa"/>
            <w:vAlign w:val="bottom"/>
            <w:tcBorders>
              <w:top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Aggregate Amount of</w:t>
            </w:r>
          </w:p>
        </w:tc>
        <w:tc>
          <w:tcPr>
            <w:tcW w:w="480" w:type="dxa"/>
            <w:vAlign w:val="bottom"/>
            <w:tcBorders>
              <w:top w:val="single" w:sz="8" w:color="auto"/>
            </w:tcBorders>
          </w:tcPr>
          <w:p>
            <w:pPr>
              <w:spacing w:after="0"/>
              <w:rPr>
                <w:sz w:val="18"/>
                <w:szCs w:val="18"/>
                <w:color w:val="auto"/>
              </w:rPr>
            </w:pPr>
          </w:p>
        </w:tc>
        <w:tc>
          <w:tcPr>
            <w:tcW w:w="2400" w:type="dxa"/>
            <w:vAlign w:val="bottom"/>
            <w:tcBorders>
              <w:top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Amount of</w:t>
            </w:r>
          </w:p>
        </w:tc>
        <w:tc>
          <w:tcPr>
            <w:tcW w:w="2640" w:type="dxa"/>
            <w:vAlign w:val="bottom"/>
            <w:tcBorders>
              <w:top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Percentage Assigned of</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Commitment/Loans for</w:t>
            </w:r>
          </w:p>
        </w:tc>
        <w:tc>
          <w:tcPr>
            <w:tcW w:w="480" w:type="dxa"/>
            <w:vAlign w:val="bottom"/>
          </w:tcPr>
          <w:p>
            <w:pPr>
              <w:spacing w:after="0"/>
              <w:rPr>
                <w:sz w:val="18"/>
                <w:szCs w:val="18"/>
                <w:color w:val="auto"/>
              </w:rPr>
            </w:pPr>
          </w:p>
        </w:tc>
        <w:tc>
          <w:tcPr>
            <w:tcW w:w="240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Commitment/Loans</w:t>
            </w:r>
          </w:p>
        </w:tc>
        <w:tc>
          <w:tcPr>
            <w:tcW w:w="2640" w:type="dxa"/>
            <w:vAlign w:val="bottom"/>
            <w:tcBorders>
              <w:right w:val="single" w:sz="8" w:color="auto"/>
            </w:tcBorders>
          </w:tcPr>
          <w:p>
            <w:pPr>
              <w:jc w:val="right"/>
              <w:ind w:right="492"/>
              <w:spacing w:after="0" w:line="216" w:lineRule="exact"/>
              <w:rPr>
                <w:sz w:val="20"/>
                <w:szCs w:val="20"/>
                <w:color w:val="auto"/>
              </w:rPr>
            </w:pPr>
            <w:r>
              <w:rPr>
                <w:rFonts w:ascii="Times New Roman" w:cs="Times New Roman" w:eastAsia="Times New Roman" w:hAnsi="Times New Roman"/>
                <w:sz w:val="16"/>
                <w:szCs w:val="16"/>
                <w:color w:val="auto"/>
              </w:rPr>
              <w:t>Commitment/Loans</w:t>
            </w:r>
            <w:r>
              <w:rPr>
                <w:rFonts w:ascii="Times New Roman" w:cs="Times New Roman" w:eastAsia="Times New Roman" w:hAnsi="Times New Roman"/>
                <w:sz w:val="25"/>
                <w:szCs w:val="25"/>
                <w:color w:val="auto"/>
                <w:vertAlign w:val="superscript"/>
              </w:rPr>
              <w:t>3</w:t>
            </w:r>
          </w:p>
        </w:tc>
      </w:tr>
      <w:tr>
        <w:trPr>
          <w:trHeight w:val="251"/>
        </w:trPr>
        <w:tc>
          <w:tcPr>
            <w:tcW w:w="2840" w:type="dxa"/>
            <w:vAlign w:val="bottom"/>
            <w:tcBorders>
              <w:left w:val="single" w:sz="8" w:color="auto"/>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all Lenders</w:t>
            </w:r>
          </w:p>
        </w:tc>
        <w:tc>
          <w:tcPr>
            <w:tcW w:w="4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Assigned</w:t>
            </w:r>
          </w:p>
        </w:tc>
        <w:tc>
          <w:tcPr>
            <w:tcW w:w="2640" w:type="dxa"/>
            <w:vAlign w:val="bottom"/>
            <w:tcBorders>
              <w:bottom w:val="single" w:sz="8" w:color="auto"/>
              <w:right w:val="single" w:sz="8" w:color="auto"/>
            </w:tcBorders>
          </w:tcPr>
          <w:p>
            <w:pPr>
              <w:spacing w:after="0"/>
              <w:rPr>
                <w:sz w:val="21"/>
                <w:szCs w:val="21"/>
                <w:color w:val="auto"/>
              </w:rPr>
            </w:pPr>
          </w:p>
        </w:tc>
      </w:tr>
      <w:tr>
        <w:trPr>
          <w:trHeight w:val="193"/>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jc w:val="right"/>
              <w:ind w:right="7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jc w:val="right"/>
              <w:ind w:right="1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jc w:val="right"/>
              <w:ind w:right="292"/>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2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firstLine="8"/>
        <w:spacing w:after="0" w:line="196" w:lineRule="auto"/>
        <w:tabs>
          <w:tab w:leader="none" w:pos="120" w:val="left"/>
        </w:tabs>
        <w:numPr>
          <w:ilvl w:val="0"/>
          <w:numId w:val="188"/>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Fill in the appropriate terminology for the types of facilities under the Credit Agreement that are being assigned under this Assignment (e.g.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etc.)</w:t>
      </w:r>
    </w:p>
    <w:p>
      <w:pPr>
        <w:spacing w:after="0" w:line="1" w:lineRule="exact"/>
        <w:rPr>
          <w:rFonts w:ascii="Times New Roman" w:cs="Times New Roman" w:eastAsia="Times New Roman" w:hAnsi="Times New Roman"/>
          <w:sz w:val="30"/>
          <w:szCs w:val="30"/>
          <w:i w:val="1"/>
          <w:iCs w:val="1"/>
          <w:color w:val="auto"/>
          <w:vertAlign w:val="superscript"/>
        </w:rPr>
      </w:pPr>
    </w:p>
    <w:p>
      <w:pPr>
        <w:spacing w:after="0"/>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 xml:space="preserve"> Set forth, to at least 9 decimals, as a percentage of the Commitment/Loans of all Lenders thereunder.</w:t>
      </w:r>
    </w:p>
    <w:p>
      <w:pPr>
        <w:spacing w:after="0" w:line="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Accepted: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RELEVANT PARTY]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12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8"/>
        <w:spacing w:after="0" w:line="196" w:lineRule="auto"/>
        <w:tabs>
          <w:tab w:leader="none" w:pos="120" w:val="left"/>
        </w:tabs>
        <w:numPr>
          <w:ilvl w:val="0"/>
          <w:numId w:val="18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To be added only if the consent of the Administrative Agent, Issuing Bank and/or Swingline Lender, as applicable, is required by the terms of the Credit Agreement.</w:t>
      </w:r>
    </w:p>
    <w:p>
      <w:pPr>
        <w:spacing w:after="0" w:line="1" w:lineRule="exact"/>
        <w:rPr>
          <w:rFonts w:ascii="Times New Roman" w:cs="Times New Roman" w:eastAsia="Times New Roman" w:hAnsi="Times New Roman"/>
          <w:sz w:val="30"/>
          <w:szCs w:val="30"/>
          <w:i w:val="1"/>
          <w:iCs w:val="1"/>
          <w:color w:val="auto"/>
          <w:vertAlign w:val="superscript"/>
        </w:rPr>
      </w:pPr>
    </w:p>
    <w:p>
      <w:pPr>
        <w:ind w:right="460"/>
        <w:spacing w:after="0" w:line="191"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5</w:t>
      </w:r>
      <w:r>
        <w:rPr>
          <w:rFonts w:ascii="Times New Roman" w:cs="Times New Roman" w:eastAsia="Times New Roman" w:hAnsi="Times New Roman"/>
          <w:sz w:val="18"/>
          <w:szCs w:val="18"/>
          <w:i w:val="1"/>
          <w:iCs w:val="1"/>
          <w:color w:val="auto"/>
        </w:rPr>
        <w:t xml:space="preserve"> To be added only if the consent of the Borrowers and/or other parties (e.g. Swingline Lender, Issuing Bank) is required by the terms of the Credit Agreement.</w:t>
      </w:r>
    </w:p>
    <w:p>
      <w:pPr>
        <w:spacing w:after="0" w:line="20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ANNEX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480" w:hanging="176"/>
        <w:spacing w:after="0"/>
        <w:tabs>
          <w:tab w:leader="none" w:pos="14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5" w:lineRule="exact"/>
        <w:rPr>
          <w:sz w:val="20"/>
          <w:szCs w:val="20"/>
          <w:color w:val="auto"/>
        </w:rPr>
      </w:pPr>
    </w:p>
    <w:p>
      <w:pPr>
        <w:jc w:val="both"/>
        <w:ind w:firstLine="1304"/>
        <w:spacing w:after="0" w:line="266" w:lineRule="auto"/>
        <w:tabs>
          <w:tab w:leader="none" w:pos="148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313055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COMPLIANCE CERTIFICATE</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parties to the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Credit Agreement Described Below</w:t>
      </w:r>
    </w:p>
    <w:p>
      <w:pPr>
        <w:spacing w:after="0" w:line="200" w:lineRule="exact"/>
        <w:rPr>
          <w:sz w:val="20"/>
          <w:szCs w:val="20"/>
          <w:color w:val="auto"/>
        </w:rPr>
      </w:pPr>
    </w:p>
    <w:p>
      <w:pPr>
        <w:sectPr>
          <w:pgSz w:w="11900" w:h="16838" w:orient="portrait"/>
          <w:cols w:equalWidth="0" w:num="2">
            <w:col w:w="240" w:space="400"/>
            <w:col w:w="10600"/>
          </w:cols>
          <w:pgMar w:left="320" w:top="580" w:right="339" w:bottom="1440" w:gutter="0" w:footer="0" w:header="0"/>
          <w:type w:val="continuous"/>
        </w:sectPr>
      </w:pPr>
    </w:p>
    <w:p>
      <w:pPr>
        <w:spacing w:after="0" w:line="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 , (as amended, modified, renewed or extended from time to time, the “Agreement”) among Friedman Industries, Incorporated and each other Person party thereto from time to time as a borrower (collectively, the “Borrowers”),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ON ITS BEHALF AND ON BEHALF OF THE BORROWERS, THAT:</w:t>
      </w:r>
    </w:p>
    <w:p>
      <w:pPr>
        <w:spacing w:after="0" w:line="225" w:lineRule="exact"/>
        <w:rPr>
          <w:sz w:val="20"/>
          <w:szCs w:val="20"/>
          <w:color w:val="auto"/>
        </w:rPr>
      </w:pPr>
    </w:p>
    <w:p>
      <w:pPr>
        <w:ind w:left="880" w:hanging="224"/>
        <w:spacing w:after="0"/>
        <w:tabs>
          <w:tab w:leader="none" w:pos="8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duly elected of the Borrower Representative;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monthly financial statements add: </w:t>
      </w:r>
      <w:r>
        <w:rPr>
          <w:rFonts w:ascii="Times New Roman" w:cs="Times New Roman" w:eastAsia="Times New Roman" w:hAnsi="Times New Roman"/>
          <w:sz w:val="18"/>
          <w:szCs w:val="18"/>
          <w:color w:val="auto"/>
        </w:rPr>
        <w:t>and such financial statements present fairly in all material respects the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Borrowers and their consolidated Subsidiaries on a consolidated basis in accordance with GAAP consistently applied, subject to normal year-end audit adjustments and the absence of footnotes];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 and</w:t>
      </w:r>
    </w:p>
    <w:p>
      <w:pPr>
        <w:spacing w:after="0" w:line="175" w:lineRule="exact"/>
        <w:rPr>
          <w:rFonts w:ascii="Times New Roman" w:cs="Times New Roman" w:eastAsia="Times New Roman" w:hAnsi="Times New Roman"/>
          <w:sz w:val="18"/>
          <w:szCs w:val="18"/>
          <w:color w:val="auto"/>
        </w:rPr>
      </w:pPr>
    </w:p>
    <w:p>
      <w:pPr>
        <w:ind w:firstLine="656"/>
        <w:spacing w:after="0" w:line="287" w:lineRule="auto"/>
        <w:tabs>
          <w:tab w:leader="none" w:pos="91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certain covenants of the Agreement, all of which data and computations are true, complete and correct</w:t>
      </w:r>
      <w:r>
        <w:rPr>
          <w:rFonts w:ascii="Times New Roman" w:cs="Times New Roman" w:eastAsia="Times New Roman" w:hAnsi="Times New Roman"/>
          <w:sz w:val="29"/>
          <w:szCs w:val="29"/>
          <w:color w:val="auto"/>
          <w:vertAlign w:val="superscript"/>
        </w:rPr>
        <w:t>30</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to paragraph 3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67722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269240</wp:posOffset>
            </wp:positionV>
            <wp:extent cx="67722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414655</wp:posOffset>
            </wp:positionV>
            <wp:extent cx="67722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 with this Certificate in support hereof, are made and delivered this __ day of _______ ,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251460</wp:posOffset>
            </wp:positionV>
            <wp:extent cx="26574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-48260</wp:posOffset>
            </wp:positionV>
            <wp:extent cx="28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color w:val="auto"/>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6574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Borrower Representative</w:t>
      </w:r>
    </w:p>
    <w:p>
      <w:pPr>
        <w:spacing w:after="0" w:line="22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4860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-130810</wp:posOffset>
            </wp:positionV>
            <wp:extent cx="19202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9202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12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48" w:lineRule="exact"/>
        <w:rPr>
          <w:sz w:val="20"/>
          <w:szCs w:val="20"/>
          <w:color w:val="auto"/>
        </w:rPr>
      </w:pPr>
    </w:p>
    <w:p>
      <w:pPr>
        <w:ind w:left="200" w:hanging="192"/>
        <w:spacing w:after="0"/>
        <w:tabs>
          <w:tab w:leader="none" w:pos="200" w:val="left"/>
        </w:tabs>
        <w:numPr>
          <w:ilvl w:val="0"/>
          <w:numId w:val="193"/>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Schedule I must include detailed calculation tables for all components of the financial covenant calculations.</w:t>
      </w:r>
    </w:p>
    <w:p>
      <w:pPr>
        <w:spacing w:after="0" w:line="197" w:lineRule="exact"/>
        <w:rPr>
          <w:rFonts w:ascii="Times New Roman" w:cs="Times New Roman" w:eastAsia="Times New Roman" w:hAnsi="Times New Roman"/>
          <w:sz w:val="28"/>
          <w:szCs w:val="28"/>
          <w:i w:val="1"/>
          <w:iCs w:val="1"/>
          <w:color w:val="auto"/>
          <w:vertAlign w:val="superscript"/>
        </w:rPr>
      </w:pPr>
    </w:p>
    <w:p>
      <w:pPr>
        <w:ind w:left="5260"/>
        <w:spacing w:after="0"/>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Provisions of ___ and _____ of the Agreement</w:t>
      </w: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[Schedule I must include detailed calculation tables for all components of the financial covenant calculations.]</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40" w:val="left"/>
          <w:tab w:leader="none" w:pos="2200" w:val="left"/>
          <w:tab w:leader="none" w:pos="3540" w:val="left"/>
          <w:tab w:leader="none" w:pos="4060" w:val="left"/>
          <w:tab w:leader="none" w:pos="5340" w:val="left"/>
          <w:tab w:leader="none" w:pos="5940" w:val="left"/>
          <w:tab w:leader="none" w:pos="6300" w:val="left"/>
          <w:tab w:leader="none" w:pos="6660" w:val="left"/>
          <w:tab w:leader="none" w:pos="7820" w:val="left"/>
          <w:tab w:leader="none" w:pos="8440" w:val="left"/>
          <w:tab w:leader="none" w:pos="9060" w:val="left"/>
          <w:tab w:leader="none" w:pos="9380" w:val="left"/>
          <w:tab w:leader="none" w:pos="10120" w:val="left"/>
          <w:tab w:leader="none" w:pos="10620" w:val="left"/>
        </w:tabs>
        <w:rPr>
          <w:sz w:val="20"/>
          <w:szCs w:val="20"/>
          <w:color w:val="auto"/>
        </w:rPr>
      </w:pPr>
      <w:r>
        <w:rPr>
          <w:rFonts w:ascii="Times New Roman" w:cs="Times New Roman" w:eastAsia="Times New Roman" w:hAnsi="Times New Roman"/>
          <w:sz w:val="18"/>
          <w:szCs w:val="18"/>
          <w:color w:val="auto"/>
        </w:rPr>
        <w:t>THIS</w:t>
        <w:tab/>
        <w:t>JOINDER</w:t>
        <w:tab/>
        <w:t>AGREEMENT</w:t>
        <w:tab/>
        <w:t>(this</w:t>
        <w:tab/>
        <w:t>“Agreement”),</w:t>
        <w:tab/>
        <w:t>dated</w:t>
        <w:tab/>
        <w:t>as</w:t>
        <w:tab/>
        <w:t>of</w:t>
        <w:tab/>
        <w:t>__________,</w:t>
        <w:tab/>
        <w:t>____,</w:t>
        <w:tab/>
        <w:t>20__,</w:t>
        <w:tab/>
        <w:t>is</w:t>
        <w:tab/>
        <w:t>entered</w:t>
        <w:tab/>
        <w:t>into</w:t>
        <w:tab/>
        <w:t>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_________________ (the “New Subsidiary”) and JPMORGAN CHASE BANK, N.A., in its capacity as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(the “Administrative Agent”) under that certain Amended and Restated Credit Agreement dated as of May 19, 2021 (as the same may be amended, modified, extended or restated from time to time, the “Credit Agreement”) among Friedman Industries, Incorporated and each other Person party thereto from time to time as a borrower (the “Borrowers”), the other Loan Parties party thereto, the Lenders party thereto and the Administrative Agent for the Lenders. All capitalized terms used herein and not otherwise defined herein shall have the meanings set forth in the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52" w:lineRule="auto"/>
        <w:tabs>
          <w:tab w:leader="none" w:pos="134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acknowledges, agrees and confirms that, by its execution of this Agreement, the New Subsidiary will be deemed to be a [Borrower][Loan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291465</wp:posOffset>
            </wp:positionV>
            <wp:extent cx="32061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437515</wp:posOffset>
            </wp:positionV>
            <wp:extent cx="32061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582930</wp:posOffset>
            </wp:positionV>
            <wp:extent cx="32061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728980</wp:posOffset>
            </wp:positionV>
            <wp:extent cx="32061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ind w:right="20" w:firstLine="656"/>
        <w:spacing w:after="0" w:line="282" w:lineRule="auto"/>
        <w:tabs>
          <w:tab w:leader="none" w:pos="122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JPMORGAN CHASE BANK, N.A., as Administrative</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ind w:left="10220"/>
        <w:spacing w:after="0"/>
        <w:rPr>
          <w:sz w:val="20"/>
          <w:szCs w:val="20"/>
          <w:color w:val="auto"/>
        </w:rPr>
      </w:pPr>
      <w:r>
        <w:rPr>
          <w:rFonts w:ascii="Times New Roman" w:cs="Times New Roman" w:eastAsia="Times New Roman" w:hAnsi="Times New Roman"/>
          <w:sz w:val="17"/>
          <w:szCs w:val="17"/>
          <w:color w:val="auto"/>
        </w:rPr>
        <w:t>EXHIBIT E-1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-7620</wp:posOffset>
            </wp:positionV>
            <wp:extent cx="25704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ind w:left="10220"/>
        <w:spacing w:after="0"/>
        <w:rPr>
          <w:sz w:val="20"/>
          <w:szCs w:val="20"/>
          <w:color w:val="auto"/>
        </w:rPr>
      </w:pPr>
      <w:r>
        <w:rPr>
          <w:rFonts w:ascii="Times New Roman" w:cs="Times New Roman" w:eastAsia="Times New Roman" w:hAnsi="Times New Roman"/>
          <w:sz w:val="17"/>
          <w:szCs w:val="17"/>
          <w:color w:val="auto"/>
        </w:rPr>
        <w:t>EXHIBIT E-2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any Borrower within the meaning of Section 871(h)(3)(B) of the Code, and (iv) it is not a controlled foreign corporation related to any Borrower as described in Section 881(c)(3)(C) of the Code.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-7620</wp:posOffset>
            </wp:positionV>
            <wp:extent cx="25704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ind w:left="10220"/>
        <w:spacing w:after="0"/>
        <w:rPr>
          <w:sz w:val="20"/>
          <w:szCs w:val="20"/>
          <w:color w:val="auto"/>
        </w:rPr>
      </w:pPr>
      <w:r>
        <w:rPr>
          <w:rFonts w:ascii="Times New Roman" w:cs="Times New Roman" w:eastAsia="Times New Roman" w:hAnsi="Times New Roman"/>
          <w:sz w:val="17"/>
          <w:szCs w:val="17"/>
          <w:color w:val="auto"/>
        </w:rPr>
        <w:t>EXHIBIT E-3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ind w:left="10220"/>
        <w:spacing w:after="0"/>
        <w:rPr>
          <w:sz w:val="20"/>
          <w:szCs w:val="20"/>
          <w:color w:val="auto"/>
        </w:rPr>
      </w:pPr>
      <w:r>
        <w:rPr>
          <w:rFonts w:ascii="Times New Roman" w:cs="Times New Roman" w:eastAsia="Times New Roman" w:hAnsi="Times New Roman"/>
          <w:sz w:val="17"/>
          <w:szCs w:val="17"/>
          <w:color w:val="auto"/>
        </w:rPr>
        <w:t>EXHIBIT E-4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w:t>
      </w:r>
    </w:p>
    <w:p>
      <w:pPr>
        <w:spacing w:after="0" w:line="3" w:lineRule="exact"/>
        <w:rPr>
          <w:sz w:val="20"/>
          <w:szCs w:val="20"/>
          <w:color w:val="auto"/>
        </w:rPr>
      </w:pPr>
    </w:p>
    <w:p>
      <w:pPr>
        <w:ind w:firstLine="8"/>
        <w:spacing w:after="0" w:line="260" w:lineRule="auto"/>
        <w:tabs>
          <w:tab w:leader="none" w:pos="2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[Friedman] A&amp;R Credit Agreement – JPMorgan Chase Bank, N.A.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#83413524</w:t>
      </w:r>
    </w:p>
    <w:p>
      <w:pPr>
        <w:sectPr>
          <w:pgSz w:w="11900" w:h="16838" w:orient="portrait"/>
          <w:cols w:equalWidth="0" w:num="1">
            <w:col w:w="11240"/>
          </w:cols>
          <w:pgMar w:left="320" w:top="58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2025,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9, 2026</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2025,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9, 2026</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amp;"/>
      <w:numFmt w:val="bullet"/>
      <w:start w:val="1"/>
    </w:lvl>
  </w:abstractNum>
  <w:abstractNum w:abstractNumId="5">
    <w:nsid w:val="14FCE74E"/>
    <w:multiLevelType w:val="hybridMultilevel"/>
    <w:lvl w:ilvl="0">
      <w:lvlJc w:val="left"/>
      <w:lvlText w:val="(%1)"/>
      <w:numFmt w:val="lowerRoman"/>
      <w:start w:val="2"/>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1)"/>
      <w:numFmt w:val="lowerLetter"/>
      <w:start w:val="1"/>
    </w:lvl>
  </w:abstractNum>
  <w:abstractNum w:abstractNumId="8">
    <w:nsid w:val="9DAF632"/>
    <w:multiLevelType w:val="hybridMultilevel"/>
    <w:lvl w:ilvl="0">
      <w:lvlJc w:val="left"/>
      <w:lvlText w:val="(%1)"/>
      <w:numFmt w:val="lowerLetter"/>
      <w:start w:val="2"/>
    </w:lvl>
  </w:abstractNum>
  <w:abstractNum w:abstractNumId="9">
    <w:nsid w:val="53299938"/>
    <w:multiLevelType w:val="hybridMultilevel"/>
    <w:lvl w:ilvl="0">
      <w:lvlJc w:val="left"/>
      <w:lvlText w:val="(%1)"/>
      <w:numFmt w:val="lowerLetter"/>
      <w:start w:val="1"/>
    </w:lvl>
    <w:lvl w:ilvl="1">
      <w:lvlJc w:val="left"/>
      <w:lvlText w:val="(%2)"/>
      <w:numFmt w:val="lowerRoman"/>
      <w:start w:val="1"/>
    </w:lvl>
  </w:abstractNum>
  <w:abstractNum w:abstractNumId="10">
    <w:nsid w:val="1FBFE8E0"/>
    <w:multiLevelType w:val="hybridMultilevel"/>
    <w:lvl w:ilvl="0">
      <w:lvlJc w:val="left"/>
      <w:lvlText w:val="(%1)"/>
      <w:numFmt w:val="lowerLetter"/>
      <w:start w:val="2"/>
    </w:lvl>
  </w:abstractNum>
  <w:abstractNum w:abstractNumId="11">
    <w:nsid w:val="5092CA79"/>
    <w:multiLevelType w:val="hybridMultilevel"/>
    <w:lvl w:ilvl="0">
      <w:lvlJc w:val="left"/>
      <w:lvlText w:val="(%1)"/>
      <w:numFmt w:val="lowerLetter"/>
      <w:start w:val="1"/>
    </w:lvl>
  </w:abstractNum>
  <w:abstractNum w:abstractNumId="12">
    <w:nsid w:val="1D545C4D"/>
    <w:multiLevelType w:val="hybridMultilevel"/>
    <w:lvl w:ilvl="0">
      <w:lvlJc w:val="left"/>
      <w:lvlText w:val="(%1)"/>
      <w:numFmt w:val="lowerLetter"/>
      <w:start w:val="2"/>
    </w:lvl>
  </w:abstractNum>
  <w:abstractNum w:abstractNumId="13">
    <w:nsid w:val="59ADEA3D"/>
    <w:multiLevelType w:val="hybridMultilevel"/>
    <w:lvl w:ilvl="0">
      <w:lvlJc w:val="left"/>
      <w:lvlText w:val="(%1)"/>
      <w:numFmt w:val="lowerLetter"/>
      <w:start w:val="1"/>
    </w:lvl>
  </w:abstractNum>
  <w:abstractNum w:abstractNumId="14">
    <w:nsid w:val="288F1A34"/>
    <w:multiLevelType w:val="hybridMultilevel"/>
    <w:lvl w:ilvl="0">
      <w:lvlJc w:val="left"/>
      <w:lvlText w:val="(%1)"/>
      <w:numFmt w:val="lowerLetter"/>
      <w:start w:val="7"/>
    </w:lvl>
  </w:abstractNum>
  <w:abstractNum w:abstractNumId="15">
    <w:nsid w:val="2A155DBC"/>
    <w:multiLevelType w:val="hybridMultilevel"/>
    <w:lvl w:ilvl="0">
      <w:lvlJc w:val="left"/>
      <w:lvlText w:val="(%1)"/>
      <w:numFmt w:val="lowerLetter"/>
      <w:start w:val="1"/>
    </w:lvl>
  </w:abstractNum>
  <w:abstractNum w:abstractNumId="16">
    <w:nsid w:val="1D9F6E5F"/>
    <w:multiLevelType w:val="hybridMultilevel"/>
    <w:lvl w:ilvl="0">
      <w:lvlJc w:val="left"/>
      <w:lvlText w:val="(%1)"/>
      <w:numFmt w:val="decimal"/>
      <w:start w:val="1"/>
    </w:lvl>
  </w:abstractNum>
  <w:abstractNum w:abstractNumId="17">
    <w:nsid w:val="97E1B4E"/>
    <w:multiLevelType w:val="hybridMultilevel"/>
    <w:lvl w:ilvl="0">
      <w:lvlJc w:val="left"/>
      <w:lvlText w:val="(%1)"/>
      <w:numFmt w:val="decimal"/>
      <w:start w:val="2"/>
    </w:lvl>
  </w:abstractNum>
  <w:abstractNum w:abstractNumId="18">
    <w:nsid w:val="51088277"/>
    <w:multiLevelType w:val="hybridMultilevel"/>
    <w:lvl w:ilvl="0">
      <w:lvlJc w:val="left"/>
      <w:lvlText w:val="(%1)"/>
      <w:numFmt w:val="decimal"/>
      <w:start w:val="1"/>
    </w:lvl>
  </w:abstractNum>
  <w:abstractNum w:abstractNumId="19">
    <w:nsid w:val="1CA0C5FA"/>
    <w:multiLevelType w:val="hybridMultilevel"/>
    <w:lvl w:ilvl="0">
      <w:lvlJc w:val="left"/>
      <w:lvlText w:val="(%1)"/>
      <w:numFmt w:val="decimal"/>
      <w:start w:val="1"/>
    </w:lvl>
  </w:abstractNum>
  <w:abstractNum w:abstractNumId="20">
    <w:nsid w:val="53584BCB"/>
    <w:multiLevelType w:val="hybridMultilevel"/>
    <w:lvl w:ilvl="0">
      <w:lvlJc w:val="left"/>
      <w:lvlText w:val="(%1)"/>
      <w:numFmt w:val="lowerRoman"/>
      <w:start w:val="1"/>
    </w:lvl>
  </w:abstractNum>
  <w:abstractNum w:abstractNumId="21">
    <w:nsid w:val="415E286C"/>
    <w:multiLevelType w:val="hybridMultilevel"/>
    <w:lvl w:ilvl="0">
      <w:lvlJc w:val="left"/>
      <w:lvlText w:val="%1."/>
      <w:numFmt w:val="lowerLetter"/>
      <w:start w:val="1"/>
    </w:lvl>
  </w:abstractNum>
  <w:abstractNum w:abstractNumId="22">
    <w:nsid w:val="7C58FD05"/>
    <w:multiLevelType w:val="hybridMultilevel"/>
    <w:lvl w:ilvl="0">
      <w:lvlJc w:val="left"/>
      <w:lvlText w:val="(%1)"/>
      <w:numFmt w:val="lowerRoman"/>
      <w:start w:val="2"/>
    </w:lvl>
  </w:abstractNum>
  <w:abstractNum w:abstractNumId="23">
    <w:nsid w:val="23D86AAC"/>
    <w:multiLevelType w:val="hybridMultilevel"/>
    <w:lvl w:ilvl="0">
      <w:lvlJc w:val="left"/>
      <w:lvlText w:val="(%1)"/>
      <w:numFmt w:val="lowerRoman"/>
      <w:start w:val="3"/>
    </w:lvl>
  </w:abstractNum>
  <w:abstractNum w:abstractNumId="24">
    <w:nsid w:val="45E6D486"/>
    <w:multiLevelType w:val="hybridMultilevel"/>
    <w:lvl w:ilvl="0">
      <w:lvlJc w:val="left"/>
      <w:lvlText w:val="(%1)"/>
      <w:numFmt w:val="lowerLetter"/>
      <w:start w:val="2"/>
    </w:lvl>
  </w:abstractNum>
  <w:abstractNum w:abstractNumId="25">
    <w:nsid w:val="5C10FE21"/>
    <w:multiLevelType w:val="hybridMultilevel"/>
    <w:lvl w:ilvl="0">
      <w:lvlJc w:val="left"/>
      <w:lvlText w:val="(%1)"/>
      <w:numFmt w:val="lowerLetter"/>
      <w:start w:val="2"/>
    </w:lvl>
  </w:abstractNum>
  <w:abstractNum w:abstractNumId="26">
    <w:nsid w:val="E7FFA2B"/>
    <w:multiLevelType w:val="hybridMultilevel"/>
    <w:lvl w:ilvl="0">
      <w:lvlJc w:val="left"/>
      <w:lvlText w:val="(%1)"/>
      <w:numFmt w:val="lowerRoman"/>
      <w:start w:val="1"/>
    </w:lvl>
  </w:abstractNum>
  <w:abstractNum w:abstractNumId="27">
    <w:nsid w:val="3C5991AA"/>
    <w:multiLevelType w:val="hybridMultilevel"/>
    <w:lvl w:ilvl="0">
      <w:lvlJc w:val="left"/>
      <w:lvlText w:val="(%1)"/>
      <w:numFmt w:val="lowerLetter"/>
      <w:start w:val="1"/>
    </w:lvl>
  </w:abstractNum>
  <w:abstractNum w:abstractNumId="28">
    <w:nsid w:val="4BD8591A"/>
    <w:multiLevelType w:val="hybridMultilevel"/>
    <w:lvl w:ilvl="0">
      <w:lvlJc w:val="left"/>
      <w:lvlText w:val="(%1)"/>
      <w:numFmt w:val="lowerLetter"/>
      <w:start w:val="1"/>
    </w:lvl>
  </w:abstractNum>
  <w:abstractNum w:abstractNumId="29">
    <w:nsid w:val="78DF6A55"/>
    <w:multiLevelType w:val="hybridMultilevel"/>
    <w:lvl w:ilvl="0">
      <w:lvlJc w:val="left"/>
      <w:lvlText w:val="(%1)"/>
      <w:numFmt w:val="lowerLetter"/>
      <w:start w:val="7"/>
    </w:lvl>
  </w:abstractNum>
  <w:abstractNum w:abstractNumId="30">
    <w:nsid w:val="39B7AAA2"/>
    <w:multiLevelType w:val="hybridMultilevel"/>
    <w:lvl w:ilvl="0">
      <w:lvlJc w:val="left"/>
      <w:lvlText w:val="(%1)"/>
      <w:numFmt w:val="lowerLetter"/>
      <w:start w:val="16"/>
    </w:lvl>
  </w:abstractNum>
  <w:abstractNum w:abstractNumId="31">
    <w:nsid w:val="2B0D8DBE"/>
    <w:multiLevelType w:val="hybridMultilevel"/>
    <w:lvl w:ilvl="0">
      <w:lvlJc w:val="left"/>
      <w:lvlText w:val="(%1)"/>
      <w:numFmt w:val="lowerLetter"/>
      <w:start w:val="1"/>
    </w:lvl>
  </w:abstractNum>
  <w:abstractNum w:abstractNumId="32">
    <w:nsid w:val="6C80EC70"/>
    <w:multiLevelType w:val="hybridMultilevel"/>
    <w:lvl w:ilvl="0">
      <w:lvlJc w:val="left"/>
      <w:lvlText w:val="(%1)"/>
      <w:numFmt w:val="lowerLetter"/>
      <w:start w:val="7"/>
    </w:lvl>
    <w:lvl w:ilvl="1">
      <w:lvlJc w:val="left"/>
      <w:lvlText w:val="(%2)"/>
      <w:numFmt w:val="lowerRoman"/>
      <w:start w:val="1"/>
    </w:lvl>
  </w:abstractNum>
  <w:abstractNum w:abstractNumId="33">
    <w:nsid w:val="379E21B5"/>
    <w:multiLevelType w:val="hybridMultilevel"/>
    <w:lvl w:ilvl="0">
      <w:lvlJc w:val="left"/>
      <w:lvlText w:val="(%1)"/>
      <w:numFmt w:val="lowerLetter"/>
      <w:start w:val="16"/>
    </w:lvl>
  </w:abstractNum>
  <w:abstractNum w:abstractNumId="34">
    <w:nsid w:val="69E373"/>
    <w:multiLevelType w:val="hybridMultilevel"/>
    <w:lvl w:ilvl="0">
      <w:lvlJc w:val="left"/>
      <w:lvlText w:val="(%1)"/>
      <w:numFmt w:val="lowerLetter"/>
      <w:start w:val="9"/>
    </w:lvl>
  </w:abstractNum>
  <w:abstractNum w:abstractNumId="35">
    <w:nsid w:val="2C27173B"/>
    <w:multiLevelType w:val="hybridMultilevel"/>
    <w:lvl w:ilvl="0">
      <w:lvlJc w:val="left"/>
      <w:lvlText w:val="(%1)"/>
      <w:numFmt w:val="lowerLetter"/>
      <w:start w:val="3"/>
    </w:lvl>
  </w:abstractNum>
  <w:abstractNum w:abstractNumId="36">
    <w:nsid w:val="4C9B0904"/>
    <w:multiLevelType w:val="hybridMultilevel"/>
    <w:lvl w:ilvl="0">
      <w:lvlJc w:val="left"/>
      <w:lvlText w:val="(%1)"/>
      <w:numFmt w:val="lowerLetter"/>
      <w:start w:val="3"/>
    </w:lvl>
  </w:abstractNum>
  <w:abstractNum w:abstractNumId="37">
    <w:nsid w:val="6AA7B75C"/>
    <w:multiLevelType w:val="hybridMultilevel"/>
    <w:lvl w:ilvl="0">
      <w:lvlJc w:val="left"/>
      <w:lvlText w:val="(%1)"/>
      <w:numFmt w:val="lowerLetter"/>
      <w:start w:val="1"/>
    </w:lvl>
  </w:abstractNum>
  <w:abstractNum w:abstractNumId="38">
    <w:nsid w:val="1DF029D3"/>
    <w:multiLevelType w:val="hybridMultilevel"/>
    <w:lvl w:ilvl="0">
      <w:lvlJc w:val="left"/>
      <w:lvlText w:val="(%1)"/>
      <w:numFmt w:val="lowerLetter"/>
      <w:start w:val="3"/>
    </w:lvl>
  </w:abstractNum>
  <w:abstractNum w:abstractNumId="39">
    <w:nsid w:val="5675FF36"/>
    <w:multiLevelType w:val="hybridMultilevel"/>
    <w:lvl w:ilvl="0">
      <w:lvlJc w:val="left"/>
      <w:lvlText w:val="(%1)"/>
      <w:numFmt w:val="lowerLetter"/>
      <w:start w:val="1"/>
    </w:lvl>
  </w:abstractNum>
  <w:abstractNum w:abstractNumId="40">
    <w:nsid w:val="3DD15094"/>
    <w:multiLevelType w:val="hybridMultilevel"/>
    <w:lvl w:ilvl="0">
      <w:lvlJc w:val="left"/>
      <w:lvlText w:val="(%1)"/>
      <w:numFmt w:val="lowerLetter"/>
      <w:start w:val="7"/>
    </w:lvl>
  </w:abstractNum>
  <w:abstractNum w:abstractNumId="41">
    <w:nsid w:val="3DB012B3"/>
    <w:multiLevelType w:val="hybridMultilevel"/>
    <w:lvl w:ilvl="0">
      <w:lvlJc w:val="left"/>
      <w:lvlText w:val="(%1)"/>
      <w:numFmt w:val="lowerLetter"/>
      <w:start w:val="1"/>
    </w:lvl>
  </w:abstractNum>
  <w:abstractNum w:abstractNumId="42">
    <w:nsid w:val="2708C9AF"/>
    <w:multiLevelType w:val="hybridMultilevel"/>
    <w:lvl w:ilvl="0">
      <w:lvlJc w:val="left"/>
      <w:lvlText w:val="(%1)"/>
      <w:numFmt w:val="lowerLetter"/>
      <w:start w:val="6"/>
    </w:lvl>
  </w:abstractNum>
  <w:abstractNum w:abstractNumId="43">
    <w:nsid w:val="5B25ACE2"/>
    <w:multiLevelType w:val="hybridMultilevel"/>
    <w:lvl w:ilvl="0">
      <w:lvlJc w:val="left"/>
      <w:lvlText w:val="(%1)"/>
      <w:numFmt w:val="lowerLetter"/>
      <w:start w:val="1"/>
    </w:lvl>
  </w:abstractNum>
  <w:abstractNum w:abstractNumId="44">
    <w:nsid w:val="175DFCF0"/>
    <w:multiLevelType w:val="hybridMultilevel"/>
    <w:lvl w:ilvl="0">
      <w:lvlJc w:val="left"/>
      <w:lvlText w:val="(%1)"/>
      <w:numFmt w:val="lowerLetter"/>
      <w:start w:val="1"/>
    </w:lvl>
  </w:abstractNum>
  <w:abstractNum w:abstractNumId="45">
    <w:nsid w:val="4F97E3E4"/>
    <w:multiLevelType w:val="hybridMultilevel"/>
    <w:lvl w:ilvl="0">
      <w:lvlJc w:val="left"/>
      <w:lvlText w:val="(%1)"/>
      <w:numFmt w:val="lowerLetter"/>
      <w:start w:val="2"/>
    </w:lvl>
  </w:abstractNum>
  <w:abstractNum w:abstractNumId="46">
    <w:nsid w:val="53B0A9E"/>
    <w:multiLevelType w:val="hybridMultilevel"/>
    <w:lvl w:ilvl="0">
      <w:lvlJc w:val="left"/>
      <w:lvlText w:val="(%1)"/>
      <w:numFmt w:val="lowerLetter"/>
      <w:start w:val="2"/>
    </w:lvl>
  </w:abstractNum>
  <w:abstractNum w:abstractNumId="47">
    <w:nsid w:val="34FD6B4F"/>
    <w:multiLevelType w:val="hybridMultilevel"/>
    <w:lvl w:ilvl="0">
      <w:lvlJc w:val="left"/>
      <w:lvlText w:val="(%1)"/>
      <w:numFmt w:val="lowerLetter"/>
      <w:start w:val="4"/>
    </w:lvl>
  </w:abstractNum>
  <w:abstractNum w:abstractNumId="48">
    <w:nsid w:val="5915FF32"/>
    <w:multiLevelType w:val="hybridMultilevel"/>
    <w:lvl w:ilvl="0">
      <w:lvlJc w:val="left"/>
      <w:lvlText w:val="(%1)"/>
      <w:numFmt w:val="lowerRoman"/>
      <w:start w:val="1"/>
    </w:lvl>
  </w:abstractNum>
  <w:abstractNum w:abstractNumId="49">
    <w:nsid w:val="56438D15"/>
    <w:multiLevelType w:val="hybridMultilevel"/>
    <w:lvl w:ilvl="0">
      <w:lvlJc w:val="left"/>
      <w:lvlText w:val="(%1)"/>
      <w:numFmt w:val="lowerLetter"/>
      <w:start w:val="2"/>
    </w:lvl>
  </w:abstractNum>
  <w:abstractNum w:abstractNumId="50">
    <w:nsid w:val="519E3149"/>
    <w:multiLevelType w:val="hybridMultilevel"/>
    <w:lvl w:ilvl="0">
      <w:lvlJc w:val="left"/>
      <w:lvlText w:val="(%1)"/>
      <w:numFmt w:val="lowerLetter"/>
      <w:start w:val="1"/>
    </w:lvl>
  </w:abstractNum>
  <w:abstractNum w:abstractNumId="51">
    <w:nsid w:val="2C6E4AFD"/>
    <w:multiLevelType w:val="hybridMultilevel"/>
    <w:lvl w:ilvl="0">
      <w:lvlJc w:val="left"/>
      <w:lvlText w:val="(%1)"/>
      <w:numFmt w:val="lowerLetter"/>
      <w:start w:val="2"/>
    </w:lvl>
  </w:abstractNum>
  <w:abstractNum w:abstractNumId="52">
    <w:nsid w:val="17A1B582"/>
    <w:multiLevelType w:val="hybridMultilevel"/>
    <w:lvl w:ilvl="0">
      <w:lvlJc w:val="left"/>
      <w:lvlText w:val="(%1)"/>
      <w:numFmt w:val="lowerLetter"/>
      <w:start w:val="2"/>
    </w:lvl>
  </w:abstractNum>
  <w:abstractNum w:abstractNumId="53">
    <w:nsid w:val="4DF72E4E"/>
    <w:multiLevelType w:val="hybridMultilevel"/>
    <w:lvl w:ilvl="0">
      <w:lvlJc w:val="left"/>
      <w:lvlText w:val="(%1)"/>
      <w:numFmt w:val="lowerRoman"/>
      <w:start w:val="2"/>
    </w:lvl>
  </w:abstractNum>
  <w:abstractNum w:abstractNumId="54">
    <w:nsid w:val="5046B5A9"/>
    <w:multiLevelType w:val="hybridMultilevel"/>
    <w:lvl w:ilvl="0">
      <w:lvlJc w:val="left"/>
      <w:lvlText w:val="(%1)"/>
      <w:numFmt w:val="lowerLetter"/>
      <w:start w:val="3"/>
    </w:lvl>
  </w:abstractNum>
  <w:abstractNum w:abstractNumId="55">
    <w:nsid w:val="5D888A08"/>
    <w:multiLevelType w:val="hybridMultilevel"/>
    <w:lvl w:ilvl="0">
      <w:lvlJc w:val="left"/>
      <w:lvlText w:val="(%1)"/>
      <w:numFmt w:val="lowerLetter"/>
      <w:start w:val="6"/>
    </w:lvl>
  </w:abstractNum>
  <w:abstractNum w:abstractNumId="56">
    <w:nsid w:val="2A082C70"/>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57">
    <w:nsid w:val="5EC6AFD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8">
    <w:nsid w:val="19E21BB2"/>
    <w:multiLevelType w:val="hybridMultilevel"/>
    <w:lvl w:ilvl="0">
      <w:lvlJc w:val="left"/>
      <w:lvlText w:val="(%1)"/>
      <w:numFmt w:val="lowerLetter"/>
      <w:start w:val="11"/>
    </w:lvl>
  </w:abstractNum>
  <w:abstractNum w:abstractNumId="59">
    <w:nsid w:val="75E0858A"/>
    <w:multiLevelType w:val="hybridMultilevel"/>
    <w:lvl w:ilvl="0">
      <w:lvlJc w:val="left"/>
      <w:lvlText w:val="(%1)"/>
      <w:numFmt w:val="lowerLetter"/>
      <w:start w:val="2"/>
    </w:lvl>
  </w:abstractNum>
  <w:abstractNum w:abstractNumId="60">
    <w:nsid w:val="57A61A29"/>
    <w:multiLevelType w:val="hybridMultilevel"/>
    <w:lvl w:ilvl="0">
      <w:lvlJc w:val="left"/>
      <w:lvlText w:val="(%1)"/>
      <w:numFmt w:val="lowerLetter"/>
      <w:start w:val="2"/>
    </w:lvl>
  </w:abstractNum>
  <w:abstractNum w:abstractNumId="61">
    <w:nsid w:val="5399C654"/>
    <w:multiLevelType w:val="hybridMultilevel"/>
    <w:lvl w:ilvl="0">
      <w:lvlJc w:val="left"/>
      <w:lvlText w:val="(%1)"/>
      <w:numFmt w:val="lowerLetter"/>
      <w:start w:val="3"/>
    </w:lvl>
    <w:lvl w:ilvl="1">
      <w:lvlJc w:val="left"/>
      <w:lvlText w:val="(%2)"/>
      <w:numFmt w:val="lowerRoman"/>
      <w:start w:val="1"/>
    </w:lvl>
  </w:abstractNum>
  <w:abstractNum w:abstractNumId="62">
    <w:nsid w:val="20EE1348"/>
    <w:multiLevelType w:val="hybridMultilevel"/>
    <w:lvl w:ilvl="0">
      <w:lvlJc w:val="left"/>
      <w:lvlText w:val="(%1)"/>
      <w:numFmt w:val="lowerLetter"/>
      <w:start w:val="4"/>
    </w:lvl>
  </w:abstractNum>
  <w:abstractNum w:abstractNumId="63">
    <w:nsid w:val="4427069A"/>
    <w:multiLevelType w:val="hybridMultilevel"/>
    <w:lvl w:ilvl="0">
      <w:lvlJc w:val="left"/>
      <w:lvlText w:val="(%1)"/>
      <w:numFmt w:val="lowerLetter"/>
      <w:start w:val="2"/>
    </w:lvl>
  </w:abstractNum>
  <w:abstractNum w:abstractNumId="64">
    <w:nsid w:val="B37E80A"/>
    <w:multiLevelType w:val="hybridMultilevel"/>
    <w:lvl w:ilvl="0">
      <w:lvlJc w:val="left"/>
      <w:lvlText w:val="%1"/>
      <w:numFmt w:val="lowerLetter"/>
      <w:start w:val="1"/>
    </w:lvl>
    <w:lvl w:ilvl="1">
      <w:lvlJc w:val="left"/>
      <w:lvlText w:val="(%2)"/>
      <w:numFmt w:val="lowerLetter"/>
      <w:start w:val="4"/>
    </w:lvl>
  </w:abstractNum>
  <w:abstractNum w:abstractNumId="65">
    <w:nsid w:val="2157F6BC"/>
    <w:multiLevelType w:val="hybridMultilevel"/>
    <w:lvl w:ilvl="0">
      <w:lvlJc w:val="left"/>
      <w:lvlText w:val="(%1)"/>
      <w:numFmt w:val="lowerLetter"/>
      <w:start w:val="35"/>
    </w:lvl>
    <w:lvl w:ilvl="1">
      <w:lvlJc w:val="left"/>
      <w:lvlText w:val="(%2)"/>
      <w:numFmt w:val="lowerLetter"/>
      <w:start w:val="5"/>
    </w:lvl>
  </w:abstractNum>
  <w:abstractNum w:abstractNumId="66">
    <w:nsid w:val="704E1DD5"/>
    <w:multiLevelType w:val="hybridMultilevel"/>
    <w:lvl w:ilvl="0">
      <w:lvlJc w:val="left"/>
      <w:lvlText w:val="(%1)"/>
      <w:numFmt w:val="lowerLetter"/>
      <w:start w:val="2"/>
    </w:lvl>
  </w:abstractNum>
  <w:abstractNum w:abstractNumId="67">
    <w:nsid w:val="57D2F10E"/>
    <w:multiLevelType w:val="hybridMultilevel"/>
    <w:lvl w:ilvl="0">
      <w:lvlJc w:val="left"/>
      <w:lvlText w:val="(%1)"/>
      <w:numFmt w:val="lowerLetter"/>
      <w:start w:val="2"/>
    </w:lvl>
  </w:abstractNum>
  <w:abstractNum w:abstractNumId="68">
    <w:nsid w:val="BFFAE18"/>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69">
    <w:nsid w:val="E3E47A8"/>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70">
    <w:nsid w:val="2E48F044"/>
    <w:multiLevelType w:val="hybridMultilevel"/>
    <w:lvl w:ilvl="0">
      <w:lvlJc w:val="left"/>
      <w:lvlText w:val="(%1)"/>
      <w:numFmt w:val="lowerLetter"/>
      <w:start w:val="4"/>
    </w:lvl>
  </w:abstractNum>
  <w:abstractNum w:abstractNumId="71">
    <w:nsid w:val="49D0FEAC"/>
    <w:multiLevelType w:val="hybridMultilevel"/>
    <w:lvl w:ilvl="0">
      <w:lvlJc w:val="left"/>
      <w:lvlText w:val="(%1)"/>
      <w:numFmt w:val="lowerLetter"/>
      <w:start w:val="5"/>
    </w:lvl>
  </w:abstractNum>
  <w:abstractNum w:abstractNumId="72">
    <w:nsid w:val="4BEE5A5B"/>
    <w:multiLevelType w:val="hybridMultilevel"/>
    <w:lvl w:ilvl="0">
      <w:lvlJc w:val="left"/>
      <w:lvlText w:val="(%1)"/>
      <w:numFmt w:val="lowerLetter"/>
      <w:start w:val="2"/>
    </w:lvl>
  </w:abstractNum>
  <w:abstractNum w:abstractNumId="73">
    <w:nsid w:val="5551B9F3"/>
    <w:multiLevelType w:val="hybridMultilevel"/>
    <w:lvl w:ilvl="0">
      <w:lvlJc w:val="left"/>
      <w:lvlText w:val="(%1)"/>
      <w:numFmt w:val="lowerLetter"/>
      <w:start w:val="4"/>
    </w:lvl>
  </w:abstractNum>
  <w:abstractNum w:abstractNumId="74">
    <w:nsid w:val="24F6AB8E"/>
    <w:multiLevelType w:val="hybridMultilevel"/>
    <w:lvl w:ilvl="0">
      <w:lvlJc w:val="left"/>
      <w:lvlText w:val="(%1)"/>
      <w:numFmt w:val="lowerLetter"/>
      <w:start w:val="1"/>
    </w:lvl>
  </w:abstractNum>
  <w:abstractNum w:abstractNumId="75">
    <w:nsid w:val="634C574C"/>
    <w:multiLevelType w:val="hybridMultilevel"/>
    <w:lvl w:ilvl="0">
      <w:lvlJc w:val="left"/>
      <w:lvlText w:val="(%1)"/>
      <w:numFmt w:val="lowerLetter"/>
      <w:start w:val="2"/>
    </w:lvl>
  </w:abstractNum>
  <w:abstractNum w:abstractNumId="76">
    <w:nsid w:val="24E99DD7"/>
    <w:multiLevelType w:val="hybridMultilevel"/>
    <w:lvl w:ilvl="0">
      <w:lvlJc w:val="left"/>
      <w:lvlText w:val="(%1)"/>
      <w:numFmt w:val="lowerLetter"/>
      <w:start w:val="1"/>
    </w:lvl>
    <w:lvl w:ilvl="1">
      <w:lvlJc w:val="left"/>
      <w:lvlText w:val="(%2)"/>
      <w:numFmt w:val="lowerRoman"/>
      <w:start w:val="1"/>
    </w:lvl>
  </w:abstractNum>
  <w:abstractNum w:abstractNumId="77">
    <w:nsid w:val="2A31B62D"/>
    <w:multiLevelType w:val="hybridMultilevel"/>
    <w:lvl w:ilvl="0">
      <w:lvlJc w:val="left"/>
      <w:lvlText w:val="%1"/>
      <w:numFmt w:val="decimal"/>
      <w:start w:val="1"/>
    </w:lvl>
    <w:lvl w:ilvl="1">
      <w:lvlJc w:val="left"/>
      <w:lvlText w:val="(%2)"/>
      <w:numFmt w:val="lowerLetter"/>
      <w:start w:val="2"/>
    </w:lvl>
  </w:abstractNum>
  <w:abstractNum w:abstractNumId="78">
    <w:nsid w:val="1849C29B"/>
    <w:multiLevelType w:val="hybridMultilevel"/>
    <w:lvl w:ilvl="0">
      <w:lvlJc w:val="left"/>
      <w:lvlText w:val="(%1)"/>
      <w:numFmt w:val="decimal"/>
      <w:start w:val="1"/>
    </w:lvl>
    <w:lvl w:ilvl="1">
      <w:lvlJc w:val="left"/>
      <w:lvlText w:val="%2"/>
      <w:numFmt w:val="lowerLetter"/>
      <w:start w:val="1"/>
    </w:lvl>
  </w:abstractNum>
  <w:abstractNum w:abstractNumId="79">
    <w:nsid w:val="7DFF9D09"/>
    <w:multiLevelType w:val="hybridMultilevel"/>
    <w:lvl w:ilvl="0">
      <w:lvlJc w:val="left"/>
      <w:lvlText w:val="%1"/>
      <w:numFmt w:val="lowerRoman"/>
      <w:start w:val="1"/>
    </w:lvl>
    <w:lvl w:ilvl="1">
      <w:lvlJc w:val="left"/>
      <w:lvlText w:val="(%2)"/>
      <w:numFmt w:val="lowerLetter"/>
      <w:start w:val="3"/>
    </w:lvl>
  </w:abstractNum>
  <w:abstractNum w:abstractNumId="80">
    <w:nsid w:val="754342"/>
    <w:multiLevelType w:val="hybridMultilevel"/>
    <w:lvl w:ilvl="0">
      <w:lvlJc w:val="left"/>
      <w:lvlText w:val="(%1)"/>
      <w:numFmt w:val="lowerRoman"/>
      <w:start w:val="4"/>
    </w:lvl>
    <w:lvl w:ilvl="1">
      <w:lvlJc w:val="left"/>
      <w:lvlText w:val="(%2)"/>
      <w:numFmt w:val="lowerLetter"/>
      <w:start w:val="5"/>
    </w:lvl>
  </w:abstractNum>
  <w:abstractNum w:abstractNumId="81">
    <w:nsid w:val="69E7F3E5"/>
    <w:multiLevelType w:val="hybridMultilevel"/>
    <w:lvl w:ilvl="0">
      <w:lvlJc w:val="left"/>
      <w:lvlText w:val="(%1)"/>
      <w:numFmt w:val="lowerRoman"/>
      <w:start w:val="1"/>
    </w:lvl>
  </w:abstractNum>
  <w:abstractNum w:abstractNumId="82">
    <w:nsid w:val="2A6DE806"/>
    <w:multiLevelType w:val="hybridMultilevel"/>
    <w:lvl w:ilvl="0">
      <w:lvlJc w:val="left"/>
      <w:lvlText w:val="(%1)"/>
      <w:numFmt w:val="lowerRoman"/>
      <w:start w:val="2"/>
    </w:lvl>
  </w:abstractNum>
  <w:abstractNum w:abstractNumId="83">
    <w:nsid w:val="1816F8C4"/>
    <w:multiLevelType w:val="hybridMultilevel"/>
    <w:lvl w:ilvl="0">
      <w:lvlJc w:val="left"/>
      <w:lvlText w:val="(%1)"/>
      <w:numFmt w:val="lowerLetter"/>
      <w:start w:val="2"/>
    </w:lvl>
  </w:abstractNum>
  <w:abstractNum w:abstractNumId="84">
    <w:nsid w:val="37DF2233"/>
    <w:multiLevelType w:val="hybridMultilevel"/>
    <w:lvl w:ilvl="0">
      <w:lvlJc w:val="left"/>
      <w:lvlText w:val="(%1)"/>
      <w:numFmt w:val="lowerLetter"/>
      <w:start w:val="2"/>
    </w:lvl>
  </w:abstractNum>
  <w:abstractNum w:abstractNumId="85">
    <w:nsid w:val="7AB49DAF"/>
    <w:multiLevelType w:val="hybridMultilevel"/>
    <w:lvl w:ilvl="0">
      <w:lvlJc w:val="left"/>
      <w:lvlText w:val="(%1)"/>
      <w:numFmt w:val="lowerLetter"/>
      <w:start w:val="5"/>
    </w:lvl>
    <w:lvl w:ilvl="1">
      <w:lvlJc w:val="left"/>
      <w:lvlText w:val="(%2)"/>
      <w:numFmt w:val="lowerLetter"/>
      <w:start w:val="35"/>
    </w:lvl>
  </w:abstractNum>
  <w:abstractNum w:abstractNumId="86">
    <w:nsid w:val="759F82CD"/>
    <w:multiLevelType w:val="hybridMultilevel"/>
    <w:lvl w:ilvl="0">
      <w:lvlJc w:val="left"/>
      <w:lvlText w:val="(%1)"/>
      <w:numFmt w:val="upperLetter"/>
      <w:start w:val="1"/>
    </w:lvl>
  </w:abstractNum>
  <w:abstractNum w:abstractNumId="87">
    <w:nsid w:val="61E74EA3"/>
    <w:multiLevelType w:val="hybridMultilevel"/>
    <w:lvl w:ilvl="0">
      <w:lvlJc w:val="left"/>
      <w:lvlText w:val="(%1)"/>
      <w:numFmt w:val="upperLetter"/>
      <w:start w:val="2"/>
    </w:lvl>
    <w:lvl w:ilvl="1">
      <w:lvlJc w:val="left"/>
      <w:lvlText w:val="(%2)"/>
      <w:numFmt w:val="decimal"/>
      <w:start w:val="1"/>
    </w:lvl>
  </w:abstractNum>
  <w:abstractNum w:abstractNumId="88">
    <w:nsid w:val="597B4D84"/>
    <w:multiLevelType w:val="hybridMultilevel"/>
    <w:lvl w:ilvl="0">
      <w:lvlJc w:val="left"/>
      <w:lvlText w:val="(%1)"/>
      <w:numFmt w:val="upperLetter"/>
      <w:start w:val="4"/>
    </w:lvl>
  </w:abstractNum>
  <w:abstractNum w:abstractNumId="89">
    <w:nsid w:val="F819E7F"/>
    <w:multiLevelType w:val="hybridMultilevel"/>
    <w:lvl w:ilvl="0">
      <w:lvlJc w:val="left"/>
      <w:lvlText w:val="(%1)"/>
      <w:numFmt w:val="lowerLetter"/>
      <w:start w:val="7"/>
    </w:lvl>
  </w:abstractNum>
  <w:abstractNum w:abstractNumId="90">
    <w:nsid w:val="57C7D42D"/>
    <w:multiLevelType w:val="hybridMultilevel"/>
    <w:lvl w:ilvl="0">
      <w:lvlJc w:val="left"/>
      <w:lvlText w:val="(%1)"/>
      <w:numFmt w:val="lowerLetter"/>
      <w:start w:val="2"/>
    </w:lvl>
  </w:abstractNum>
  <w:abstractNum w:abstractNumId="91">
    <w:nsid w:val="312167AD"/>
    <w:multiLevelType w:val="hybridMultilevel"/>
    <w:lvl w:ilvl="0">
      <w:lvlJc w:val="left"/>
      <w:lvlText w:val="(%1)"/>
      <w:numFmt w:val="lowerLetter"/>
      <w:start w:val="4"/>
    </w:lvl>
  </w:abstractNum>
  <w:abstractNum w:abstractNumId="92">
    <w:nsid w:val="631B64D4"/>
    <w:multiLevelType w:val="hybridMultilevel"/>
    <w:lvl w:ilvl="0">
      <w:lvlJc w:val="left"/>
      <w:lvlText w:val="(%1)"/>
      <w:numFmt w:val="lowerLetter"/>
      <w:start w:val="1"/>
    </w:lvl>
  </w:abstractNum>
  <w:abstractNum w:abstractNumId="93">
    <w:nsid w:val="78B5E776"/>
    <w:multiLevelType w:val="hybridMultilevel"/>
    <w:lvl w:ilvl="0">
      <w:lvlJc w:val="left"/>
      <w:lvlText w:val="(%1)"/>
      <w:numFmt w:val="lowerLetter"/>
      <w:start w:val="2"/>
    </w:lvl>
    <w:lvl w:ilvl="1">
      <w:lvlJc w:val="left"/>
      <w:lvlText w:val="(%2)"/>
      <w:numFmt w:val="lowerLetter"/>
      <w:start w:val="9"/>
    </w:lvl>
  </w:abstractNum>
  <w:abstractNum w:abstractNumId="94">
    <w:nsid w:val="75486E47"/>
    <w:multiLevelType w:val="hybridMultilevel"/>
    <w:lvl w:ilvl="0">
      <w:lvlJc w:val="left"/>
      <w:lvlText w:val="(%1)"/>
      <w:numFmt w:val="lowerRoman"/>
      <w:start w:val="2"/>
    </w:lvl>
  </w:abstractNum>
  <w:abstractNum w:abstractNumId="95">
    <w:nsid w:val="6E534CDE"/>
    <w:multiLevelType w:val="hybridMultilevel"/>
    <w:lvl w:ilvl="0">
      <w:lvlJc w:val="left"/>
      <w:lvlText w:val="(%1)"/>
      <w:numFmt w:val="lowerLetter"/>
      <w:start w:val="5"/>
    </w:lvl>
  </w:abstractNum>
  <w:abstractNum w:abstractNumId="96">
    <w:nsid w:val="1A0DDE32"/>
    <w:multiLevelType w:val="hybridMultilevel"/>
    <w:lvl w:ilvl="0">
      <w:lvlJc w:val="left"/>
      <w:lvlText w:val="1"/>
      <w:numFmt w:val="bullet"/>
      <w:start w:val="1"/>
    </w:lvl>
  </w:abstractNum>
  <w:abstractNum w:abstractNumId="97">
    <w:nsid w:val="65968C1C"/>
    <w:multiLevelType w:val="hybridMultilevel"/>
    <w:lvl w:ilvl="0">
      <w:lvlJc w:val="left"/>
      <w:lvlText w:val="(%1)"/>
      <w:numFmt w:val="lowerLetter"/>
      <w:start w:val="2"/>
    </w:lvl>
  </w:abstractNum>
  <w:abstractNum w:abstractNumId="98">
    <w:nsid w:val="46263DEC"/>
    <w:multiLevelType w:val="hybridMultilevel"/>
    <w:lvl w:ilvl="0">
      <w:lvlJc w:val="left"/>
      <w:lvlText w:val="(%1)"/>
      <w:numFmt w:val="lowerLetter"/>
      <w:start w:val="2"/>
    </w:lvl>
  </w:abstractNum>
  <w:abstractNum w:abstractNumId="99">
    <w:nsid w:val="260D8C4A"/>
    <w:multiLevelType w:val="hybridMultilevel"/>
    <w:lvl w:ilvl="0">
      <w:lvlJc w:val="left"/>
      <w:lvlText w:val="(%1)"/>
      <w:numFmt w:val="lowerLetter"/>
      <w:start w:val="2"/>
    </w:lvl>
  </w:abstractNum>
  <w:abstractNum w:abstractNumId="100">
    <w:nsid w:val="73D4D3C4"/>
    <w:multiLevelType w:val="hybridMultilevel"/>
    <w:lvl w:ilvl="0">
      <w:lvlJc w:val="left"/>
      <w:lvlText w:val="(%1)"/>
      <w:numFmt w:val="lowerLetter"/>
      <w:start w:val="2"/>
    </w:lvl>
  </w:abstractNum>
  <w:abstractNum w:abstractNumId="101">
    <w:nsid w:val="746F2E30"/>
    <w:multiLevelType w:val="hybridMultilevel"/>
    <w:lvl w:ilvl="0">
      <w:lvlJc w:val="left"/>
      <w:lvlText w:val="(%1)"/>
      <w:numFmt w:val="lowerLetter"/>
      <w:start w:val="2"/>
    </w:lvl>
  </w:abstractNum>
  <w:abstractNum w:abstractNumId="102">
    <w:nsid w:val="6FDE8AF6"/>
    <w:multiLevelType w:val="hybridMultilevel"/>
    <w:lvl w:ilvl="0">
      <w:lvlJc w:val="left"/>
      <w:lvlText w:val="%1"/>
      <w:numFmt w:val="upperLetter"/>
      <w:start w:val="1"/>
    </w:lvl>
    <w:lvl w:ilvl="1">
      <w:lvlJc w:val="left"/>
      <w:lvlText w:val="(%2)"/>
      <w:numFmt w:val="lowerLetter"/>
      <w:start w:val="1"/>
    </w:lvl>
  </w:abstractNum>
  <w:abstractNum w:abstractNumId="103">
    <w:nsid w:val="3FC32E20"/>
    <w:multiLevelType w:val="hybridMultilevel"/>
    <w:lvl w:ilvl="0">
      <w:lvlJc w:val="left"/>
      <w:lvlText w:val="(%1)"/>
      <w:numFmt w:val="upperLetter"/>
      <w:start w:val="1"/>
    </w:lvl>
    <w:lvl w:ilvl="1">
      <w:lvlJc w:val="left"/>
      <w:lvlText w:val="%2"/>
      <w:numFmt w:val="lowerLetter"/>
      <w:start w:val="1"/>
    </w:lvl>
  </w:abstractNum>
  <w:abstractNum w:abstractNumId="104">
    <w:nsid w:val="49C0E823"/>
    <w:multiLevelType w:val="hybridMultilevel"/>
    <w:lvl w:ilvl="0">
      <w:lvlJc w:val="left"/>
      <w:lvlText w:val="(%1)"/>
      <w:numFmt w:val="lowerLetter"/>
      <w:start w:val="2"/>
    </w:lvl>
  </w:abstractNum>
  <w:abstractNum w:abstractNumId="105">
    <w:nsid w:val="14D53685"/>
    <w:multiLevelType w:val="hybridMultilevel"/>
    <w:lvl w:ilvl="0">
      <w:lvlJc w:val="left"/>
      <w:lvlText w:val="(%1)"/>
      <w:numFmt w:val="lowerLetter"/>
      <w:start w:val="8"/>
    </w:lvl>
  </w:abstractNum>
  <w:abstractNum w:abstractNumId="106">
    <w:nsid w:val="230F856C"/>
    <w:multiLevelType w:val="hybridMultilevel"/>
    <w:lvl w:ilvl="0">
      <w:lvlJc w:val="left"/>
      <w:lvlText w:val="(%1)"/>
      <w:numFmt w:val="lowerLetter"/>
      <w:start w:val="17"/>
    </w:lvl>
  </w:abstractNum>
  <w:abstractNum w:abstractNumId="107">
    <w:nsid w:val="6EAA85FB"/>
    <w:multiLevelType w:val="hybridMultilevel"/>
    <w:lvl w:ilvl="0">
      <w:lvlJc w:val="left"/>
      <w:lvlText w:val="(%1)"/>
      <w:numFmt w:val="lowerLetter"/>
      <w:start w:val="1"/>
    </w:lvl>
  </w:abstractNum>
  <w:abstractNum w:abstractNumId="108">
    <w:nsid w:val="3F06ECB2"/>
    <w:multiLevelType w:val="hybridMultilevel"/>
    <w:lvl w:ilvl="0">
      <w:lvlJc w:val="left"/>
      <w:lvlText w:val="(%1)"/>
      <w:numFmt w:val="lowerLetter"/>
      <w:start w:val="1"/>
    </w:lvl>
  </w:abstractNum>
  <w:abstractNum w:abstractNumId="109">
    <w:nsid w:val="3B594807"/>
    <w:multiLevelType w:val="hybridMultilevel"/>
    <w:lvl w:ilvl="0">
      <w:lvlJc w:val="left"/>
      <w:lvlText w:val="(%1)"/>
      <w:numFmt w:val="lowerLetter"/>
      <w:start w:val="2"/>
    </w:lvl>
  </w:abstractNum>
  <w:abstractNum w:abstractNumId="110">
    <w:nsid w:val="6CAA2304"/>
    <w:multiLevelType w:val="hybridMultilevel"/>
    <w:lvl w:ilvl="0">
      <w:lvlJc w:val="left"/>
      <w:lvlText w:val="(%1)"/>
      <w:numFmt w:val="lowerLetter"/>
      <w:start w:val="7"/>
    </w:lvl>
    <w:lvl w:ilvl="1">
      <w:lvlJc w:val="left"/>
      <w:lvlText w:val="(%2)"/>
      <w:numFmt w:val="lowerRoman"/>
      <w:start w:val="1"/>
    </w:lvl>
  </w:abstractNum>
  <w:abstractNum w:abstractNumId="111">
    <w:nsid w:val="3F7C2FF4"/>
    <w:multiLevelType w:val="hybridMultilevel"/>
    <w:lvl w:ilvl="0">
      <w:lvlJc w:val="left"/>
      <w:lvlText w:val="(%1)"/>
      <w:numFmt w:val="lowerLetter"/>
      <w:start w:val="10"/>
    </w:lvl>
    <w:lvl w:ilvl="1">
      <w:lvlJc w:val="left"/>
      <w:lvlText w:val="(%2)"/>
      <w:numFmt w:val="lowerRoman"/>
      <w:start w:val="1"/>
    </w:lvl>
  </w:abstractNum>
  <w:abstractNum w:abstractNumId="112">
    <w:nsid w:val="25413BEC"/>
    <w:multiLevelType w:val="hybridMultilevel"/>
    <w:lvl w:ilvl="0">
      <w:lvlJc w:val="left"/>
      <w:lvlText w:val="(%1)"/>
      <w:numFmt w:val="upperLetter"/>
      <w:start w:val="2"/>
    </w:lvl>
  </w:abstractNum>
  <w:abstractNum w:abstractNumId="113">
    <w:nsid w:val="17180B0B"/>
    <w:multiLevelType w:val="hybridMultilevel"/>
    <w:lvl w:ilvl="0">
      <w:lvlJc w:val="left"/>
      <w:lvlText w:val="%1"/>
      <w:numFmt w:val="lowerRoman"/>
      <w:start w:val="1"/>
    </w:lvl>
    <w:lvl w:ilvl="1">
      <w:lvlJc w:val="left"/>
      <w:lvlText w:val="(%2)"/>
      <w:numFmt w:val="lowerLetter"/>
      <w:start w:val="1"/>
    </w:lvl>
  </w:abstractNum>
  <w:abstractNum w:abstractNumId="114">
    <w:nsid w:val="579328B9"/>
    <w:multiLevelType w:val="hybridMultilevel"/>
    <w:lvl w:ilvl="0">
      <w:lvlJc w:val="left"/>
      <w:lvlText w:val="(%1)"/>
      <w:numFmt w:val="lowerRoman"/>
      <w:start w:val="3"/>
    </w:lvl>
    <w:lvl w:ilvl="1">
      <w:lvlJc w:val="left"/>
      <w:lvlText w:val="%2"/>
      <w:numFmt w:val="lowerLetter"/>
      <w:start w:val="1"/>
    </w:lvl>
  </w:abstractNum>
  <w:abstractNum w:abstractNumId="115">
    <w:nsid w:val="5D205E20"/>
    <w:multiLevelType w:val="hybridMultilevel"/>
    <w:lvl w:ilvl="0">
      <w:lvlJc w:val="left"/>
      <w:lvlText w:val="(%1)"/>
      <w:numFmt w:val="lowerRoman"/>
      <w:start w:val="6"/>
    </w:lvl>
    <w:lvl w:ilvl="1">
      <w:lvlJc w:val="left"/>
      <w:lvlText w:val="%2"/>
      <w:numFmt w:val="lowerLetter"/>
      <w:start w:val="1"/>
    </w:lvl>
  </w:abstractNum>
  <w:abstractNum w:abstractNumId="116">
    <w:nsid w:val="11CCA8BA"/>
    <w:multiLevelType w:val="hybridMultilevel"/>
    <w:lvl w:ilvl="0">
      <w:lvlJc w:val="left"/>
      <w:lvlText w:val="(%1)"/>
      <w:numFmt w:val="lowerLetter"/>
      <w:start w:val="3"/>
    </w:lvl>
  </w:abstractNum>
  <w:abstractNum w:abstractNumId="117">
    <w:nsid w:val="4D32AB86"/>
    <w:multiLevelType w:val="hybridMultilevel"/>
    <w:lvl w:ilvl="0">
      <w:lvlJc w:val="left"/>
      <w:lvlText w:val="%1"/>
      <w:numFmt w:val="lowerLetter"/>
      <w:start w:val="1"/>
    </w:lvl>
    <w:lvl w:ilvl="1">
      <w:lvlJc w:val="left"/>
      <w:lvlText w:val="(%2)"/>
      <w:numFmt w:val="lowerLetter"/>
      <w:start w:val="1"/>
    </w:lvl>
  </w:abstractNum>
  <w:abstractNum w:abstractNumId="118">
    <w:nsid w:val="3F07ACC3"/>
    <w:multiLevelType w:val="hybridMultilevel"/>
    <w:lvl w:ilvl="0">
      <w:lvlJc w:val="left"/>
      <w:lvlText w:val="(%1)"/>
      <w:numFmt w:val="lowerLetter"/>
      <w:start w:val="9"/>
    </w:lvl>
    <w:lvl w:ilvl="1">
      <w:lvlJc w:val="left"/>
      <w:lvlText w:val="%2"/>
      <w:numFmt w:val="lowerLetter"/>
      <w:start w:val="1"/>
    </w:lvl>
  </w:abstractNum>
  <w:abstractNum w:abstractNumId="119">
    <w:nsid w:val="6B47F63E"/>
    <w:multiLevelType w:val="hybridMultilevel"/>
    <w:lvl w:ilvl="0">
      <w:lvlJc w:val="left"/>
      <w:lvlText w:val="%1"/>
      <w:numFmt w:val="lowerLetter"/>
      <w:start w:val="1"/>
    </w:lvl>
    <w:lvl w:ilvl="1">
      <w:lvlJc w:val="left"/>
      <w:lvlText w:val="(%2)"/>
      <w:numFmt w:val="lowerLetter"/>
      <w:start w:val="2"/>
    </w:lvl>
  </w:abstractNum>
  <w:abstractNum w:abstractNumId="120">
    <w:nsid w:val="5CB44A05"/>
    <w:multiLevelType w:val="hybridMultilevel"/>
    <w:lvl w:ilvl="0">
      <w:lvlJc w:val="left"/>
      <w:lvlText w:val="(%1)"/>
      <w:numFmt w:val="lowerLetter"/>
      <w:start w:val="3"/>
    </w:lvl>
    <w:lvl w:ilvl="1">
      <w:lvlJc w:val="left"/>
      <w:lvlText w:val="%2"/>
      <w:numFmt w:val="lowerLetter"/>
      <w:start w:val="1"/>
    </w:lvl>
  </w:abstractNum>
  <w:abstractNum w:abstractNumId="121">
    <w:nsid w:val="16CF80F1"/>
    <w:multiLevelType w:val="hybridMultilevel"/>
    <w:lvl w:ilvl="0">
      <w:lvlJc w:val="left"/>
      <w:lvlText w:val="(%1)"/>
      <w:numFmt w:val="lowerLetter"/>
      <w:start w:val="1"/>
    </w:lvl>
  </w:abstractNum>
  <w:abstractNum w:abstractNumId="122">
    <w:nsid w:val="1C695DEC"/>
    <w:multiLevelType w:val="hybridMultilevel"/>
    <w:lvl w:ilvl="0">
      <w:lvlJc w:val="left"/>
      <w:lvlText w:val="(%1)"/>
      <w:numFmt w:val="lowerLetter"/>
      <w:start w:val="6"/>
    </w:lvl>
  </w:abstractNum>
  <w:abstractNum w:abstractNumId="123">
    <w:nsid w:val="3FCFAED9"/>
    <w:multiLevelType w:val="hybridMultilevel"/>
    <w:lvl w:ilvl="0">
      <w:lvlJc w:val="left"/>
      <w:lvlText w:val="%1"/>
      <w:numFmt w:val="lowerLetter"/>
      <w:start w:val="1"/>
    </w:lvl>
    <w:lvl w:ilvl="1">
      <w:lvlJc w:val="left"/>
      <w:lvlText w:val="(%2)"/>
      <w:numFmt w:val="lowerLetter"/>
      <w:start w:val="1"/>
    </w:lvl>
  </w:abstractNum>
  <w:abstractNum w:abstractNumId="124">
    <w:nsid w:val="F856867"/>
    <w:multiLevelType w:val="hybridMultilevel"/>
    <w:lvl w:ilvl="0">
      <w:lvlJc w:val="left"/>
      <w:lvlText w:val="(%1)"/>
      <w:numFmt w:val="lowerLetter"/>
      <w:start w:val="35"/>
    </w:lvl>
    <w:lvl w:ilvl="1">
      <w:lvlJc w:val="left"/>
      <w:lvlText w:val="(%2)"/>
      <w:numFmt w:val="lowerLetter"/>
      <w:start w:val="4"/>
    </w:lvl>
  </w:abstractNum>
  <w:abstractNum w:abstractNumId="125">
    <w:nsid w:val="11B1CC33"/>
    <w:multiLevelType w:val="hybridMultilevel"/>
    <w:lvl w:ilvl="0">
      <w:lvlJc w:val="left"/>
      <w:lvlText w:val="(%1)"/>
      <w:numFmt w:val="lowerLetter"/>
      <w:start w:val="2"/>
    </w:lvl>
  </w:abstractNum>
  <w:abstractNum w:abstractNumId="126">
    <w:nsid w:val="2E22FBB7"/>
    <w:multiLevelType w:val="hybridMultilevel"/>
    <w:lvl w:ilvl="0">
      <w:lvlJc w:val="left"/>
      <w:lvlText w:val="(%1)"/>
      <w:numFmt w:val="lowerLetter"/>
      <w:start w:val="1"/>
    </w:lvl>
  </w:abstractNum>
  <w:abstractNum w:abstractNumId="127">
    <w:nsid w:val="29934699"/>
    <w:multiLevelType w:val="hybridMultilevel"/>
    <w:lvl w:ilvl="0">
      <w:lvlJc w:val="left"/>
      <w:lvlText w:val="(%1)"/>
      <w:numFmt w:val="lowerLetter"/>
      <w:start w:val="4"/>
    </w:lvl>
  </w:abstractNum>
  <w:abstractNum w:abstractNumId="128">
    <w:nsid w:val="77485850"/>
    <w:multiLevelType w:val="hybridMultilevel"/>
    <w:lvl w:ilvl="0">
      <w:lvlJc w:val="left"/>
      <w:lvlText w:val="(%1)"/>
      <w:numFmt w:val="lowerLetter"/>
      <w:start w:val="13"/>
    </w:lvl>
  </w:abstractNum>
  <w:abstractNum w:abstractNumId="129">
    <w:nsid w:val="744939A3"/>
    <w:multiLevelType w:val="hybridMultilevel"/>
    <w:lvl w:ilvl="0">
      <w:lvlJc w:val="left"/>
      <w:lvlText w:val="(%1)"/>
      <w:numFmt w:val="lowerLetter"/>
      <w:start w:val="1"/>
    </w:lvl>
  </w:abstractNum>
  <w:abstractNum w:abstractNumId="130">
    <w:nsid w:val="4FA0D2E3"/>
    <w:multiLevelType w:val="hybridMultilevel"/>
    <w:lvl w:ilvl="0">
      <w:lvlJc w:val="left"/>
      <w:lvlText w:val="(%1)"/>
      <w:numFmt w:val="lowerLetter"/>
      <w:start w:val="2"/>
    </w:lvl>
    <w:lvl w:ilvl="1">
      <w:lvlJc w:val="left"/>
      <w:lvlText w:val="(%2)"/>
      <w:numFmt w:val="lowerRoman"/>
      <w:start w:val="1"/>
    </w:lvl>
  </w:abstractNum>
  <w:abstractNum w:abstractNumId="131">
    <w:nsid w:val="6B1D2C14"/>
    <w:multiLevelType w:val="hybridMultilevel"/>
    <w:lvl w:ilvl="0">
      <w:lvlJc w:val="left"/>
      <w:lvlText w:val="(%1)"/>
      <w:numFmt w:val="lowerLetter"/>
      <w:start w:val="1"/>
    </w:lvl>
    <w:lvl w:ilvl="1">
      <w:lvlJc w:val="left"/>
      <w:lvlText w:val="(%2)"/>
      <w:numFmt w:val="lowerRoman"/>
      <w:start w:val="5"/>
    </w:lvl>
  </w:abstractNum>
  <w:abstractNum w:abstractNumId="132">
    <w:nsid w:val="68B867D3"/>
    <w:multiLevelType w:val="hybridMultilevel"/>
    <w:lvl w:ilvl="0">
      <w:lvlJc w:val="left"/>
      <w:lvlText w:val="(%1)"/>
      <w:numFmt w:val="lowerRoman"/>
      <w:start w:val="6"/>
    </w:lvl>
  </w:abstractNum>
  <w:abstractNum w:abstractNumId="133">
    <w:nsid w:val="3F7F5DD9"/>
    <w:multiLevelType w:val="hybridMultilevel"/>
    <w:lvl w:ilvl="0">
      <w:lvlJc w:val="left"/>
      <w:lvlText w:val="(%1)"/>
      <w:numFmt w:val="lowerLetter"/>
      <w:start w:val="1"/>
    </w:lvl>
  </w:abstractNum>
  <w:abstractNum w:abstractNumId="134">
    <w:nsid w:val="2AE05A34"/>
    <w:multiLevelType w:val="hybridMultilevel"/>
    <w:lvl w:ilvl="0">
      <w:lvlJc w:val="left"/>
      <w:lvlText w:val="(%1)"/>
      <w:numFmt w:val="lowerLetter"/>
      <w:start w:val="1"/>
    </w:lvl>
  </w:abstractNum>
  <w:abstractNum w:abstractNumId="135">
    <w:nsid w:val="32794FF7"/>
    <w:multiLevelType w:val="hybridMultilevel"/>
    <w:lvl w:ilvl="0">
      <w:lvlJc w:val="left"/>
      <w:lvlText w:val="%1"/>
      <w:numFmt w:val="decimal"/>
      <w:start w:val="1"/>
    </w:lvl>
    <w:lvl w:ilvl="1">
      <w:lvlJc w:val="left"/>
      <w:lvlText w:val="(%2)"/>
      <w:numFmt w:val="lowerLetter"/>
      <w:start w:val="8"/>
    </w:lvl>
  </w:abstractNum>
  <w:abstractNum w:abstractNumId="136">
    <w:nsid w:val="5454945E"/>
    <w:multiLevelType w:val="hybridMultilevel"/>
    <w:lvl w:ilvl="0">
      <w:lvlJc w:val="left"/>
      <w:lvlText w:val="(%1)"/>
      <w:numFmt w:val="decimal"/>
      <w:start w:val="60"/>
    </w:lvl>
    <w:lvl w:ilvl="1">
      <w:lvlJc w:val="left"/>
      <w:lvlText w:val="(%2)"/>
      <w:numFmt w:val="lowerLetter"/>
      <w:start w:val="9"/>
    </w:lvl>
  </w:abstractNum>
  <w:abstractNum w:abstractNumId="137">
    <w:nsid w:val="4DEFDFA0"/>
    <w:multiLevelType w:val="hybridMultilevel"/>
    <w:lvl w:ilvl="0">
      <w:lvlJc w:val="left"/>
      <w:lvlText w:val="(%1)"/>
      <w:numFmt w:val="lowerLetter"/>
      <w:start w:val="17"/>
    </w:lvl>
  </w:abstractNum>
  <w:abstractNum w:abstractNumId="138">
    <w:nsid w:val="2123D5F2"/>
    <w:multiLevelType w:val="hybridMultilevel"/>
    <w:lvl w:ilvl="0">
      <w:lvlJc w:val="left"/>
      <w:lvlText w:val="(%1)"/>
      <w:numFmt w:val="lowerLetter"/>
      <w:start w:val="1"/>
    </w:lvl>
  </w:abstractNum>
  <w:abstractNum w:abstractNumId="139">
    <w:nsid w:val="135B8110"/>
    <w:multiLevelType w:val="hybridMultilevel"/>
    <w:lvl w:ilvl="0">
      <w:lvlJc w:val="left"/>
      <w:lvlText w:val="(%1)"/>
      <w:numFmt w:val="lowerLetter"/>
      <w:start w:val="2"/>
    </w:lvl>
  </w:abstractNum>
  <w:abstractNum w:abstractNumId="140">
    <w:nsid w:val="94927A8"/>
    <w:multiLevelType w:val="hybridMultilevel"/>
    <w:lvl w:ilvl="0">
      <w:lvlJc w:val="left"/>
      <w:lvlText w:val="(%1)"/>
      <w:numFmt w:val="lowerRoman"/>
      <w:start w:val="1"/>
    </w:lvl>
  </w:abstractNum>
  <w:abstractNum w:abstractNumId="141">
    <w:nsid w:val="DCDF8F6"/>
    <w:multiLevelType w:val="hybridMultilevel"/>
    <w:lvl w:ilvl="0">
      <w:lvlJc w:val="left"/>
      <w:lvlText w:val="%1"/>
      <w:numFmt w:val="lowerLetter"/>
      <w:start w:val="1"/>
    </w:lvl>
    <w:lvl w:ilvl="1">
      <w:lvlJc w:val="left"/>
      <w:lvlText w:val="(%2)"/>
      <w:numFmt w:val="lowerLetter"/>
      <w:start w:val="35"/>
    </w:lvl>
  </w:abstractNum>
  <w:abstractNum w:abstractNumId="142">
    <w:nsid w:val="52D7B105"/>
    <w:multiLevelType w:val="hybridMultilevel"/>
    <w:lvl w:ilvl="0">
      <w:lvlJc w:val="left"/>
      <w:lvlText w:val="(%1)"/>
      <w:numFmt w:val="lowerLetter"/>
      <w:start w:val="4"/>
    </w:lvl>
    <w:lvl w:ilvl="1">
      <w:lvlJc w:val="left"/>
      <w:lvlText w:val="(%2)"/>
      <w:numFmt w:val="lowerLetter"/>
      <w:start w:val="61"/>
    </w:lvl>
  </w:abstractNum>
  <w:abstractNum w:abstractNumId="143">
    <w:nsid w:val="2E8A6394"/>
    <w:multiLevelType w:val="hybridMultilevel"/>
    <w:lvl w:ilvl="0">
      <w:lvlJc w:val="left"/>
      <w:lvlText w:val="(%1)"/>
      <w:numFmt w:val="lowerRoman"/>
      <w:start w:val="4"/>
    </w:lvl>
  </w:abstractNum>
  <w:abstractNum w:abstractNumId="144">
    <w:nsid w:val="24E60401"/>
    <w:multiLevelType w:val="hybridMultilevel"/>
    <w:lvl w:ilvl="0">
      <w:lvlJc w:val="left"/>
      <w:lvlText w:val="(%1)"/>
      <w:numFmt w:val="lowerLetter"/>
      <w:start w:val="7"/>
    </w:lvl>
  </w:abstractNum>
  <w:abstractNum w:abstractNumId="145">
    <w:nsid w:val="2A6AD9BE"/>
    <w:multiLevelType w:val="hybridMultilevel"/>
    <w:lvl w:ilvl="0">
      <w:lvlJc w:val="left"/>
      <w:lvlText w:val="(%1)"/>
      <w:numFmt w:val="lowerLetter"/>
      <w:start w:val="1"/>
    </w:lvl>
  </w:abstractNum>
  <w:abstractNum w:abstractNumId="146">
    <w:nsid w:val="BAAC1B4"/>
    <w:multiLevelType w:val="hybridMultilevel"/>
    <w:lvl w:ilvl="0">
      <w:lvlJc w:val="left"/>
      <w:lvlText w:val="(%1)"/>
      <w:numFmt w:val="lowerLetter"/>
      <w:start w:val="1"/>
    </w:lvl>
  </w:abstractNum>
  <w:abstractNum w:abstractNumId="147">
    <w:nsid w:val="36B2ACBC"/>
    <w:multiLevelType w:val="hybridMultilevel"/>
    <w:lvl w:ilvl="0">
      <w:lvlJc w:val="left"/>
      <w:lvlText w:val="(%1)"/>
      <w:numFmt w:val="lowerLetter"/>
      <w:start w:val="4"/>
    </w:lvl>
  </w:abstractNum>
  <w:abstractNum w:abstractNumId="148">
    <w:nsid w:val="779D8544"/>
    <w:multiLevelType w:val="hybridMultilevel"/>
    <w:lvl w:ilvl="0">
      <w:lvlJc w:val="left"/>
      <w:lvlText w:val="(%1)"/>
      <w:numFmt w:val="lowerLetter"/>
      <w:start w:val="1"/>
    </w:lvl>
  </w:abstractNum>
  <w:abstractNum w:abstractNumId="149">
    <w:nsid w:val="4AB26E78"/>
    <w:multiLevelType w:val="hybridMultilevel"/>
    <w:lvl w:ilvl="0">
      <w:lvlJc w:val="left"/>
      <w:lvlText w:val="(%1)"/>
      <w:numFmt w:val="lowerLetter"/>
      <w:start w:val="2"/>
    </w:lvl>
  </w:abstractNum>
  <w:abstractNum w:abstractNumId="150">
    <w:nsid w:val="21FAA2FA"/>
    <w:multiLevelType w:val="hybridMultilevel"/>
    <w:lvl w:ilvl="0">
      <w:lvlJc w:val="left"/>
      <w:lvlText w:val="(%1)"/>
      <w:numFmt w:val="lowerLetter"/>
      <w:start w:val="1"/>
    </w:lvl>
  </w:abstractNum>
  <w:abstractNum w:abstractNumId="151">
    <w:nsid w:val="5451CF49"/>
    <w:multiLevelType w:val="hybridMultilevel"/>
    <w:lvl w:ilvl="0">
      <w:lvlJc w:val="left"/>
      <w:lvlText w:val="(%1)"/>
      <w:numFmt w:val="lowerLetter"/>
      <w:start w:val="2"/>
    </w:lvl>
  </w:abstractNum>
  <w:abstractNum w:abstractNumId="152">
    <w:nsid w:val="6181EF69"/>
    <w:multiLevelType w:val="hybridMultilevel"/>
    <w:lvl w:ilvl="0">
      <w:lvlJc w:val="left"/>
      <w:lvlText w:val="(%1)"/>
      <w:numFmt w:val="lowerLetter"/>
      <w:start w:val="1"/>
    </w:lvl>
  </w:abstractNum>
  <w:abstractNum w:abstractNumId="153">
    <w:nsid w:val="3E6400E6"/>
    <w:multiLevelType w:val="hybridMultilevel"/>
    <w:lvl w:ilvl="0">
      <w:lvlJc w:val="left"/>
      <w:lvlText w:val="(%1)"/>
      <w:numFmt w:val="lowerLetter"/>
      <w:start w:val="2"/>
    </w:lvl>
  </w:abstractNum>
  <w:abstractNum w:abstractNumId="154">
    <w:nsid w:val="14217E23"/>
    <w:multiLevelType w:val="hybridMultilevel"/>
    <w:lvl w:ilvl="0">
      <w:lvlJc w:val="left"/>
      <w:lvlText w:val="(%1)"/>
      <w:numFmt w:val="lowerRoman"/>
      <w:start w:val="4"/>
    </w:lvl>
  </w:abstractNum>
  <w:abstractNum w:abstractNumId="155">
    <w:nsid w:val="710757D0"/>
    <w:multiLevelType w:val="hybridMultilevel"/>
    <w:lvl w:ilvl="0">
      <w:lvlJc w:val="left"/>
      <w:lvlText w:val="(%1)"/>
      <w:numFmt w:val="lowerLetter"/>
      <w:start w:val="1"/>
    </w:lvl>
    <w:lvl w:ilvl="1">
      <w:lvlJc w:val="left"/>
      <w:lvlText w:val="(%2)"/>
      <w:numFmt w:val="lowerRoman"/>
      <w:start w:val="1"/>
    </w:lvl>
  </w:abstractNum>
  <w:abstractNum w:abstractNumId="156">
    <w:nsid w:val="5015CD1A"/>
    <w:multiLevelType w:val="hybridMultilevel"/>
    <w:lvl w:ilvl="0">
      <w:lvlJc w:val="left"/>
      <w:lvlText w:val="%1"/>
      <w:numFmt w:val="lowerLetter"/>
      <w:start w:val="1"/>
    </w:lvl>
    <w:lvl w:ilvl="1">
      <w:lvlJc w:val="left"/>
      <w:lvlText w:val="(%2)"/>
      <w:numFmt w:val="lowerRoman"/>
      <w:start w:val="4"/>
    </w:lvl>
  </w:abstractNum>
  <w:abstractNum w:abstractNumId="157">
    <w:nsid w:val="424479DA"/>
    <w:multiLevelType w:val="hybridMultilevel"/>
    <w:lvl w:ilvl="0">
      <w:lvlJc w:val="left"/>
      <w:lvlText w:val="(%1)"/>
      <w:numFmt w:val="lowerLetter"/>
      <w:start w:val="2"/>
    </w:lvl>
    <w:lvl w:ilvl="1">
      <w:lvlJc w:val="left"/>
      <w:lvlText w:val="%2"/>
      <w:numFmt w:val="lowerRoman"/>
      <w:start w:val="1"/>
    </w:lvl>
  </w:abstractNum>
  <w:abstractNum w:abstractNumId="158">
    <w:nsid w:val="1A9A9E69"/>
    <w:multiLevelType w:val="hybridMultilevel"/>
    <w:lvl w:ilvl="0">
      <w:lvlJc w:val="left"/>
      <w:lvlText w:val="(%1)"/>
      <w:numFmt w:val="lowerRoman"/>
      <w:start w:val="1"/>
    </w:lvl>
  </w:abstractNum>
  <w:abstractNum w:abstractNumId="159">
    <w:nsid w:val="475E256A"/>
    <w:multiLevelType w:val="hybridMultilevel"/>
    <w:lvl w:ilvl="0">
      <w:lvlJc w:val="left"/>
      <w:lvlText w:val="(%1)"/>
      <w:numFmt w:val="lowerRoman"/>
      <w:start w:val="2"/>
    </w:lvl>
  </w:abstractNum>
  <w:abstractNum w:abstractNumId="160">
    <w:nsid w:val="368DB37E"/>
    <w:multiLevelType w:val="hybridMultilevel"/>
    <w:lvl w:ilvl="0">
      <w:lvlJc w:val="left"/>
      <w:lvlText w:val="(%1)"/>
      <w:numFmt w:val="lowerRoman"/>
      <w:start w:val="3"/>
    </w:lvl>
  </w:abstractNum>
  <w:abstractNum w:abstractNumId="161">
    <w:nsid w:val="6A3B714C"/>
    <w:multiLevelType w:val="hybridMultilevel"/>
    <w:lvl w:ilvl="0">
      <w:lvlJc w:val="left"/>
      <w:lvlText w:val="(%1)"/>
      <w:numFmt w:val="lowerLetter"/>
      <w:start w:val="2"/>
    </w:lvl>
  </w:abstractNum>
  <w:abstractNum w:abstractNumId="162">
    <w:nsid w:val="327B517E"/>
    <w:multiLevelType w:val="hybridMultilevel"/>
    <w:lvl w:ilvl="0">
      <w:lvlJc w:val="left"/>
      <w:lvlText w:val="(%1)"/>
      <w:numFmt w:val="lowerLetter"/>
      <w:start w:val="2"/>
    </w:lvl>
  </w:abstractNum>
  <w:abstractNum w:abstractNumId="163">
    <w:nsid w:val="1F461B51"/>
    <w:multiLevelType w:val="hybridMultilevel"/>
    <w:lvl w:ilvl="0">
      <w:lvlJc w:val="left"/>
      <w:lvlText w:val="(%1)"/>
      <w:numFmt w:val="lowerLetter"/>
      <w:start w:val="3"/>
    </w:lvl>
  </w:abstractNum>
  <w:abstractNum w:abstractNumId="164">
    <w:nsid w:val="29BACF25"/>
    <w:multiLevelType w:val="hybridMultilevel"/>
    <w:lvl w:ilvl="0">
      <w:lvlJc w:val="left"/>
      <w:lvlText w:val="(%1)"/>
      <w:numFmt w:val="lowerLetter"/>
      <w:start w:val="5"/>
    </w:lvl>
  </w:abstractNum>
  <w:abstractNum w:abstractNumId="165">
    <w:nsid w:val="5D5BABB3"/>
    <w:multiLevelType w:val="hybridMultilevel"/>
    <w:lvl w:ilvl="0">
      <w:lvlJc w:val="left"/>
      <w:lvlText w:val="(%1)"/>
      <w:numFmt w:val="upperLetter"/>
      <w:start w:val="1"/>
    </w:lvl>
  </w:abstractNum>
  <w:abstractNum w:abstractNumId="166">
    <w:nsid w:val="51BF6B48"/>
    <w:multiLevelType w:val="hybridMultilevel"/>
    <w:lvl w:ilvl="0">
      <w:lvlJc w:val="left"/>
      <w:lvlText w:val="(%1)"/>
      <w:numFmt w:val="upperLetter"/>
      <w:start w:val="5"/>
    </w:lvl>
  </w:abstractNum>
  <w:abstractNum w:abstractNumId="167">
    <w:nsid w:val="7E0F6384"/>
    <w:multiLevelType w:val="hybridMultilevel"/>
    <w:lvl w:ilvl="0">
      <w:lvlJc w:val="left"/>
      <w:lvlText w:val="(%1)"/>
      <w:numFmt w:val="lowerLetter"/>
      <w:start w:val="2"/>
    </w:lvl>
  </w:abstractNum>
  <w:abstractNum w:abstractNumId="168">
    <w:nsid w:val="2B4B8B53"/>
    <w:multiLevelType w:val="hybridMultilevel"/>
    <w:lvl w:ilvl="0">
      <w:lvlJc w:val="left"/>
      <w:lvlText w:val="(%1)"/>
      <w:numFmt w:val="lowerLetter"/>
      <w:start w:val="4"/>
    </w:lvl>
  </w:abstractNum>
  <w:abstractNum w:abstractNumId="169">
    <w:nsid w:val="72E3413A"/>
    <w:multiLevelType w:val="hybridMultilevel"/>
    <w:lvl w:ilvl="0">
      <w:lvlJc w:val="left"/>
      <w:lvlText w:val="(%1)"/>
      <w:numFmt w:val="upperLetter"/>
      <w:start w:val="1"/>
    </w:lvl>
  </w:abstractNum>
  <w:abstractNum w:abstractNumId="170">
    <w:nsid w:val="116AE494"/>
    <w:multiLevelType w:val="hybridMultilevel"/>
    <w:lvl w:ilvl="0">
      <w:lvlJc w:val="left"/>
      <w:lvlText w:val="%1"/>
      <w:numFmt w:val="lowerRoman"/>
      <w:start w:val="1"/>
    </w:lvl>
    <w:lvl w:ilvl="1">
      <w:lvlJc w:val="left"/>
      <w:lvlText w:val="(%2)"/>
      <w:numFmt w:val="upperLetter"/>
      <w:start w:val="2"/>
    </w:lvl>
  </w:abstractNum>
  <w:abstractNum w:abstractNumId="171">
    <w:nsid w:val="3494B2FB"/>
    <w:multiLevelType w:val="hybridMultilevel"/>
    <w:lvl w:ilvl="0">
      <w:lvlJc w:val="left"/>
      <w:lvlText w:val="(%1)"/>
      <w:numFmt w:val="lowerRoman"/>
      <w:start w:val="2"/>
    </w:lvl>
    <w:lvl w:ilvl="1">
      <w:lvlJc w:val="left"/>
      <w:lvlText w:val="(%2)"/>
      <w:numFmt w:val="upperLetter"/>
      <w:start w:val="1"/>
    </w:lvl>
  </w:abstractNum>
  <w:abstractNum w:abstractNumId="172">
    <w:nsid w:val="B13A31"/>
    <w:multiLevelType w:val="hybridMultilevel"/>
    <w:lvl w:ilvl="0">
      <w:lvlJc w:val="left"/>
      <w:lvlText w:val="(%1)"/>
      <w:numFmt w:val="lowerRoman"/>
      <w:start w:val="3"/>
    </w:lvl>
  </w:abstractNum>
  <w:abstractNum w:abstractNumId="173">
    <w:nsid w:val="64429599"/>
    <w:multiLevelType w:val="hybridMultilevel"/>
    <w:lvl w:ilvl="0">
      <w:lvlJc w:val="left"/>
      <w:lvlText w:val="(%1)"/>
      <w:numFmt w:val="lowerLetter"/>
      <w:start w:val="3"/>
    </w:lvl>
  </w:abstractNum>
  <w:abstractNum w:abstractNumId="174">
    <w:nsid w:val="631F1690"/>
    <w:multiLevelType w:val="hybridMultilevel"/>
    <w:lvl w:ilvl="0">
      <w:lvlJc w:val="left"/>
      <w:lvlText w:val="(%1)"/>
      <w:numFmt w:val="lowerLetter"/>
      <w:start w:val="4"/>
    </w:lvl>
  </w:abstractNum>
  <w:abstractNum w:abstractNumId="175">
    <w:nsid w:val="25973E32"/>
    <w:multiLevelType w:val="hybridMultilevel"/>
    <w:lvl w:ilvl="0">
      <w:lvlJc w:val="left"/>
      <w:lvlText w:val="(%1)"/>
      <w:numFmt w:val="lowerLetter"/>
      <w:start w:val="35"/>
    </w:lvl>
    <w:lvl w:ilvl="1">
      <w:lvlJc w:val="left"/>
      <w:lvlText w:val="(%2)"/>
      <w:numFmt w:val="lowerLetter"/>
      <w:start w:val="2"/>
    </w:lvl>
  </w:abstractNum>
  <w:abstractNum w:abstractNumId="176">
    <w:nsid w:val="EAD6F57"/>
    <w:multiLevelType w:val="hybridMultilevel"/>
    <w:lvl w:ilvl="0">
      <w:lvlJc w:val="left"/>
      <w:lvlText w:val="(%1)"/>
      <w:numFmt w:val="lowerLetter"/>
      <w:start w:val="2"/>
    </w:lvl>
  </w:abstractNum>
  <w:abstractNum w:abstractNumId="177">
    <w:nsid w:val="6EC9D844"/>
    <w:multiLevelType w:val="hybridMultilevel"/>
    <w:lvl w:ilvl="0">
      <w:lvlJc w:val="left"/>
      <w:lvlText w:val="(%1)"/>
      <w:numFmt w:val="lowerLetter"/>
      <w:start w:val="3"/>
    </w:lvl>
  </w:abstractNum>
  <w:abstractNum w:abstractNumId="178">
    <w:nsid w:val="5C49EAEE"/>
    <w:multiLevelType w:val="hybridMultilevel"/>
    <w:lvl w:ilvl="0">
      <w:lvlJc w:val="left"/>
      <w:lvlText w:val="(%1)"/>
      <w:numFmt w:val="lowerLetter"/>
      <w:start w:val="1"/>
    </w:lvl>
    <w:lvl w:ilvl="1">
      <w:lvlJc w:val="left"/>
      <w:lvlText w:val="(%2)"/>
      <w:numFmt w:val="lowerRoman"/>
      <w:start w:val="1"/>
    </w:lvl>
  </w:abstractNum>
  <w:abstractNum w:abstractNumId="179">
    <w:nsid w:val="64AF49B"/>
    <w:multiLevelType w:val="hybridMultilevel"/>
    <w:lvl w:ilvl="0">
      <w:lvlJc w:val="left"/>
      <w:lvlText w:val="(%1)"/>
      <w:numFmt w:val="lowerLetter"/>
      <w:start w:val="2"/>
    </w:lvl>
  </w:abstractNum>
  <w:abstractNum w:abstractNumId="180">
    <w:nsid w:val="397C46BC"/>
    <w:multiLevelType w:val="hybridMultilevel"/>
    <w:lvl w:ilvl="0">
      <w:lvlJc w:val="left"/>
      <w:lvlText w:val="(%1)"/>
      <w:numFmt w:val="lowerLetter"/>
      <w:start w:val="3"/>
    </w:lvl>
  </w:abstractNum>
  <w:abstractNum w:abstractNumId="181">
    <w:nsid w:val="7E448DE9"/>
    <w:multiLevelType w:val="hybridMultilevel"/>
    <w:lvl w:ilvl="0">
      <w:lvlJc w:val="left"/>
      <w:lvlText w:val="(%1)"/>
      <w:numFmt w:val="lowerLetter"/>
      <w:start w:val="2"/>
    </w:lvl>
  </w:abstractNum>
  <w:abstractNum w:abstractNumId="182">
    <w:nsid w:val="5A9CC3E5"/>
    <w:multiLevelType w:val="hybridMultilevel"/>
    <w:lvl w:ilvl="0">
      <w:lvlJc w:val="left"/>
      <w:lvlText w:val="(%1)"/>
      <w:numFmt w:val="lowerLetter"/>
      <w:start w:val="4"/>
    </w:lvl>
  </w:abstractNum>
  <w:abstractNum w:abstractNumId="183">
    <w:nsid w:val="1AFE3625"/>
    <w:multiLevelType w:val="hybridMultilevel"/>
    <w:lvl w:ilvl="0">
      <w:lvlJc w:val="left"/>
      <w:lvlText w:val="(%1)"/>
      <w:numFmt w:val="lowerLetter"/>
      <w:start w:val="8"/>
    </w:lvl>
  </w:abstractNum>
  <w:abstractNum w:abstractNumId="184">
    <w:nsid w:val="3CA88ECF"/>
    <w:multiLevelType w:val="hybridMultilevel"/>
    <w:lvl w:ilvl="0">
      <w:lvlJc w:val="left"/>
      <w:lvlText w:val="(%1)"/>
      <w:numFmt w:val="lowerRoman"/>
      <w:start w:val="1"/>
    </w:lvl>
  </w:abstractNum>
  <w:abstractNum w:abstractNumId="185">
    <w:nsid w:val="6EBE4208"/>
    <w:multiLevelType w:val="hybridMultilevel"/>
    <w:lvl w:ilvl="0">
      <w:lvlJc w:val="left"/>
      <w:lvlText w:val="%1."/>
      <w:numFmt w:val="decimal"/>
      <w:start w:val="6"/>
    </w:lvl>
  </w:abstractNum>
  <w:abstractNum w:abstractNumId="186">
    <w:nsid w:val="C058DF5"/>
    <w:multiLevelType w:val="hybridMultilevel"/>
    <w:lvl w:ilvl="0">
      <w:lvlJc w:val="left"/>
      <w:lvlText w:val="1"/>
      <w:numFmt w:val="bullet"/>
      <w:start w:val="1"/>
    </w:lvl>
  </w:abstractNum>
  <w:abstractNum w:abstractNumId="187">
    <w:nsid w:val="CBE5BE9"/>
    <w:multiLevelType w:val="hybridMultilevel"/>
    <w:lvl w:ilvl="0">
      <w:lvlJc w:val="left"/>
      <w:lvlText w:val="2"/>
      <w:numFmt w:val="bullet"/>
      <w:start w:val="1"/>
    </w:lvl>
  </w:abstractNum>
  <w:abstractNum w:abstractNumId="188">
    <w:nsid w:val="3102BBE2"/>
    <w:multiLevelType w:val="hybridMultilevel"/>
    <w:lvl w:ilvl="0">
      <w:lvlJc w:val="left"/>
      <w:lvlText w:val="4"/>
      <w:numFmt w:val="bullet"/>
      <w:start w:val="1"/>
    </w:lvl>
  </w:abstractNum>
  <w:abstractNum w:abstractNumId="189">
    <w:nsid w:val="26A02C5E"/>
    <w:multiLevelType w:val="hybridMultilevel"/>
    <w:lvl w:ilvl="0">
      <w:lvlJc w:val="left"/>
      <w:lvlText w:val="%1."/>
      <w:numFmt w:val="decimal"/>
      <w:start w:val="1"/>
    </w:lvl>
  </w:abstractNum>
  <w:abstractNum w:abstractNumId="190">
    <w:nsid w:val="541C8153"/>
    <w:multiLevelType w:val="hybridMultilevel"/>
    <w:lvl w:ilvl="0">
      <w:lvlJc w:val="left"/>
      <w:lvlText w:val="%1."/>
      <w:numFmt w:val="decimal"/>
      <w:start w:val="2"/>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decimal"/>
      <w:start w:val="30"/>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1."/>
      <w:numFmt w:val="decimal"/>
      <w:start w:val="4"/>
    </w:lvl>
  </w:abstractNum>
  <w:abstractNum w:abstractNumId="195">
    <w:nsid w:val="3A966CD0"/>
    <w:multiLevelType w:val="hybridMultilevel"/>
    <w:lvl w:ilvl="0">
      <w:lvlJc w:val="left"/>
      <w:lvlText w:val="(%1)"/>
      <w:numFmt w:val="lowerRoman"/>
      <w:start w:val="3"/>
    </w:lvl>
  </w:abstractNum>
  <w:abstractNum w:abstractNumId="196">
    <w:nsid w:val="63F37E85"/>
    <w:multiLevelType w:val="hybridMultilevel"/>
    <w:lvl w:ilvl="0">
      <w:lvlJc w:val="left"/>
      <w:lvlText w:val="(%1)"/>
      <w:numFmt w:val="decimal"/>
      <w:start w:val="2"/>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40" Type="http://schemas.openxmlformats.org/officeDocument/2006/relationships/hyperlink" Target="http://www.sec.gov/Archives/edgar/data/39092/000143774916043636/ex3-1.htm" TargetMode="External"/><Relationship Id="rId41" Type="http://schemas.openxmlformats.org/officeDocument/2006/relationships/hyperlink" Target="http://www.sec.gov/Archives/edgar/data/39092/000143774921027176/ex_309205.htm" TargetMode="External"/><Relationship Id="rId42" Type="http://schemas.openxmlformats.org/officeDocument/2006/relationships/hyperlink" Target="http://www.sec.gov/Archives/edgar/data/39092/000143774924034552/ex_745623.htm" TargetMode="External"/><Relationship Id="rId43" Type="http://schemas.openxmlformats.org/officeDocument/2006/relationships/hyperlink" Target="http://www.sec.gov/Archives/edgar/data/39092/000143774925028241/ex_8585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2026-02-09T16:04:35Z</dcterms:created>
  <dcterms:modified xsi:type="dcterms:W3CDTF">2026-02-09T16:04:35Z</dcterms:modified>
</cp:coreProperties>
</file>