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frd20260928_8k.htm"/>
      <w:bookmarkStart w:id="1" w:name="ksfrd20260928_8k"/>
      <w:bookmarkStart w:id="2" w:name="frd20260928_8k.htm"/>
      <w:bookmarkStart w:id="3" w:name="ksfrd20260928_8k"/>
      <w:bookmarkEnd w:id="2"/>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Form 8-K</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Date of Report </w:t>
      </w:r>
      <w:r>
        <w:rPr>
          <w:rFonts w:ascii="Times New Roman" w:hAnsi="Times New Roman"/>
          <w:caps w:val="false"/>
          <w:smallCaps w:val="false"/>
          <w:sz w:val="20"/>
        </w:rPr>
        <w:t>(Date of earliest event reported): </w:t>
      </w:r>
      <w:r>
        <w:rPr>
          <w:rFonts w:ascii="Times New Roman" w:hAnsi="Times New Roman"/>
          <w:b/>
          <w:caps w:val="false"/>
          <w:smallCaps w:val="false"/>
          <w:sz w:val="20"/>
        </w:rPr>
        <w:t>September 22,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Friedman Industries, Incorporated</w:t>
      </w:r>
      <w:r>
        <w:rPr>
          <w:rFonts w:ascii="Times New Roman" w:hAnsi="Times New Roman"/>
          <w:caps w:val="false"/>
          <w:smallCaps w:val="false"/>
          <w:sz w:val="32"/>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3200"/>
        <w:gridCol w:w="2210"/>
        <w:gridCol w:w="276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Texas</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1-07521</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74-1504405</w:t>
            </w:r>
          </w:p>
        </w:tc>
      </w:tr>
      <w:tr>
        <w:trPr/>
        <w:tc>
          <w:tcPr>
            <w:tcW w:w="32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(State or other jurisdiction</w:t>
            </w:r>
          </w:p>
        </w:tc>
        <w:tc>
          <w:tcPr>
            <w:tcW w:w="221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 Identification No.)</w:t>
            </w:r>
          </w:p>
        </w:tc>
      </w:tr>
      <w:tr>
        <w:trPr/>
        <w:tc>
          <w:tcPr>
            <w:tcW w:w="3200" w:type="dxa"/>
            <w:tcBorders/>
            <w:vAlign w:val="center"/>
          </w:tcPr>
          <w:p>
            <w:pPr>
              <w:pStyle w:val="TableContents"/>
              <w:bidi w:val="0"/>
              <w:spacing w:before="0" w:after="0"/>
              <w:ind w:left="0" w:right="0" w:hanging="0"/>
              <w:jc w:val="center"/>
              <w:rPr/>
            </w:pPr>
            <w:r>
              <w:rPr/>
              <w:t> </w:t>
            </w:r>
            <w:r>
              <w:rPr>
                <w:rFonts w:ascii="Times New Roman" w:hAnsi="Times New Roman"/>
                <w:sz w:val="20"/>
              </w:rPr>
              <w:t>of incorporation)</w:t>
            </w:r>
          </w:p>
        </w:tc>
        <w:tc>
          <w:tcPr>
            <w:tcW w:w="2210" w:type="dxa"/>
            <w:tcBorders/>
            <w:vAlign w:val="center"/>
          </w:tcPr>
          <w:p>
            <w:pPr>
              <w:pStyle w:val="TableContents"/>
              <w:bidi w:val="0"/>
              <w:spacing w:before="0" w:after="0"/>
              <w:ind w:left="0" w:right="0" w:hanging="0"/>
              <w:jc w:val="left"/>
              <w:rPr/>
            </w:pPr>
            <w:r>
              <w:rPr/>
              <w:t> </w:t>
            </w:r>
          </w:p>
        </w:tc>
        <w:tc>
          <w:tcPr>
            <w:tcW w:w="2765" w:type="dxa"/>
            <w:tcBorders/>
            <w:vAlign w:val="center"/>
          </w:tcPr>
          <w:p>
            <w:pPr>
              <w:pStyle w:val="TableContents"/>
              <w:bidi w:val="0"/>
              <w:spacing w:before="0" w:after="0"/>
              <w:ind w:left="0" w:right="0" w:hanging="0"/>
              <w:jc w:val="left"/>
              <w:rPr/>
            </w:pPr>
            <w:r>
              <w:rPr/>
              <w:t> </w:t>
            </w:r>
          </w:p>
        </w:tc>
      </w:tr>
      <w:tr>
        <w:trPr/>
        <w:tc>
          <w:tcPr>
            <w:tcW w:w="320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left"/>
              <w:rPr/>
            </w:pPr>
            <w:r>
              <w:rPr/>
              <w:t> </w:t>
            </w:r>
          </w:p>
        </w:tc>
        <w:tc>
          <w:tcPr>
            <w:tcW w:w="2765" w:type="dxa"/>
            <w:tcBorders/>
            <w:vAlign w:val="center"/>
          </w:tcPr>
          <w:p>
            <w:pPr>
              <w:pStyle w:val="TableContents"/>
              <w:bidi w:val="0"/>
              <w:spacing w:before="0" w:after="0"/>
              <w:ind w:left="0" w:right="0" w:hanging="0"/>
              <w:jc w:val="left"/>
              <w:rPr/>
            </w:pPr>
            <w:r>
              <w:rPr/>
              <w:t> </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1121 Judson Rd., Suite 124</w:t>
            </w:r>
          </w:p>
        </w:tc>
        <w:tc>
          <w:tcPr>
            <w:tcW w:w="2210" w:type="dxa"/>
            <w:tcBorders/>
            <w:vAlign w:val="center"/>
          </w:tcPr>
          <w:p>
            <w:pPr>
              <w:pStyle w:val="TableContents"/>
              <w:bidi w:val="0"/>
              <w:spacing w:before="0" w:after="0"/>
              <w:ind w:left="0" w:right="0" w:hanging="0"/>
              <w:jc w:val="left"/>
              <w:rPr/>
            </w:pPr>
            <w:r>
              <w:rPr/>
              <w:t> </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75601</w:t>
            </w:r>
          </w:p>
        </w:tc>
      </w:tr>
      <w:tr>
        <w:trPr/>
        <w:tc>
          <w:tcPr>
            <w:tcW w:w="320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Longview, Texas</w:t>
            </w:r>
          </w:p>
        </w:tc>
        <w:tc>
          <w:tcPr>
            <w:tcW w:w="2210" w:type="dxa"/>
            <w:tcBorders/>
            <w:vAlign w:val="center"/>
          </w:tcPr>
          <w:p>
            <w:pPr>
              <w:pStyle w:val="TableContents"/>
              <w:bidi w:val="0"/>
              <w:spacing w:before="0" w:after="0"/>
              <w:ind w:left="0" w:right="0" w:hanging="0"/>
              <w:jc w:val="left"/>
              <w:rPr/>
            </w:pPr>
            <w:r>
              <w:rPr/>
              <w:t> </w:t>
            </w:r>
          </w:p>
        </w:tc>
        <w:tc>
          <w:tcPr>
            <w:tcW w:w="276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(Zip Code)</w:t>
            </w:r>
          </w:p>
        </w:tc>
      </w:tr>
      <w:tr>
        <w:trPr/>
        <w:tc>
          <w:tcPr>
            <w:tcW w:w="32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2210" w:type="dxa"/>
            <w:tcBorders/>
            <w:vAlign w:val="center"/>
          </w:tcPr>
          <w:p>
            <w:pPr>
              <w:pStyle w:val="TableContents"/>
              <w:bidi w:val="0"/>
              <w:spacing w:before="0" w:after="0"/>
              <w:ind w:left="0" w:right="0" w:hanging="0"/>
              <w:jc w:val="left"/>
              <w:rPr/>
            </w:pPr>
            <w:r>
              <w:rPr/>
              <w:t> </w:t>
            </w:r>
          </w:p>
        </w:tc>
        <w:tc>
          <w:tcPr>
            <w:tcW w:w="276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(903) 758-3431</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165" w:type="dxa"/>
        <w:jc w:val="left"/>
        <w:tblInd w:w="0" w:type="dxa"/>
        <w:tblLayout w:type="fixed"/>
        <w:tblCellMar>
          <w:top w:w="0" w:type="dxa"/>
          <w:left w:w="0" w:type="dxa"/>
          <w:bottom w:w="0" w:type="dxa"/>
          <w:right w:w="0" w:type="dxa"/>
        </w:tblCellMar>
      </w:tblPr>
      <w:tblGrid>
        <w:gridCol w:w="2405"/>
        <w:gridCol w:w="1415"/>
        <w:gridCol w:w="2345"/>
      </w:tblGrid>
      <w:tr>
        <w:trPr/>
        <w:tc>
          <w:tcPr>
            <w:tcW w:w="240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4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w:t>
            </w:r>
          </w:p>
        </w:tc>
        <w:tc>
          <w:tcPr>
            <w:tcW w:w="23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Name</w:t>
            </w:r>
            <w:r>
              <w:rPr>
                <w:rFonts w:ascii="Times New Roman" w:hAnsi="Times New Roman"/>
                <w:caps w:val="false"/>
                <w:smallCaps w:val="false"/>
                <w:sz w:val="20"/>
              </w:rPr>
              <w:t> </w:t>
            </w:r>
            <w:r>
              <w:rPr>
                <w:rFonts w:ascii="Times New Roman" w:hAnsi="Times New Roman"/>
                <w:b/>
                <w:caps w:val="false"/>
                <w:smallCaps w:val="false"/>
                <w:sz w:val="20"/>
              </w:rPr>
              <w:t>of</w:t>
            </w:r>
            <w:r>
              <w:rPr>
                <w:rFonts w:ascii="Times New Roman" w:hAnsi="Times New Roman"/>
                <w:caps w:val="false"/>
                <w:smallCaps w:val="false"/>
                <w:sz w:val="20"/>
              </w:rPr>
              <w:t> </w:t>
            </w:r>
            <w:r>
              <w:rPr>
                <w:rFonts w:ascii="Times New Roman" w:hAnsi="Times New Roman"/>
                <w:b/>
                <w:caps w:val="false"/>
                <w:smallCaps w:val="false"/>
                <w:sz w:val="20"/>
              </w:rPr>
              <w:t>each</w:t>
            </w:r>
            <w:r>
              <w:rPr>
                <w:rFonts w:ascii="Times New Roman" w:hAnsi="Times New Roman"/>
                <w:caps w:val="false"/>
                <w:smallCaps w:val="false"/>
                <w:sz w:val="20"/>
              </w:rPr>
              <w:t> </w:t>
            </w:r>
            <w:r>
              <w:rPr>
                <w:rFonts w:ascii="Times New Roman" w:hAnsi="Times New Roman"/>
                <w:b/>
                <w:caps w:val="false"/>
                <w:smallCaps w:val="false"/>
                <w:sz w:val="20"/>
              </w:rPr>
              <w:t>exchange</w:t>
            </w:r>
            <w:r>
              <w:rPr>
                <w:rFonts w:ascii="Times New Roman" w:hAnsi="Times New Roman"/>
                <w:caps w:val="false"/>
                <w:smallCaps w:val="false"/>
                <w:sz w:val="20"/>
              </w:rPr>
              <w:t xml:space="preserve"> </w:t>
              <w:br/>
            </w:r>
            <w:r>
              <w:rPr>
                <w:rFonts w:ascii="Times New Roman" w:hAnsi="Times New Roman"/>
                <w:b/>
                <w:caps w:val="false"/>
                <w:smallCaps w:val="false"/>
                <w:sz w:val="20"/>
                <w:u w:val="single"/>
              </w:rPr>
              <w:t>onwhichregistered</w:t>
            </w:r>
          </w:p>
        </w:tc>
      </w:tr>
      <w:tr>
        <w:trPr/>
        <w:tc>
          <w:tcPr>
            <w:tcW w:w="24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$1 Par Value</w:t>
            </w:r>
          </w:p>
        </w:tc>
        <w:tc>
          <w:tcPr>
            <w:tcW w:w="14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FRD</w:t>
            </w:r>
          </w:p>
        </w:tc>
        <w:tc>
          <w:tcPr>
            <w:tcW w:w="23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5.07 Submission of Matters to a Vote of Security 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22, 2026, Friedman Industries, Incorporated (the “Company”) held its Annual Meeting of Shareholders. At the meeting, the shareholders voted on the election of six directors of the Company to hold office until the next Annual Meeting of Shareholders or until their respective successors are duly elected and qualified. The six nominees of the Board of Directors of the Company were elected at the meeting. The number of shares voted for and withheld with respect to each of the nominees were as follows:</w:t>
      </w:r>
    </w:p>
    <w:p>
      <w:pPr>
        <w:pStyle w:val="TextBody"/>
        <w:bidi w:val="0"/>
        <w:spacing w:before="0" w:after="0"/>
        <w:ind w:left="0" w:right="0" w:hanging="0"/>
        <w:jc w:val="left"/>
        <w:rPr>
          <w:caps w:val="false"/>
          <w:smallCaps w:val="false"/>
        </w:rPr>
      </w:pPr>
      <w:r>
        <w:rPr>
          <w:caps w:val="false"/>
          <w:smallCaps w:val="false"/>
        </w:rPr>
        <w:t> </w:t>
      </w:r>
    </w:p>
    <w:tbl>
      <w:tblPr>
        <w:tblW w:w="4290" w:type="dxa"/>
        <w:jc w:val="left"/>
        <w:tblInd w:w="0" w:type="dxa"/>
        <w:tblLayout w:type="fixed"/>
        <w:tblCellMar>
          <w:top w:w="0" w:type="dxa"/>
          <w:left w:w="0" w:type="dxa"/>
          <w:bottom w:w="28" w:type="dxa"/>
          <w:right w:w="0" w:type="dxa"/>
        </w:tblCellMar>
      </w:tblPr>
      <w:tblGrid>
        <w:gridCol w:w="1445"/>
        <w:gridCol w:w="23"/>
        <w:gridCol w:w="37"/>
        <w:gridCol w:w="1362"/>
        <w:gridCol w:w="23"/>
        <w:gridCol w:w="23"/>
        <w:gridCol w:w="43"/>
        <w:gridCol w:w="1311"/>
        <w:gridCol w:w="23"/>
      </w:tblGrid>
      <w:tr>
        <w:trPr/>
        <w:tc>
          <w:tcPr>
            <w:tcW w:w="1445" w:type="dxa"/>
            <w:tcBorders>
              <w:bottom w:val="single" w:sz="2" w:space="0" w:color="000000"/>
            </w:tcBorders>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Nominee</w:t>
            </w:r>
          </w:p>
        </w:tc>
        <w:tc>
          <w:tcPr>
            <w:tcW w:w="23" w:type="dxa"/>
            <w:tcBorders/>
            <w:tcMar>
              <w:bottom w:w="0" w:type="dxa"/>
            </w:tcMar>
            <w:vAlign w:val="center"/>
          </w:tcPr>
          <w:p>
            <w:pPr>
              <w:pStyle w:val="TableContents"/>
              <w:bidi w:val="0"/>
              <w:spacing w:before="0" w:after="0"/>
              <w:ind w:left="0" w:right="0" w:hanging="0"/>
              <w:jc w:val="left"/>
              <w:rPr/>
            </w:pPr>
            <w:r>
              <w:rPr/>
              <w:t>​</w:t>
            </w:r>
          </w:p>
        </w:tc>
        <w:tc>
          <w:tcPr>
            <w:tcW w:w="1399"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Shares Voted For</w:t>
            </w:r>
          </w:p>
        </w:tc>
        <w:tc>
          <w:tcPr>
            <w:tcW w:w="23" w:type="dxa"/>
            <w:tcBorders/>
            <w:tcMar>
              <w:bottom w:w="0" w:type="dxa"/>
            </w:tcMar>
            <w:vAlign w:val="center"/>
          </w:tcPr>
          <w:p>
            <w:pPr>
              <w:pStyle w:val="TableContents"/>
              <w:bidi w:val="0"/>
              <w:spacing w:before="0" w:after="0"/>
              <w:ind w:left="0" w:right="0" w:hanging="0"/>
              <w:jc w:val="left"/>
              <w:rPr/>
            </w:pPr>
            <w:r>
              <w:rPr/>
              <w:t>​</w:t>
            </w:r>
          </w:p>
        </w:tc>
        <w:tc>
          <w:tcPr>
            <w:tcW w:w="23" w:type="dxa"/>
            <w:tcBorders/>
            <w:tcMar>
              <w:bottom w:w="0" w:type="dxa"/>
            </w:tcMar>
            <w:vAlign w:val="center"/>
          </w:tcPr>
          <w:p>
            <w:pPr>
              <w:pStyle w:val="TableContents"/>
              <w:bidi w:val="0"/>
              <w:spacing w:before="0" w:after="0"/>
              <w:ind w:left="0" w:right="0" w:hanging="0"/>
              <w:jc w:val="left"/>
              <w:rPr/>
            </w:pPr>
            <w:r>
              <w:rPr/>
              <w:t>​</w:t>
            </w:r>
          </w:p>
        </w:tc>
        <w:tc>
          <w:tcPr>
            <w:tcW w:w="1354"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Shares Withheld</w:t>
            </w:r>
          </w:p>
        </w:tc>
        <w:tc>
          <w:tcPr>
            <w:tcW w:w="23" w:type="dxa"/>
            <w:tcBorders/>
            <w:tcMar>
              <w:bottom w:w="0" w:type="dxa"/>
            </w:tcMar>
            <w:vAlign w:val="center"/>
          </w:tcPr>
          <w:p>
            <w:pPr>
              <w:pStyle w:val="TableContents"/>
              <w:bidi w:val="0"/>
              <w:spacing w:before="0" w:after="0"/>
              <w:ind w:left="0" w:right="0" w:hanging="0"/>
              <w:jc w:val="left"/>
              <w:rPr/>
            </w:pPr>
            <w:r>
              <w:rPr/>
              <w:t>​</w:t>
            </w:r>
          </w:p>
        </w:tc>
      </w:tr>
      <w:tr>
        <w:trPr/>
        <w:tc>
          <w:tcPr>
            <w:tcW w:w="1445"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Michael J. Taylor</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37" w:type="dxa"/>
            <w:tcBorders/>
            <w:shd w:fill="CCEEFF" w:val="clear"/>
            <w:tcMar>
              <w:bottom w:w="0" w:type="dxa"/>
            </w:tcMar>
            <w:vAlign w:val="center"/>
          </w:tcPr>
          <w:p>
            <w:pPr>
              <w:pStyle w:val="TableContents"/>
              <w:bidi w:val="0"/>
              <w:spacing w:before="0" w:after="0"/>
              <w:ind w:left="0" w:right="0" w:hanging="0"/>
              <w:jc w:val="left"/>
              <w:rPr/>
            </w:pPr>
            <w:r>
              <w:rPr/>
              <w:t>​</w:t>
            </w:r>
          </w:p>
        </w:tc>
        <w:tc>
          <w:tcPr>
            <w:tcW w:w="136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4,140,946</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43" w:type="dxa"/>
            <w:tcBorders/>
            <w:shd w:fill="CCEEFF" w:val="clear"/>
            <w:tcMar>
              <w:bottom w:w="0" w:type="dxa"/>
            </w:tcMar>
            <w:vAlign w:val="center"/>
          </w:tcPr>
          <w:p>
            <w:pPr>
              <w:pStyle w:val="TableContents"/>
              <w:bidi w:val="0"/>
              <w:spacing w:before="0" w:after="0"/>
              <w:ind w:left="0" w:right="0" w:hanging="0"/>
              <w:jc w:val="left"/>
              <w:rPr/>
            </w:pPr>
            <w:r>
              <w:rPr/>
              <w:t>​</w:t>
            </w:r>
          </w:p>
        </w:tc>
        <w:tc>
          <w:tcPr>
            <w:tcW w:w="131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13,436</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445"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Michael Hanson</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37" w:type="dxa"/>
            <w:tcBorders/>
            <w:shd w:fill="FFFFFF" w:val="clear"/>
            <w:tcMar>
              <w:bottom w:w="0" w:type="dxa"/>
            </w:tcMar>
            <w:vAlign w:val="center"/>
          </w:tcPr>
          <w:p>
            <w:pPr>
              <w:pStyle w:val="TableContents"/>
              <w:bidi w:val="0"/>
              <w:spacing w:before="0" w:after="0"/>
              <w:ind w:left="0" w:right="0" w:hanging="0"/>
              <w:jc w:val="left"/>
              <w:rPr/>
            </w:pPr>
            <w:r>
              <w:rPr/>
              <w:t>​</w:t>
            </w:r>
          </w:p>
        </w:tc>
        <w:tc>
          <w:tcPr>
            <w:tcW w:w="136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4,124,235</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43" w:type="dxa"/>
            <w:tcBorders/>
            <w:shd w:fill="FFFFFF" w:val="clear"/>
            <w:tcMar>
              <w:bottom w:w="0" w:type="dxa"/>
            </w:tcMar>
            <w:vAlign w:val="center"/>
          </w:tcPr>
          <w:p>
            <w:pPr>
              <w:pStyle w:val="TableContents"/>
              <w:bidi w:val="0"/>
              <w:spacing w:before="0" w:after="0"/>
              <w:ind w:left="0" w:right="0" w:hanging="0"/>
              <w:jc w:val="left"/>
              <w:rPr/>
            </w:pPr>
            <w:r>
              <w:rPr/>
              <w:t>​</w:t>
            </w:r>
          </w:p>
        </w:tc>
        <w:tc>
          <w:tcPr>
            <w:tcW w:w="131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30,147</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1445"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Max Reichenthal</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37" w:type="dxa"/>
            <w:tcBorders/>
            <w:shd w:fill="CCEEFF" w:val="clear"/>
            <w:tcMar>
              <w:bottom w:w="0" w:type="dxa"/>
            </w:tcMar>
            <w:vAlign w:val="center"/>
          </w:tcPr>
          <w:p>
            <w:pPr>
              <w:pStyle w:val="TableContents"/>
              <w:bidi w:val="0"/>
              <w:spacing w:before="0" w:after="0"/>
              <w:ind w:left="0" w:right="0" w:hanging="0"/>
              <w:jc w:val="left"/>
              <w:rPr/>
            </w:pPr>
            <w:r>
              <w:rPr/>
              <w:t>​</w:t>
            </w:r>
          </w:p>
        </w:tc>
        <w:tc>
          <w:tcPr>
            <w:tcW w:w="136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4,131,049</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43" w:type="dxa"/>
            <w:tcBorders/>
            <w:shd w:fill="CCEEFF" w:val="clear"/>
            <w:tcMar>
              <w:bottom w:w="0" w:type="dxa"/>
            </w:tcMar>
            <w:vAlign w:val="center"/>
          </w:tcPr>
          <w:p>
            <w:pPr>
              <w:pStyle w:val="TableContents"/>
              <w:bidi w:val="0"/>
              <w:spacing w:before="0" w:after="0"/>
              <w:ind w:left="0" w:right="0" w:hanging="0"/>
              <w:jc w:val="left"/>
              <w:rPr/>
            </w:pPr>
            <w:r>
              <w:rPr/>
              <w:t>​</w:t>
            </w:r>
          </w:p>
        </w:tc>
        <w:tc>
          <w:tcPr>
            <w:tcW w:w="131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23,333</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445"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Sandy Scott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37" w:type="dxa"/>
            <w:tcBorders/>
            <w:shd w:fill="FFFFFF" w:val="clear"/>
            <w:tcMar>
              <w:bottom w:w="0" w:type="dxa"/>
            </w:tcMar>
            <w:vAlign w:val="center"/>
          </w:tcPr>
          <w:p>
            <w:pPr>
              <w:pStyle w:val="TableContents"/>
              <w:bidi w:val="0"/>
              <w:spacing w:before="0" w:after="0"/>
              <w:ind w:left="0" w:right="0" w:hanging="0"/>
              <w:jc w:val="left"/>
              <w:rPr/>
            </w:pPr>
            <w:r>
              <w:rPr/>
              <w:t>​</w:t>
            </w:r>
          </w:p>
        </w:tc>
        <w:tc>
          <w:tcPr>
            <w:tcW w:w="136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3,656,017</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43" w:type="dxa"/>
            <w:tcBorders/>
            <w:shd w:fill="FFFFFF" w:val="clear"/>
            <w:tcMar>
              <w:bottom w:w="0" w:type="dxa"/>
            </w:tcMar>
            <w:vAlign w:val="center"/>
          </w:tcPr>
          <w:p>
            <w:pPr>
              <w:pStyle w:val="TableContents"/>
              <w:bidi w:val="0"/>
              <w:spacing w:before="0" w:after="0"/>
              <w:ind w:left="0" w:right="0" w:hanging="0"/>
              <w:jc w:val="left"/>
              <w:rPr/>
            </w:pPr>
            <w:r>
              <w:rPr/>
              <w:t>​</w:t>
            </w:r>
          </w:p>
        </w:tc>
        <w:tc>
          <w:tcPr>
            <w:tcW w:w="131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498,365</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1445"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Sharon Taylor</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37" w:type="dxa"/>
            <w:tcBorders/>
            <w:shd w:fill="CCEEFF" w:val="clear"/>
            <w:tcMar>
              <w:bottom w:w="0" w:type="dxa"/>
            </w:tcMar>
            <w:vAlign w:val="center"/>
          </w:tcPr>
          <w:p>
            <w:pPr>
              <w:pStyle w:val="TableContents"/>
              <w:bidi w:val="0"/>
              <w:spacing w:before="0" w:after="0"/>
              <w:ind w:left="0" w:right="0" w:hanging="0"/>
              <w:jc w:val="left"/>
              <w:rPr/>
            </w:pPr>
            <w:r>
              <w:rPr/>
              <w:t>​</w:t>
            </w:r>
          </w:p>
        </w:tc>
        <w:tc>
          <w:tcPr>
            <w:tcW w:w="136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4,130,782</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43" w:type="dxa"/>
            <w:tcBorders/>
            <w:shd w:fill="CCEEFF" w:val="clear"/>
            <w:tcMar>
              <w:bottom w:w="0" w:type="dxa"/>
            </w:tcMar>
            <w:vAlign w:val="center"/>
          </w:tcPr>
          <w:p>
            <w:pPr>
              <w:pStyle w:val="TableContents"/>
              <w:bidi w:val="0"/>
              <w:spacing w:before="0" w:after="0"/>
              <w:ind w:left="0" w:right="0" w:hanging="0"/>
              <w:jc w:val="left"/>
              <w:rPr/>
            </w:pPr>
            <w:r>
              <w:rPr/>
              <w:t>​</w:t>
            </w:r>
          </w:p>
        </w:tc>
        <w:tc>
          <w:tcPr>
            <w:tcW w:w="131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23,600</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445"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Joe L. Williams</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37" w:type="dxa"/>
            <w:tcBorders/>
            <w:shd w:fill="FFFFFF" w:val="clear"/>
            <w:tcMar>
              <w:bottom w:w="0" w:type="dxa"/>
            </w:tcMar>
            <w:vAlign w:val="center"/>
          </w:tcPr>
          <w:p>
            <w:pPr>
              <w:pStyle w:val="TableContents"/>
              <w:bidi w:val="0"/>
              <w:spacing w:before="0" w:after="0"/>
              <w:ind w:left="0" w:right="0" w:hanging="0"/>
              <w:jc w:val="left"/>
              <w:rPr/>
            </w:pPr>
            <w:r>
              <w:rPr/>
              <w:t>​</w:t>
            </w:r>
          </w:p>
        </w:tc>
        <w:tc>
          <w:tcPr>
            <w:tcW w:w="136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3,743,795</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43" w:type="dxa"/>
            <w:tcBorders/>
            <w:shd w:fill="FFFFFF" w:val="clear"/>
            <w:tcMar>
              <w:bottom w:w="0" w:type="dxa"/>
            </w:tcMar>
            <w:vAlign w:val="center"/>
          </w:tcPr>
          <w:p>
            <w:pPr>
              <w:pStyle w:val="TableContents"/>
              <w:bidi w:val="0"/>
              <w:spacing w:before="0" w:after="0"/>
              <w:ind w:left="0" w:right="0" w:hanging="0"/>
              <w:jc w:val="left"/>
              <w:rPr/>
            </w:pPr>
            <w:r>
              <w:rPr/>
              <w:t>​</w:t>
            </w:r>
          </w:p>
        </w:tc>
        <w:tc>
          <w:tcPr>
            <w:tcW w:w="131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410,587</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shareholders also voted on the following non-binding, advisory resolution regarding the compensation of the Company’s executive officers: “Resolved, that the shareholders approve the compensation of the Company’s Named Executive Officers as disclosed in the Company’s 2026 proxy statement pursuant to the disclosure rules of the U.S. Securities and Exchange Commission (which disclosure includes the Summary Compensation Table and related discussion).” The number of shares that were voted for, voted against or abstained from voting on the approval of the non-binding, advisory resolution regarding the compensation of the Company’s executive officers are as follows:</w:t>
      </w:r>
    </w:p>
    <w:p>
      <w:pPr>
        <w:pStyle w:val="TextBody"/>
        <w:bidi w:val="0"/>
        <w:spacing w:before="0" w:after="0"/>
        <w:ind w:left="0" w:right="0" w:hanging="0"/>
        <w:jc w:val="left"/>
        <w:rPr>
          <w:caps w:val="false"/>
          <w:smallCaps w:val="false"/>
        </w:rPr>
      </w:pPr>
      <w:r>
        <w:rPr>
          <w:caps w:val="false"/>
          <w:smallCaps w:val="false"/>
        </w:rPr>
        <w:t> </w:t>
      </w:r>
    </w:p>
    <w:tbl>
      <w:tblPr>
        <w:tblW w:w="1564" w:type="dxa"/>
        <w:jc w:val="left"/>
        <w:tblInd w:w="0" w:type="dxa"/>
        <w:tblLayout w:type="fixed"/>
        <w:tblCellMar>
          <w:top w:w="0" w:type="dxa"/>
          <w:left w:w="0" w:type="dxa"/>
          <w:bottom w:w="0" w:type="dxa"/>
          <w:right w:w="0" w:type="dxa"/>
        </w:tblCellMar>
      </w:tblPr>
      <w:tblGrid>
        <w:gridCol w:w="650"/>
        <w:gridCol w:w="23"/>
        <w:gridCol w:w="23"/>
        <w:gridCol w:w="845"/>
        <w:gridCol w:w="23"/>
      </w:tblGrid>
      <w:tr>
        <w:trPr/>
        <w:tc>
          <w:tcPr>
            <w:tcW w:w="65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Shares</w:t>
            </w:r>
          </w:p>
        </w:tc>
        <w:tc>
          <w:tcPr>
            <w:tcW w:w="23" w:type="dxa"/>
            <w:tcBorders/>
            <w:vAlign w:val="center"/>
          </w:tcPr>
          <w:p>
            <w:pPr>
              <w:pStyle w:val="TableContents"/>
              <w:bidi w:val="0"/>
              <w:spacing w:before="0" w:after="0"/>
              <w:ind w:left="0" w:right="0" w:hanging="0"/>
              <w:jc w:val="left"/>
              <w:rPr/>
            </w:pPr>
            <w:r>
              <w:rPr/>
              <w:t>​</w:t>
            </w:r>
          </w:p>
        </w:tc>
      </w:tr>
      <w:tr>
        <w:trPr/>
        <w:tc>
          <w:tcPr>
            <w:tcW w:w="65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For</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4,034,540</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65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Against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98,253</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65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Abstain</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21,589</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shareholders also voted to ratify the selection of Baker Tilly US, LLP as the Company’s independent registered public accounting firm for the fiscal year ending March 31, 2027. The number of shares that were voted for, voted against or abstained from voting on the ratification of the selection of Baker Tilly US, LLP as the Company’s independent registered public accounting firm for the fiscal year ending March 31, 2027 are as follows:</w:t>
      </w:r>
    </w:p>
    <w:p>
      <w:pPr>
        <w:pStyle w:val="TextBody"/>
        <w:bidi w:val="0"/>
        <w:spacing w:before="0" w:after="0"/>
        <w:ind w:left="0" w:right="0" w:hanging="0"/>
        <w:jc w:val="left"/>
        <w:rPr>
          <w:caps w:val="false"/>
          <w:smallCaps w:val="false"/>
        </w:rPr>
      </w:pPr>
      <w:r>
        <w:rPr>
          <w:caps w:val="false"/>
          <w:smallCaps w:val="false"/>
        </w:rPr>
        <w:t> </w:t>
      </w:r>
    </w:p>
    <w:tbl>
      <w:tblPr>
        <w:tblW w:w="1564" w:type="dxa"/>
        <w:jc w:val="left"/>
        <w:tblInd w:w="0" w:type="dxa"/>
        <w:tblLayout w:type="fixed"/>
        <w:tblCellMar>
          <w:top w:w="0" w:type="dxa"/>
          <w:left w:w="0" w:type="dxa"/>
          <w:bottom w:w="0" w:type="dxa"/>
          <w:right w:w="0" w:type="dxa"/>
        </w:tblCellMar>
      </w:tblPr>
      <w:tblGrid>
        <w:gridCol w:w="650"/>
        <w:gridCol w:w="23"/>
        <w:gridCol w:w="23"/>
        <w:gridCol w:w="845"/>
        <w:gridCol w:w="23"/>
      </w:tblGrid>
      <w:tr>
        <w:trPr/>
        <w:tc>
          <w:tcPr>
            <w:tcW w:w="65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Shares</w:t>
            </w:r>
          </w:p>
        </w:tc>
        <w:tc>
          <w:tcPr>
            <w:tcW w:w="23" w:type="dxa"/>
            <w:tcBorders/>
            <w:vAlign w:val="center"/>
          </w:tcPr>
          <w:p>
            <w:pPr>
              <w:pStyle w:val="TableContents"/>
              <w:bidi w:val="0"/>
              <w:spacing w:before="0" w:after="0"/>
              <w:ind w:left="0" w:right="0" w:hanging="0"/>
              <w:jc w:val="left"/>
              <w:rPr/>
            </w:pPr>
            <w:r>
              <w:rPr/>
              <w:t>​</w:t>
            </w:r>
          </w:p>
        </w:tc>
      </w:tr>
      <w:tr>
        <w:trPr/>
        <w:tc>
          <w:tcPr>
            <w:tcW w:w="65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For</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5,946,451</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65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Against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4,927</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65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Abstain</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3,076</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shareholders also voted on an amendment to the Company’s Articles of Incorporation to allow shareholders the ability to amend the Company’s Bylaws. The amendment to the Company’s Articles of Incorporation was not approved because the affirmative votes received were less than two-thirds of the Company’s outstanding shares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number of the shares of Common Stock represented at the meeting that were voted for, voted against, or abstained from voting on the amendment to the Company’s Articles of Incorporation to allow shareholders the ability to amend the Company’s Bylaws are set forth below:</w:t>
      </w:r>
    </w:p>
    <w:p>
      <w:pPr>
        <w:pStyle w:val="TextBody"/>
        <w:bidi w:val="0"/>
        <w:spacing w:before="0" w:after="0"/>
        <w:ind w:left="0" w:right="0" w:hanging="0"/>
        <w:jc w:val="left"/>
        <w:rPr>
          <w:caps w:val="false"/>
          <w:smallCaps w:val="false"/>
        </w:rPr>
      </w:pPr>
      <w:r>
        <w:rPr>
          <w:caps w:val="false"/>
          <w:smallCaps w:val="false"/>
        </w:rPr>
        <w:t> </w:t>
      </w:r>
    </w:p>
    <w:tbl>
      <w:tblPr>
        <w:tblW w:w="1564" w:type="dxa"/>
        <w:jc w:val="left"/>
        <w:tblInd w:w="0" w:type="dxa"/>
        <w:tblLayout w:type="fixed"/>
        <w:tblCellMar>
          <w:top w:w="0" w:type="dxa"/>
          <w:left w:w="0" w:type="dxa"/>
          <w:bottom w:w="0" w:type="dxa"/>
          <w:right w:w="0" w:type="dxa"/>
        </w:tblCellMar>
      </w:tblPr>
      <w:tblGrid>
        <w:gridCol w:w="650"/>
        <w:gridCol w:w="23"/>
        <w:gridCol w:w="23"/>
        <w:gridCol w:w="845"/>
        <w:gridCol w:w="23"/>
      </w:tblGrid>
      <w:tr>
        <w:trPr/>
        <w:tc>
          <w:tcPr>
            <w:tcW w:w="65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Shares</w:t>
            </w:r>
          </w:p>
        </w:tc>
        <w:tc>
          <w:tcPr>
            <w:tcW w:w="23" w:type="dxa"/>
            <w:tcBorders/>
            <w:vAlign w:val="center"/>
          </w:tcPr>
          <w:p>
            <w:pPr>
              <w:pStyle w:val="TableContents"/>
              <w:bidi w:val="0"/>
              <w:spacing w:before="0" w:after="0"/>
              <w:ind w:left="0" w:right="0" w:hanging="0"/>
              <w:jc w:val="left"/>
              <w:rPr/>
            </w:pPr>
            <w:r>
              <w:rPr/>
              <w:t>​</w:t>
            </w:r>
          </w:p>
        </w:tc>
      </w:tr>
      <w:tr>
        <w:trPr/>
        <w:tc>
          <w:tcPr>
            <w:tcW w:w="65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For</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4,090,173</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65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Against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58,200</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65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Abstain</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6,009</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September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 w:name="signature-table"/>
      <w:bookmarkStart w:id="5" w:name="signature-table"/>
      <w:bookmarkEnd w:id="5"/>
    </w:p>
    <w:tbl>
      <w:tblPr>
        <w:tblW w:w="4300" w:type="dxa"/>
        <w:jc w:val="left"/>
        <w:tblInd w:w="0" w:type="dxa"/>
        <w:tblLayout w:type="fixed"/>
        <w:tblCellMar>
          <w:top w:w="0" w:type="dxa"/>
          <w:left w:w="0" w:type="dxa"/>
          <w:bottom w:w="0" w:type="dxa"/>
          <w:right w:w="0" w:type="dxa"/>
        </w:tblCellMar>
      </w:tblPr>
      <w:tblGrid>
        <w:gridCol w:w="60"/>
        <w:gridCol w:w="320"/>
        <w:gridCol w:w="3920"/>
      </w:tblGrid>
      <w:tr>
        <w:trPr/>
        <w:tc>
          <w:tcPr>
            <w:tcW w:w="60" w:type="dxa"/>
            <w:tcBorders/>
            <w:vAlign w:val="center"/>
          </w:tcPr>
          <w:p>
            <w:pPr>
              <w:pStyle w:val="TableContents"/>
              <w:bidi w:val="0"/>
              <w:spacing w:before="0" w:after="0"/>
              <w:ind w:left="0" w:right="0" w:hanging="0"/>
              <w:jc w:val="left"/>
              <w:rPr/>
            </w:pPr>
            <w:r>
              <w:rPr/>
              <w:t> </w:t>
            </w:r>
          </w:p>
        </w:tc>
        <w:tc>
          <w:tcPr>
            <w:tcW w:w="4240" w:type="dxa"/>
            <w:gridSpan w:val="2"/>
            <w:tcBorders/>
          </w:tcPr>
          <w:p>
            <w:pPr>
              <w:pStyle w:val="TableContents"/>
              <w:bidi w:val="0"/>
              <w:spacing w:before="0" w:after="0"/>
              <w:jc w:val="left"/>
              <w:rPr>
                <w:rFonts w:ascii="Times New Roman" w:hAnsi="Times New Roman"/>
                <w:sz w:val="20"/>
              </w:rPr>
            </w:pPr>
            <w:r>
              <w:rPr>
                <w:rFonts w:ascii="Times New Roman" w:hAnsi="Times New Roman"/>
                <w:sz w:val="20"/>
              </w:rPr>
              <w:t>FRIEDMAN INDUSTRIES, INCORPORATED</w:t>
            </w:r>
          </w:p>
        </w:tc>
      </w:tr>
      <w:tr>
        <w:trPr/>
        <w:tc>
          <w:tcPr>
            <w:tcW w:w="60" w:type="dxa"/>
            <w:tcBorders/>
            <w:vAlign w:val="center"/>
          </w:tcPr>
          <w:p>
            <w:pPr>
              <w:pStyle w:val="TableContents"/>
              <w:bidi w:val="0"/>
              <w:spacing w:before="0" w:after="0"/>
              <w:ind w:left="0" w:right="0" w:hanging="0"/>
              <w:jc w:val="left"/>
              <w:rPr/>
            </w:pPr>
            <w:r>
              <w:rPr/>
              <w:t> </w:t>
            </w:r>
          </w:p>
        </w:tc>
        <w:tc>
          <w:tcPr>
            <w:tcW w:w="4240" w:type="dxa"/>
            <w:gridSpan w:val="2"/>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240" w:type="dxa"/>
            <w:gridSpan w:val="2"/>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92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920"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/s/ Alex LaRue</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92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Alex LaRue</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92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Chief Financial Officer - Secretary and Treasurer</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4209</Characters>
  <CharactersWithSpaces>5043</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