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7" w:lineRule="exact"/>
        <w:rPr>
          <w:sz w:val="24"/>
          <w:szCs w:val="24"/>
          <w:color w:val="auto"/>
        </w:rPr>
      </w:pPr>
    </w:p>
    <w:p>
      <w:pPr>
        <w:ind w:left="3380" w:right="1660" w:hanging="3372"/>
        <w:spacing w:after="0" w:line="500" w:lineRule="auto"/>
        <w:tabs>
          <w:tab w:leader="none" w:pos="4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453"/>
        </w:trPr>
        <w:tc>
          <w:tcPr>
            <w:tcW w:w="4440" w:type="dxa"/>
            <w:vAlign w:val="bottom"/>
            <w:gridSpan w:val="2"/>
          </w:tcPr>
          <w:p>
            <w:pPr>
              <w:ind w:left="1300"/>
              <w:spacing w:after="0"/>
              <w:rPr>
                <w:sz w:val="20"/>
                <w:szCs w:val="20"/>
                <w:color w:val="auto"/>
              </w:rPr>
            </w:pPr>
            <w:r>
              <w:rPr>
                <w:rFonts w:ascii="Arial" w:cs="Arial" w:eastAsia="Arial" w:hAnsi="Arial"/>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FRIEDMAN INDUSTRIES,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7"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6"/>
              </w:rPr>
              <w:t>Texas</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74-1504405</w:t>
            </w:r>
          </w:p>
        </w:tc>
      </w:t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(State or other jurisdiction of</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incorporation or organization)</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1121 Judson Road, Suite 124, Longview, Texas 75601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36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NYSE American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jc w:val="both"/>
        <w:ind w:firstLine="441"/>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441"/>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firstLine="441"/>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440"/>
        <w:spacing w:after="0" w:line="207" w:lineRule="exact"/>
        <w:tabs>
          <w:tab w:leader="none" w:pos="9760" w:val="left"/>
          <w:tab w:leader="none" w:pos="10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(Check one):</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August 14, 2023, the number of shares outstanding of the issuer’s only class of stock was 7,375,282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6" w:right="339" w:bottom="20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60" w:type="dxa"/>
            <w:vAlign w:val="bottom"/>
            <w:gridSpan w:val="14"/>
          </w:tcPr>
          <w:p>
            <w:pPr>
              <w:spacing w:after="0"/>
              <w:rPr>
                <w:sz w:val="20"/>
                <w:szCs w:val="20"/>
                <w:color w:val="auto"/>
              </w:rPr>
            </w:pPr>
            <w:r>
              <w:rPr>
                <w:rFonts w:ascii="Arial" w:cs="Arial" w:eastAsia="Arial" w:hAnsi="Arial"/>
                <w:sz w:val="18"/>
                <w:szCs w:val="18"/>
                <w:color w:val="0000EE"/>
              </w:rPr>
              <w:t>Table of Contents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60" w:type="dxa"/>
            <w:vAlign w:val="bottom"/>
            <w:gridSpan w:val="14"/>
          </w:tcPr>
          <w:p>
            <w:pPr>
              <w:spacing w:after="0" w:line="176" w:lineRule="exact"/>
              <w:rPr>
                <w:sz w:val="20"/>
                <w:szCs w:val="20"/>
                <w:color w:val="auto"/>
              </w:rPr>
            </w:pPr>
            <w:r>
              <w:rPr>
                <w:rFonts w:ascii="Arial" w:cs="Arial" w:eastAsia="Arial" w:hAnsi="Arial"/>
                <w:sz w:val="18"/>
                <w:szCs w:val="18"/>
                <w:color w:val="0000EE"/>
              </w:rPr>
              <w:t>Part I — FINANCIAL INFORMATION</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9"/>
              </w:rPr>
              <w:t>Item 1. Financial Statements</w:t>
            </w:r>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0000EE"/>
                <w:w w:val="94"/>
              </w:rPr>
              <w:t>Item 2.</w:t>
            </w:r>
          </w:p>
        </w:tc>
        <w:tc>
          <w:tcPr>
            <w:tcW w:w="8280" w:type="dxa"/>
            <w:vAlign w:val="bottom"/>
            <w:gridSpan w:val="12"/>
          </w:tcPr>
          <w:p>
            <w:pPr>
              <w:ind w:left="2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4"/>
              </w:rPr>
              <w:t>Item 3.</w:t>
            </w:r>
          </w:p>
        </w:tc>
        <w:tc>
          <w:tcPr>
            <w:tcW w:w="4380" w:type="dxa"/>
            <w:vAlign w:val="bottom"/>
            <w:tcBorders>
              <w:bottom w:val="single" w:sz="8" w:color="0000EE"/>
            </w:tcBorders>
            <w:gridSpan w:val="9"/>
            <w:shd w:val="clear" w:color="auto" w:fill="CCEEFF"/>
          </w:tcPr>
          <w:p>
            <w:pPr>
              <w:ind w:left="20"/>
              <w:spacing w:after="0" w:line="17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3900" w:type="dxa"/>
            <w:vAlign w:val="bottom"/>
            <w:tcBorders>
              <w:bottom w:val="single" w:sz="8" w:color="CCEEFF"/>
            </w:tcBorders>
            <w:gridSpan w:val="3"/>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0000EE"/>
                <w:w w:val="94"/>
              </w:rPr>
              <w:t>Item 4.</w:t>
            </w:r>
          </w:p>
        </w:tc>
        <w:tc>
          <w:tcPr>
            <w:tcW w:w="8280" w:type="dxa"/>
            <w:vAlign w:val="bottom"/>
            <w:gridSpan w:val="12"/>
          </w:tcPr>
          <w:p>
            <w:pPr>
              <w:ind w:left="20"/>
              <w:spacing w:after="0" w:line="176" w:lineRule="exact"/>
              <w:rPr>
                <w:sz w:val="20"/>
                <w:szCs w:val="20"/>
                <w:color w:val="auto"/>
              </w:rPr>
            </w:pPr>
            <w:r>
              <w:rPr>
                <w:rFonts w:ascii="Arial" w:cs="Arial" w:eastAsia="Arial" w:hAnsi="Arial"/>
                <w:sz w:val="18"/>
                <w:szCs w:val="18"/>
                <w:color w:val="0000EE"/>
              </w:rPr>
              <w:t>Controls and Procedures</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6"/>
              </w:rPr>
              <w:t>Part II — OTHER INFORMATION</w:t>
            </w:r>
          </w:p>
        </w:tc>
        <w:tc>
          <w:tcPr>
            <w:tcW w:w="6640" w:type="dxa"/>
            <w:vAlign w:val="bottom"/>
            <w:tcBorders>
              <w:bottom w:val="single" w:sz="8" w:color="CCEEFF"/>
            </w:tcBorders>
            <w:gridSpan w:val="7"/>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0000EE"/>
                <w:w w:val="94"/>
              </w:rPr>
              <w:t>Item 6.</w:t>
            </w:r>
          </w:p>
        </w:tc>
        <w:tc>
          <w:tcPr>
            <w:tcW w:w="8280" w:type="dxa"/>
            <w:vAlign w:val="bottom"/>
            <w:gridSpan w:val="12"/>
          </w:tcPr>
          <w:p>
            <w:pPr>
              <w:ind w:left="20"/>
              <w:spacing w:after="0" w:line="176" w:lineRule="exact"/>
              <w:rPr>
                <w:sz w:val="20"/>
                <w:szCs w:val="20"/>
                <w:color w:val="auto"/>
              </w:rPr>
            </w:pPr>
            <w:r>
              <w:rPr>
                <w:rFonts w:ascii="Arial" w:cs="Arial" w:eastAsia="Arial" w:hAnsi="Arial"/>
                <w:sz w:val="18"/>
                <w:szCs w:val="18"/>
                <w:color w:val="0000EE"/>
              </w:rPr>
              <w:t>Exhibits</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1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tcBorders>
              <w:top w:val="single" w:sz="8" w:color="CCEEFF"/>
            </w:tcBorders>
            <w:gridSpan w:val="9"/>
          </w:tcPr>
          <w:p>
            <w:pPr>
              <w:jc w:val="right"/>
              <w:ind w:right="920"/>
              <w:spacing w:after="0"/>
              <w:rPr>
                <w:sz w:val="20"/>
                <w:szCs w:val="20"/>
                <w:color w:val="auto"/>
              </w:rPr>
            </w:pPr>
            <w:r>
              <w:rPr>
                <w:rFonts w:ascii="Arial" w:cs="Arial" w:eastAsia="Arial" w:hAnsi="Arial"/>
                <w:sz w:val="18"/>
                <w:szCs w:val="18"/>
                <w:color w:val="auto"/>
              </w:rPr>
              <w:t>2</w:t>
            </w:r>
          </w:p>
        </w:tc>
        <w:tc>
          <w:tcPr>
            <w:tcW w:w="8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JUNE 30, 2023</w:t>
            </w: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MARCH 31, 2023</w:t>
            </w: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w w:val="93"/>
              </w:rPr>
              <w:t>Accounts receivable, net of allowances for bad debts of $183 at both June 30, and March 31, 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46,775</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49,367</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101,146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86,246</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Current portion of derivative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4,515</w:t>
            </w:r>
          </w:p>
        </w:tc>
      </w:tr>
      <w:tr>
        <w:trPr>
          <w:trHeight w:val="20"/>
        </w:trPr>
        <w:tc>
          <w:tcPr>
            <w:tcW w:w="7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68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156,091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143,656</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1,670</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Buildings and yard improvements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28,558</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28,550</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50,988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51,001</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Construction in process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(29,179)</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(28,455)</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53,635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53,933</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value of officers’ life insurance and other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Operating lease right-of-use asset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211,402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199,312</w:t>
            </w:r>
          </w:p>
        </w:tc>
      </w:tr>
      <w:tr>
        <w:trPr>
          <w:trHeight w:val="197"/>
        </w:trPr>
        <w:tc>
          <w:tcPr>
            <w:tcW w:w="76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35,988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36,847</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 to retirement plan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Employee compensation and related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4,650</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financing lease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Current portion of derivative liability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r>
      <w:tr>
        <w:trPr>
          <w:trHeight w:val="209"/>
        </w:trPr>
        <w:tc>
          <w:tcPr>
            <w:tcW w:w="768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2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4,357</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ASSET BASED LENDING FACILITY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39,298</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33,117</w:t>
            </w:r>
          </w:p>
        </w:tc>
      </w:tr>
      <w:tr>
        <w:trPr>
          <w:trHeight w:val="210"/>
        </w:trPr>
        <w:tc>
          <w:tcPr>
            <w:tcW w:w="768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88,033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83,880</w:t>
            </w:r>
          </w:p>
        </w:tc>
        <w:tc>
          <w:tcPr>
            <w:tcW w:w="100" w:type="dxa"/>
            <w:vAlign w:val="bottom"/>
          </w:tcPr>
          <w:p>
            <w:pPr>
              <w:spacing w:after="0"/>
              <w:rPr>
                <w:sz w:val="18"/>
                <w:szCs w:val="18"/>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Common stock, par value $1: Authorized shares — 10,000,000; Issued shares — 8,868,716 shares at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and March 31, 2023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8,869</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8,869</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35,083</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35,005</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Treasury stock at cost (1,493,128 shares at June 30, and March 31, 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(7,778)</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(7,778)</w:t>
            </w: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87,195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79,653</w:t>
            </w:r>
          </w:p>
        </w:tc>
      </w:tr>
      <w:tr>
        <w:trPr>
          <w:trHeight w:val="20"/>
        </w:trPr>
        <w:tc>
          <w:tcPr>
            <w:tcW w:w="7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680" w:type="dxa"/>
            <w:vAlign w:val="bottom"/>
          </w:tcPr>
          <w:p>
            <w:pPr>
              <w:ind w:left="82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123,369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115,432</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211,402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199,312</w:t>
            </w:r>
          </w:p>
        </w:tc>
      </w:tr>
      <w:tr>
        <w:trPr>
          <w:trHeight w:val="20"/>
        </w:trPr>
        <w:tc>
          <w:tcPr>
            <w:tcW w:w="7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137,298</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161,803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of products sold</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120,969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143,131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126,941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149,484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color w:val="auto"/>
              </w:rPr>
              <w:t>EARNINGS FROM OPERATIONS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10,357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12,319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Gain on economic hedges of risk</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color w:val="auto"/>
              </w:rPr>
              <w:t>EARNINGS BEFORE INCOME TAXES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10,253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14,657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2,580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3,488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0"/>
        </w:trPr>
        <w:tc>
          <w:tcPr>
            <w:tcW w:w="80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11,184</w:t>
            </w:r>
          </w:p>
        </w:tc>
      </w:tr>
      <w:tr>
        <w:trPr>
          <w:trHeight w:val="197"/>
        </w:trPr>
        <w:tc>
          <w:tcPr>
            <w:tcW w:w="80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right"/>
        <w:ind w:right="558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37" w:lineRule="exact"/>
        <w:rPr>
          <w:sz w:val="20"/>
          <w:szCs w:val="20"/>
          <w:color w:val="auto"/>
        </w:rPr>
      </w:pPr>
    </w:p>
    <w:p>
      <w:pPr>
        <w:jc w:val="right"/>
        <w:ind w:righ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Net earnings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7,690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11,184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Adjustments to reconcile net earnings to cash provided by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Deferred taxes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Compensation expense for restricted stock</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Change in postretirement benefits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Gain recognized on open derivatives not designated for hedge accounting</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Deferred realized gain (loss) on derivatives designated for hedge accounting</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Decrease (increase) in operating assets, net of amounts acquired in business combination: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(40,809)</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21,613</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Federal income taxes recoverable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Other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operating liabilities, net of amounts acquired in business combination: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(17,284)</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Income taxes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Contribution to retirement plan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Employee compensation and related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(4,583)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(21,345)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Plateplus business combination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(71,720)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Increase in cash surrender value of officers’ life insurance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(74,535)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Debt issuance cost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Cash dividends paid</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paid for principal portion of finance lease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Cash paid for share repurchases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Asset based lending facility proceeds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83,488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RESTRICED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(12,392)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RESTRICTED CASH AT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16,122</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RESTRICTED CASH AT END OF PERIOD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Cash and restricted cash at June 30, 2023 and March 31, 2023 included approximately $1.5 million and $2.4 million, respectively, of cash required to collateralize open derivative positions. These amounts are reported in "Other current assets" on the Company's consolidated balance sheets at June 30, 2023 and March 31, 2023. The Company had approximately $1.3 million in restricted cash at June 30, 2022.</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2023.</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results of a business acquired in a business combination are included in the Company’s financial statements from the date of acquisition. The Company allocates the purchase price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Acquisition-related transaction costs are expensed in the period in which the costs are incurred.</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ind w:right="20" w:firstLine="441"/>
        <w:spacing w:after="0" w:line="275" w:lineRule="auto"/>
        <w:rPr>
          <w:sz w:val="20"/>
          <w:szCs w:val="20"/>
          <w:color w:val="auto"/>
        </w:rPr>
      </w:pPr>
      <w:r>
        <w:rPr>
          <w:rFonts w:ascii="Arial" w:cs="Arial" w:eastAsia="Arial" w:hAnsi="Arial"/>
          <w:sz w:val="17"/>
          <w:szCs w:val="17"/>
          <w:color w:val="auto"/>
        </w:rPr>
        <w:t>The unaudited condensed consolidated financial statements for the previous year may include certain reclassifications to conform to the current presentation. To conform with the current year presentation, “</w:t>
      </w:r>
      <w:r>
        <w:rPr>
          <w:rFonts w:ascii="Arial" w:cs="Arial" w:eastAsia="Arial" w:hAnsi="Arial"/>
          <w:sz w:val="17"/>
          <w:szCs w:val="17"/>
          <w:i w:val="1"/>
          <w:iCs w:val="1"/>
          <w:color w:val="auto"/>
        </w:rPr>
        <w:t>Interest expense</w:t>
      </w:r>
      <w:r>
        <w:rPr>
          <w:rFonts w:ascii="Arial" w:cs="Arial" w:eastAsia="Arial" w:hAnsi="Arial"/>
          <w:sz w:val="17"/>
          <w:szCs w:val="17"/>
          <w:color w:val="auto"/>
        </w:rPr>
        <w:t>” on the unaudited condensed consolidated statements of operations was moved below the calculation of "</w:t>
      </w:r>
      <w:r>
        <w:rPr>
          <w:rFonts w:ascii="Arial" w:cs="Arial" w:eastAsia="Arial" w:hAnsi="Arial"/>
          <w:sz w:val="17"/>
          <w:szCs w:val="17"/>
          <w:i w:val="1"/>
          <w:iCs w:val="1"/>
          <w:color w:val="auto"/>
        </w:rPr>
        <w:t>Earnings From Operations</w:t>
      </w:r>
      <w:r>
        <w:rPr>
          <w:rFonts w:ascii="Arial" w:cs="Arial" w:eastAsia="Arial" w:hAnsi="Arial"/>
          <w:sz w:val="17"/>
          <w:szCs w:val="17"/>
          <w:color w:val="auto"/>
        </w:rPr>
        <w:t>". To conform with the current year presentation, a gain of approximately $2.8 million reported in the prior year as a component of "</w:t>
      </w:r>
      <w:r>
        <w:rPr>
          <w:rFonts w:ascii="Arial" w:cs="Arial" w:eastAsia="Arial" w:hAnsi="Arial"/>
          <w:sz w:val="17"/>
          <w:szCs w:val="17"/>
          <w:i w:val="1"/>
          <w:iCs w:val="1"/>
          <w:color w:val="auto"/>
        </w:rPr>
        <w:t>Other income, net</w:t>
      </w:r>
      <w:r>
        <w:rPr>
          <w:rFonts w:ascii="Arial" w:cs="Arial" w:eastAsia="Arial" w:hAnsi="Arial"/>
          <w:sz w:val="17"/>
          <w:szCs w:val="17"/>
          <w:color w:val="auto"/>
        </w:rPr>
        <w:t>" on the unaudited condensed consolidated statement of operations was moved to the line item "</w:t>
      </w:r>
      <w:r>
        <w:rPr>
          <w:rFonts w:ascii="Arial" w:cs="Arial" w:eastAsia="Arial" w:hAnsi="Arial"/>
          <w:sz w:val="17"/>
          <w:szCs w:val="17"/>
          <w:i w:val="1"/>
          <w:iCs w:val="1"/>
          <w:color w:val="auto"/>
        </w:rPr>
        <w:t>Gain</w:t>
      </w:r>
      <w:r>
        <w:rPr>
          <w:rFonts w:ascii="Arial" w:cs="Arial" w:eastAsia="Arial" w:hAnsi="Arial"/>
          <w:sz w:val="17"/>
          <w:szCs w:val="17"/>
          <w:color w:val="auto"/>
        </w:rPr>
        <w:t xml:space="preserve"> </w:t>
      </w:r>
      <w:r>
        <w:rPr>
          <w:rFonts w:ascii="Arial" w:cs="Arial" w:eastAsia="Arial" w:hAnsi="Arial"/>
          <w:sz w:val="17"/>
          <w:szCs w:val="17"/>
          <w:i w:val="1"/>
          <w:iCs w:val="1"/>
          <w:color w:val="auto"/>
        </w:rPr>
        <w:t>on economic hedges of risk</w:t>
      </w:r>
      <w:r>
        <w:rPr>
          <w:rFonts w:ascii="Arial" w:cs="Arial" w:eastAsia="Arial" w:hAnsi="Arial"/>
          <w:sz w:val="17"/>
          <w:szCs w:val="17"/>
          <w:color w:val="auto"/>
        </w:rPr>
        <w:t>". These reclassifications had no impact on previously reported net earnings or stockholder's equity.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NOTE B — BUSINESS COMBINATIONS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April 30, 2022, (the “Acquisition Date”), the Company acquired certain assets and liabilities of Plateplus, Inc. (“Plateplus”), a wholly owned subsidiary of Metal One, Inc. (“Metal One” or “Seller”), whereby the Company acquired the real estate, buildings, equipment, inventory, and other assets of Plateplus’ East Chicago, IN and Granite City, IL facilities and certain steel inventory at Plateplus’ Loudon, TN and Houston, TX facilities (the “Transaction”). The East Chicago and Granite City facilities are steel coil processing facilities that produce the same type of products as the Company's facilities in Hickman, AR; Decatur, AL and Sinton, TX. As a result of the Transaction, the Company expanded its footprint and distribution capabilities in the mid-western United States.</w:t>
      </w:r>
    </w:p>
    <w:p>
      <w:pPr>
        <w:spacing w:after="0" w:line="1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Transaction resulted in the Company acquiring the assets noted above, for a total consideration of $76.5 million, of which $71.7 million was cash consideration and $4.8 million related to 516,041 shares of the Company's common stock issued to the Seller. The fair value of the 516,041 shares issued was determined based on the closing market price of the Company’s common stock on April 29, 2022, the last trading day prior to the Acquisition Date. The Transaction was funded with net borrowings of $71.9 million made under the Company's asset-based lending facility ("ABL Facility") provided by JPMorgan Chase Bank.</w:t>
      </w:r>
    </w:p>
    <w:p>
      <w:pPr>
        <w:spacing w:after="0" w:line="18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 xml:space="preserve">The Transaction was accounted for using the acquisition method of accounting, in accordance with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no residual goodwill.</w:t>
      </w:r>
    </w:p>
    <w:p>
      <w:pPr>
        <w:spacing w:after="0" w:line="149"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7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Fair value of assets acquired and liabilities assumed (in thousands)</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77,546</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18,022</w:t>
            </w:r>
          </w:p>
        </w:tc>
        <w:tc>
          <w:tcPr>
            <w:tcW w:w="80" w:type="dxa"/>
            <w:vAlign w:val="bottom"/>
          </w:tcPr>
          <w:p>
            <w:pPr>
              <w:spacing w:after="0"/>
              <w:rPr>
                <w:sz w:val="18"/>
                <w:szCs w:val="18"/>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(19,065)</w:t>
            </w:r>
          </w:p>
        </w:tc>
      </w:tr>
      <w:tr>
        <w:trPr>
          <w:trHeight w:val="237"/>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5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w:t>
            </w:r>
          </w:p>
        </w:tc>
      </w:tr>
      <w:tr>
        <w:trPr>
          <w:trHeight w:val="216"/>
        </w:trPr>
        <w:tc>
          <w:tcPr>
            <w:tcW w:w="79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76,503</w:t>
            </w:r>
          </w:p>
        </w:tc>
        <w:tc>
          <w:tcPr>
            <w:tcW w:w="80" w:type="dxa"/>
            <w:vAlign w:val="bottom"/>
            <w:tcBorders>
              <w:top w:val="single" w:sz="8" w:color="CCEEFF"/>
            </w:tcBorders>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recorded one-time transaction specific costs of approximately $0.8 million in the three months ended June 30, 2022 as a component of "Selling, general and administrative" expenses on the condensed consolidated statement of operations.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C — INVENTORIES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Inventories consist of prime coil, non-standard coil and tubular materials. Prime coil inventory consists primarily of raw materials, non-standard coil inventory consists primarily of raw materials and tubular inventory consists of both raw materials and finished goods. Cost for prime coil inventory is determined using the average cost method. Cost for non-standard coil inventory is determined using the specific identification method. Cost for tubular inventory is determined using the average cost method. All inventories are valued at the lower of cost or net realizable value.</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A summary of inventory values by product group follows (in thousands):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June 30, 2023</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March 31, 2023</w:t>
            </w:r>
          </w:p>
        </w:tc>
        <w:tc>
          <w:tcPr>
            <w:tcW w:w="8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Prime Coil Inventory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87,209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75,917</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Non-Standard Coil Inventory</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Tubular Raw Material</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5,193</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Tubular Finished Goods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5,533</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4,858</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101,146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86,246</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Tubular raw material inventory consists of hot-rolled steel coils that the Company will manufacture into pipe. Tubular finished goods inventory consists of pipe the Company has manufactured.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D – DEBT</w:t>
      </w:r>
    </w:p>
    <w:p>
      <w:pPr>
        <w:spacing w:after="0" w:line="225" w:lineRule="exact"/>
        <w:rPr>
          <w:sz w:val="20"/>
          <w:szCs w:val="20"/>
          <w:color w:val="auto"/>
        </w:rPr>
      </w:pPr>
    </w:p>
    <w:p>
      <w:pPr>
        <w:jc w:val="both"/>
        <w:ind w:firstLine="436"/>
        <w:spacing w:after="0" w:line="268" w:lineRule="auto"/>
        <w:rPr>
          <w:sz w:val="20"/>
          <w:szCs w:val="20"/>
          <w:color w:val="auto"/>
        </w:rPr>
      </w:pPr>
      <w:r>
        <w:rPr>
          <w:rFonts w:ascii="Arial" w:cs="Arial" w:eastAsia="Arial" w:hAnsi="Arial"/>
          <w:sz w:val="17"/>
          <w:szCs w:val="17"/>
          <w:color w:val="auto"/>
        </w:rPr>
        <w:t>The Company has a $150 million asset-based lending facility ("ABL Facility") in place with JPMorgan Chase Bank, N.A. as the arranging agent and BMO Harris Bank, N.A. as a one-third syndicated participant.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June 30, 2023, the Company had a balance of approximately $39.3 million under the ABL Facility with an applicable interest rate of 7.25%. At June 30, 2023, the Company's applicable borrowing base calculation supported access to approximately $111.0 million of the ABL Facility.</w:t>
      </w:r>
    </w:p>
    <w:p>
      <w:pPr>
        <w:spacing w:after="0" w:line="180"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The Company incurred debt issuance costs of approximately $0.4 million in connection with the ABL Facility. The Company recorded these debt issuance costs as non-current other assets and is amortizing these costs on an equal monthly basis over the remaining term of the ABL facility.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E — LEASES</w:t>
      </w:r>
    </w:p>
    <w:p>
      <w:pPr>
        <w:spacing w:after="0" w:line="225"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The Company was assigned an operating lease associated with the real property and leasehold improvements for the Granite City, IL facility acquired from Plateplus pursuant to the transaction disclosed in Note B. The current lease expires August 31, 2023 and the Company is in the process of renewing the lease. The lease calls for quarterly rental payments of approximately $19,000. The Company recognized an initial right-of-use ("ROU") asset and lease liability of approximately $1.2 million during the June 30, 2022 quarter related to this lease. The anticipated renewal of this lease is included in the ROU asset and lease liability calculation. The Company’s lease of its office space in Longview, Texas is the only other operating lease included in the Company's ROU assets and lease liabilities. The lease calls for monthly rent payments of approximately $5,000 and expires on April 30, 2024. The Company’s other operating leases for items such as IT equipment and storage space are either short-term in nature or immaterial.</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October 2019, the Company acquired a new heavy-duty forklift under a 5-year finance lease arrangement with a financed amount of approximately $0.5 million and a monthly payment of approximately $9,000.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expense related to leases for the three months ended June 30, 2023 and 2022 are as follows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8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22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 amortization of ROU asset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Finance lease – interest on lease liability</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0"/>
        </w:trPr>
        <w:tc>
          <w:tcPr>
            <w:tcW w:w="6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r>
      <w:tr>
        <w:trPr>
          <w:trHeight w:val="20"/>
        </w:trPr>
        <w:tc>
          <w:tcPr>
            <w:tcW w:w="6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illustrates the balance sheet classification for ROU assets and lease liabilities as of June 30, 2023 and March 31, 2023 (in thousands):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March 31, 2023</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Balance Sheet Classification</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Operating lease right-of-use asset</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 lease right-of-use asset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Property, plant &amp; equipment</w:t>
            </w:r>
          </w:p>
        </w:tc>
      </w:tr>
      <w:tr>
        <w:trPr>
          <w:trHeight w:val="209"/>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Arial" w:cs="Arial" w:eastAsia="Arial" w:hAnsi="Arial"/>
                <w:sz w:val="18"/>
                <w:szCs w:val="18"/>
                <w:color w:val="auto"/>
              </w:rPr>
              <w:t>Total right-of-use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liability, current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Accrued expenses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lease liability, current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portion of finance lease</w:t>
            </w: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liability, non-current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Other non-current liabilities</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 lease liability, non-current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Other non-current liabilities</w:t>
            </w:r>
          </w:p>
        </w:tc>
      </w:tr>
      <w:tr>
        <w:trPr>
          <w:trHeight w:val="210"/>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Arial" w:cs="Arial" w:eastAsia="Arial" w:hAnsi="Arial"/>
                <w:sz w:val="18"/>
                <w:szCs w:val="18"/>
                <w:color w:val="auto"/>
              </w:rPr>
              <w:t>Total lease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1,379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As of June 30, 2023, the weighted-average remaining lease term was 19.4 years for operating leases and 1.3 years for finance leases. The weighted average discount rate was 2.6% for operating leases and 1.9% for finance leases.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 of lease liabilities as of June 30, 2023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Operating Leases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Finance Leases</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 (remainder of fiscal year)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60" w:type="dxa"/>
            <w:vAlign w:val="bottom"/>
          </w:tcPr>
          <w:p>
            <w:pPr>
              <w:spacing w:after="0"/>
              <w:rPr>
                <w:sz w:val="18"/>
                <w:szCs w:val="18"/>
                <w:color w:val="auto"/>
              </w:rPr>
            </w:pPr>
          </w:p>
        </w:tc>
      </w:tr>
      <w:tr>
        <w:trPr>
          <w:trHeight w:val="229"/>
        </w:trPr>
        <w:tc>
          <w:tcPr>
            <w:tcW w:w="8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6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2028 and beyond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880" w:type="dxa"/>
            <w:vAlign w:val="bottom"/>
          </w:tcPr>
          <w:p>
            <w:pPr>
              <w:ind w:left="500"/>
              <w:spacing w:after="0"/>
              <w:rPr>
                <w:sz w:val="20"/>
                <w:szCs w:val="20"/>
                <w:color w:val="auto"/>
              </w:rPr>
            </w:pPr>
            <w:r>
              <w:rPr>
                <w:rFonts w:ascii="Arial" w:cs="Arial" w:eastAsia="Arial" w:hAnsi="Arial"/>
                <w:sz w:val="18"/>
                <w:szCs w:val="18"/>
                <w:color w:val="auto"/>
              </w:rPr>
              <w:t>Total undiscounted lease payments</w:t>
            </w:r>
          </w:p>
        </w:tc>
        <w:tc>
          <w:tcPr>
            <w:tcW w:w="2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1,567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imputed interest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4"/>
        </w:trPr>
        <w:tc>
          <w:tcPr>
            <w:tcW w:w="840" w:type="dxa"/>
            <w:vAlign w:val="bottom"/>
          </w:tcPr>
          <w:p>
            <w:pPr>
              <w:spacing w:after="0"/>
              <w:rPr>
                <w:sz w:val="19"/>
                <w:szCs w:val="19"/>
                <w:color w:val="auto"/>
              </w:rPr>
            </w:pPr>
          </w:p>
        </w:tc>
        <w:tc>
          <w:tcPr>
            <w:tcW w:w="3880" w:type="dxa"/>
            <w:vAlign w:val="bottom"/>
          </w:tcPr>
          <w:p>
            <w:pPr>
              <w:ind w:left="500"/>
              <w:spacing w:after="0"/>
              <w:rPr>
                <w:sz w:val="20"/>
                <w:szCs w:val="20"/>
                <w:color w:val="auto"/>
              </w:rPr>
            </w:pPr>
            <w:r>
              <w:rPr>
                <w:rFonts w:ascii="Arial" w:cs="Arial" w:eastAsia="Arial" w:hAnsi="Arial"/>
                <w:sz w:val="18"/>
                <w:szCs w:val="18"/>
                <w:color w:val="auto"/>
              </w:rPr>
              <w:t>Present value of lease liability</w:t>
            </w:r>
          </w:p>
        </w:tc>
        <w:tc>
          <w:tcPr>
            <w:tcW w:w="2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1,245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860" w:type="dxa"/>
            <w:vAlign w:val="bottom"/>
          </w:tcPr>
          <w:p>
            <w:pPr>
              <w:spacing w:after="0"/>
              <w:rPr>
                <w:sz w:val="19"/>
                <w:szCs w:val="19"/>
                <w:color w:val="auto"/>
              </w:rPr>
            </w:pPr>
          </w:p>
        </w:tc>
      </w:tr>
      <w:tr>
        <w:trPr>
          <w:trHeight w:val="418"/>
        </w:trPr>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40" w:type="dxa"/>
            <w:vAlign w:val="bottom"/>
          </w:tcPr>
          <w:p>
            <w:pPr>
              <w:jc w:val="right"/>
              <w:ind w:right="13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F — PROPERTY, PLANT AND EQUIPMENT</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October 2022, the Company completed its new facility in Sinton, Texas, which is part of the flat-roll product segment (previously referred to as the coil product segment) at a total completed cost of approximately $22.2 million. The new facility is on the campus of Steel Dynamics, Inc.'s ("SDI") new flat roll steel mill in Sinton, Texas and consists of an approximately 70,000 square foot building located on approximately 26.5 acres leased from SDI under a 99-year agreement with an annual rental payment of $1. The facility is equipped with a stretcher leveler cut-to-length line that is capable of handling material up to 1” thick, widths up to 96” and yields exceeding 100,000 psi.</w:t>
      </w:r>
    </w:p>
    <w:p>
      <w:pPr>
        <w:spacing w:after="0" w:line="1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At June 30, 2023, the Company's construction in process balance of approximately $1.6 million consisted primarily of approximately $1.1 million associated with a project to upgrade a component of the Decatur, AL processing line. The total project is estimated to cost $2.1 million with completion expected during the March 31, 2024 quarter. The remaining construction in process balance is comprised of several smaller projects.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G — STOCK BASED COMPENSATION</w:t>
      </w:r>
    </w:p>
    <w:p>
      <w:pPr>
        <w:spacing w:after="0" w:line="225"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restricted stock units ("RSUs") for the three months ended June 30, 2023:</w:t>
      </w:r>
    </w:p>
    <w:p>
      <w:pPr>
        <w:sectPr>
          <w:pgSz w:w="11900" w:h="16838" w:orient="portrait"/>
          <w:cols w:equalWidth="0" w:num="1">
            <w:col w:w="11240"/>
          </w:cols>
          <w:pgMar w:left="320" w:top="125" w:right="339" w:bottom="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Unvested at March 31, 2023</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Cancelled or forfeited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Vested</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Unvested at June 30, 2023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30"/>
        </w:trPr>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Value Per Share</w:t>
            </w:r>
          </w:p>
        </w:tc>
      </w:tr>
      <w:tr>
        <w:trPr>
          <w:trHeight w:val="195"/>
        </w:trPr>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100,366</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6.08</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100,366</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-719455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-445135</wp:posOffset>
            </wp:positionV>
            <wp:extent cx="64122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-161925</wp:posOffset>
            </wp:positionV>
            <wp:extent cx="641223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3880"/>
          </w:cols>
          <w:pgMar w:left="320" w:top="125" w:right="339" w:bottom="42" w:gutter="0" w:footer="0" w:header="0"/>
          <w:type w:val="continuous"/>
        </w:sectPr>
      </w:pPr>
    </w:p>
    <w:p>
      <w:pPr>
        <w:spacing w:after="0" w:line="2"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The Company measures compensation expense for RSUs at the market price of the common stock as of the grant date. Compensation expense is recognized over the requisite service period applicable to each award. The Company recorded compensation expense of approximately $78,000 and $73,000 in the three months ended June 30, 2023 and 2022, respectively, relating to the RSUs issued under the Plan. As of June 30, 2023, unrecognized compensation expense related to unvested RSUs was approximately $0.2 million which is expected to be recognized over a weighted average period of approximately 1.2 years. As of June 30, 2023, a total of 122,485 shares were still available to be issued under the Plan.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 FINANCIAL INSTRUMENTS</w:t>
      </w:r>
    </w:p>
    <w:p>
      <w:pPr>
        <w:spacing w:after="0" w:line="225"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From time to time, we expect to use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815 – Derivatives and Hedging (“ASC 815”).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6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From time to time, derivatives designated for hedge accounting may 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spacing w:after="0" w:line="17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If it is determined that hedged transactions associated with cash flow hedges are no longer probable of occurring, the gain or loss associated with the instrument is recognized immediately into earnings.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From time to time, we may have derivative financial instruments for which we do not elect hedge accounting.</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 has forward physical purchase supply agreements in place with some of its suppliers for a portion of its monthly physical steel needs. These supply agreements are not subject to mark-to-market accounting due to the Company electing the normal purchase normal sale exclusion provided in ASC 815.</w:t>
      </w:r>
    </w:p>
    <w:p>
      <w:pPr>
        <w:sectPr>
          <w:pgSz w:w="11900" w:h="16838" w:orient="portrait"/>
          <w:cols w:equalWidth="0" w:num="1">
            <w:col w:w="11240"/>
          </w:cols>
          <w:pgMar w:left="320" w:top="125" w:right="339" w:bottom="42" w:gutter="0" w:footer="0" w:header="0"/>
          <w:type w:val="continuous"/>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2"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At June 30, 2023 the Company did not have any hot-rolled coil futures contracts designated as hedging instruments and classified as cash flow hedges. At March 31, 2023, the Company held hot-rolled coil futures contracts which were designated as hedging instruments and classified as cash flow hedges, as hedges of variable sales prices. Accordingly, realized and unrealized gains and losses associated with the instruments were reported as a component of other comprehensive income and reclassified into earnings during the period in which the hedged transaction affects earnings.</w:t>
      </w:r>
    </w:p>
    <w:p>
      <w:pPr>
        <w:spacing w:after="0" w:line="171"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During the three month periods ended June 30, 2023 and 2022, the Company entered into hot-rolled coil futures contracts that were not designated as hedging instruments for accounting purposes. Accordingly, the change in fair value related to these instruments was immediately recognized in earnings for these periods.</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June 30, 2023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Asset Derivatives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w w:val="91"/>
              </w:rPr>
              <w:t>Derivatives not designated as hedging</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040" w:type="dxa"/>
            <w:vAlign w:val="bottom"/>
            <w:vMerge w:val="continue"/>
          </w:tcPr>
          <w:p>
            <w:pPr>
              <w:spacing w:after="0"/>
              <w:rPr>
                <w:sz w:val="15"/>
                <w:szCs w:val="15"/>
                <w:color w:val="auto"/>
              </w:rPr>
            </w:pPr>
          </w:p>
        </w:tc>
        <w:tc>
          <w:tcPr>
            <w:tcW w:w="2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2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1"/>
        </w:trPr>
        <w:tc>
          <w:tcPr>
            <w:tcW w:w="304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March 31, 2023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Asset Derivatives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w w:val="91"/>
              </w:rPr>
              <w:t>Derivatives not designated as hedging</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040" w:type="dxa"/>
            <w:vAlign w:val="bottom"/>
            <w:vMerge w:val="continue"/>
          </w:tcPr>
          <w:p>
            <w:pPr>
              <w:spacing w:after="0"/>
              <w:rPr>
                <w:sz w:val="15"/>
                <w:szCs w:val="15"/>
                <w:color w:val="auto"/>
              </w:rPr>
            </w:pPr>
          </w:p>
        </w:tc>
        <w:tc>
          <w:tcPr>
            <w:tcW w:w="2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2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1"/>
        </w:trPr>
        <w:tc>
          <w:tcPr>
            <w:tcW w:w="304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derivatives are presented on a gross basis on the Consolidated Balance Sheets.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At June 30, 2023 and March 31, 2023, the Company reported approximately $0.4 million and $1.6 million, respectively, in "Other current assets" on its Consolidated Balance Sheet related to futures contracts which were closed but were pending cash settlement.</w:t>
      </w:r>
    </w:p>
    <w:p>
      <w:pPr>
        <w:spacing w:after="0" w:line="170"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The following table summarizes the pre-tax gain recognized in other comprehensive income and the loss reclassified from accumulated other comprehensive loss into earnings for derivative financial instruments designated as cash flow hedges for the periods presented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7"/>
              </w:rPr>
              <w:t>Location of Loss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Pre- Tax Loss</w:t>
            </w:r>
          </w:p>
        </w:tc>
      </w:tr>
      <w:tr>
        <w:trPr>
          <w:trHeight w:val="234"/>
        </w:trPr>
        <w:tc>
          <w:tcPr>
            <w:tcW w:w="3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Pre-Tax Gain</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5"/>
              </w:rPr>
              <w:t>Reclassified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Reclassified from</w:t>
            </w:r>
          </w:p>
        </w:tc>
      </w:tr>
      <w:tr>
        <w:trPr>
          <w:trHeight w:val="198"/>
        </w:trPr>
        <w:tc>
          <w:tcPr>
            <w:tcW w:w="3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260"/>
              <w:spacing w:after="0" w:line="198" w:lineRule="exact"/>
              <w:rPr>
                <w:sz w:val="20"/>
                <w:szCs w:val="20"/>
                <w:color w:val="auto"/>
              </w:rPr>
            </w:pPr>
            <w:r>
              <w:rPr>
                <w:rFonts w:ascii="Arial" w:cs="Arial" w:eastAsia="Arial" w:hAnsi="Arial"/>
                <w:sz w:val="18"/>
                <w:szCs w:val="18"/>
                <w:b w:val="1"/>
                <w:bCs w:val="1"/>
                <w:color w:val="auto"/>
                <w:w w:val="95"/>
              </w:rPr>
              <w:t>AOCI into Net</w:t>
            </w:r>
          </w:p>
        </w:tc>
      </w:tr>
      <w:tr>
        <w:trPr>
          <w:trHeight w:val="234"/>
        </w:trPr>
        <w:tc>
          <w:tcPr>
            <w:tcW w:w="39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1"/>
              </w:rPr>
              <w:t>Recognized in OCI</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from AOCI into Net Earnings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r>
      <w:tr>
        <w:trPr>
          <w:trHeight w:val="210"/>
        </w:trPr>
        <w:tc>
          <w:tcPr>
            <w:tcW w:w="3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For the three months ended June 30, 2023:</w:t>
            </w:r>
          </w:p>
        </w:tc>
        <w:tc>
          <w:tcPr>
            <w:tcW w:w="8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0"/>
              </w:rPr>
              <w:t>Sales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(418)</w:t>
            </w:r>
          </w:p>
        </w:tc>
      </w:tr>
      <w:tr>
        <w:trPr>
          <w:trHeight w:val="210"/>
        </w:trPr>
        <w:tc>
          <w:tcPr>
            <w:tcW w:w="3920" w:type="dxa"/>
            <w:vAlign w:val="bottom"/>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w w:val="76"/>
              </w:rPr>
              <w:t>(418)</w:t>
            </w:r>
          </w:p>
        </w:tc>
        <w:tc>
          <w:tcPr>
            <w:tcW w:w="10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For the three months ended June 30, 2022:</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8,833</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0"/>
              </w:rPr>
              <w:t>Sales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(626)</w:t>
            </w:r>
          </w:p>
        </w:tc>
      </w:tr>
      <w:tr>
        <w:trPr>
          <w:trHeight w:val="209"/>
        </w:trPr>
        <w:tc>
          <w:tcPr>
            <w:tcW w:w="3920" w:type="dxa"/>
            <w:vAlign w:val="bottom"/>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8,833</w:t>
            </w: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w w:val="76"/>
              </w:rPr>
              <w:t>(626)</w:t>
            </w:r>
          </w:p>
        </w:tc>
        <w:tc>
          <w:tcPr>
            <w:tcW w:w="10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gains recognized in earnings for derivative instruments not designated as hedging instruments during the three months ended June 30, 2023 (in thousands):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2023</w:t>
            </w:r>
          </w:p>
        </w:tc>
      </w:tr>
      <w:tr>
        <w:trPr>
          <w:trHeight w:val="195"/>
        </w:trPr>
        <w:tc>
          <w:tcPr>
            <w:tcW w:w="476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Gain on economic</w:t>
            </w: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hedges of risk</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w:t>
            </w:r>
          </w:p>
        </w:tc>
      </w:tr>
    </w:tbl>
    <w:p>
      <w:pPr>
        <w:spacing w:after="0" w:line="20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the gains recognized in earnings for derivative instruments not designated as hedging instruments during the three months ended June 30, 2022 (in thousands):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2022</w:t>
            </w:r>
          </w:p>
        </w:tc>
      </w:tr>
      <w:tr>
        <w:trPr>
          <w:trHeight w:val="195"/>
        </w:trPr>
        <w:tc>
          <w:tcPr>
            <w:tcW w:w="476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Gain on economic</w:t>
            </w: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hedges of risk</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2,754</w:t>
            </w:r>
          </w:p>
        </w:tc>
      </w:tr>
    </w:tbl>
    <w:p>
      <w:pPr>
        <w:spacing w:after="0" w:line="20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notional amount (quantity) of our derivative instruments not designated as hedging instruments at June 30, 2023 consisted of 22,180 tons of short positions with maturity dates ranging from July 2023 to December 2023.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tables reflect the change in accumulated other comprehensive income (loss), net of tax, for the periods presented (in thousands):</w:t>
      </w:r>
    </w:p>
    <w:p>
      <w:pPr>
        <w:spacing w:after="0" w:line="233"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Gain (Loss) on</w:t>
            </w:r>
          </w:p>
        </w:tc>
      </w:tr>
      <w:tr>
        <w:trPr>
          <w:trHeight w:val="234"/>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8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r>
      <w:tr>
        <w:trPr>
          <w:trHeight w:val="216"/>
        </w:trPr>
        <w:tc>
          <w:tcPr>
            <w:tcW w:w="7380" w:type="dxa"/>
            <w:vAlign w:val="bottom"/>
          </w:tcPr>
          <w:p>
            <w:pPr>
              <w:ind w:left="160"/>
              <w:spacing w:after="0"/>
              <w:rPr>
                <w:sz w:val="20"/>
                <w:szCs w:val="20"/>
                <w:color w:val="auto"/>
              </w:rPr>
            </w:pPr>
            <w:r>
              <w:rPr>
                <w:rFonts w:ascii="Arial" w:cs="Arial" w:eastAsia="Arial" w:hAnsi="Arial"/>
                <w:sz w:val="18"/>
                <w:szCs w:val="18"/>
                <w:color w:val="auto"/>
              </w:rPr>
              <w:t>Other comprehensive income, net of loss,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firstLine="656"/>
        <w:spacing w:after="0" w:line="277" w:lineRule="auto"/>
        <w:tabs>
          <w:tab w:leader="none" w:pos="90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reclassified from AOCI is presented net of tax benefits of approximately $0.1 million which are included in the provision for (benefit from) income taxes on the Company's Consolidated Statement of Operations for the three months ended June 30, 2023.</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Gain (Loss) on</w:t>
            </w:r>
          </w:p>
        </w:tc>
      </w:tr>
      <w:tr>
        <w:trPr>
          <w:trHeight w:val="234"/>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8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(10,269)</w:t>
            </w:r>
          </w:p>
        </w:tc>
      </w:tr>
      <w:tr>
        <w:trPr>
          <w:trHeight w:val="216"/>
        </w:trPr>
        <w:tc>
          <w:tcPr>
            <w:tcW w:w="7380" w:type="dxa"/>
            <w:vAlign w:val="bottom"/>
          </w:tcPr>
          <w:p>
            <w:pPr>
              <w:ind w:left="160"/>
              <w:spacing w:after="0"/>
              <w:rPr>
                <w:sz w:val="20"/>
                <w:szCs w:val="20"/>
                <w:color w:val="auto"/>
              </w:rPr>
            </w:pPr>
            <w:r>
              <w:rPr>
                <w:rFonts w:ascii="Arial" w:cs="Arial" w:eastAsia="Arial" w:hAnsi="Arial"/>
                <w:sz w:val="18"/>
                <w:szCs w:val="18"/>
                <w:color w:val="auto"/>
              </w:rPr>
              <w:t>Other comprehensive income, net of loss,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6,699</w:t>
            </w: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7,174</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(3,095)</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56"/>
        <w:spacing w:after="0" w:line="277" w:lineRule="auto"/>
        <w:tabs>
          <w:tab w:leader="none" w:pos="9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reclassified from AOCI is presented net of tax benefits of approximately $0.2 million which are included in the provision for (benefit from) income taxes on the Company's Consolidated Statement of Operations for the three months ended June 30, 2022.</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June 30, 2023 and March 31, 2023, cash of approximately $1.5 million and $2.4 million, respectively, was held by our clearing agent to collateralize our open derivative positions. These cash requirements are included in "Other current assets" on the Company's Consolidated Balance Sheets at June 30, 2023 and March 31, 2023.</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MEASUREMENTS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8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assets and liabilities in active markets.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assets and liabilities, either directly or indirectly.</w:t>
      </w:r>
    </w:p>
    <w:p>
      <w:pPr>
        <w:spacing w:after="0" w:line="32" w:lineRule="exact"/>
        <w:rPr>
          <w:rFonts w:ascii="Arial" w:cs="Arial" w:eastAsia="Arial" w:hAnsi="Arial"/>
          <w:sz w:val="16"/>
          <w:szCs w:val="16"/>
          <w:color w:val="auto"/>
        </w:rPr>
      </w:pPr>
    </w:p>
    <w:p>
      <w:pPr>
        <w:ind w:left="980" w:right="20" w:hanging="324"/>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2023, our financial liabilities, net,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2023, our financial liabilities, net,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2023 and March 31, 2023, the Company did not have any fair value measurements on a non-recurring basis.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NOTE J — SEGMENT INFORMATION (in thousands)</w:t>
      </w:r>
    </w:p>
    <w:p>
      <w:pPr>
        <w:spacing w:after="0" w:line="225" w:lineRule="exact"/>
        <w:rPr>
          <w:sz w:val="20"/>
          <w:szCs w:val="20"/>
          <w:color w:val="auto"/>
        </w:rPr>
      </w:pPr>
    </w:p>
    <w:p>
      <w:pPr>
        <w:ind w:right="280" w:firstLine="486"/>
        <w:spacing w:after="0" w:line="258" w:lineRule="auto"/>
        <w:rPr>
          <w:sz w:val="20"/>
          <w:szCs w:val="20"/>
          <w:color w:val="auto"/>
        </w:rPr>
      </w:pPr>
      <w:r>
        <w:rPr>
          <w:rFonts w:ascii="Arial" w:cs="Arial" w:eastAsia="Arial" w:hAnsi="Arial"/>
          <w:sz w:val="18"/>
          <w:szCs w:val="18"/>
          <w:color w:val="auto"/>
        </w:rPr>
        <w:t>The Flat-roll segment was previously referred to as the Coil segment. The Company is now using Flat-roll to describe the segment due to it being a more common term used in the Company's industry.</w:t>
      </w:r>
    </w:p>
    <w:tbl>
      <w:tblPr>
        <w:tblLayout w:type="fixed"/>
        <w:tblInd w:w="840" w:type="dxa"/>
        <w:tblCellMar>
          <w:top w:w="0" w:type="dxa"/>
          <w:left w:w="0" w:type="dxa"/>
          <w:bottom w:w="0" w:type="dxa"/>
          <w:right w:w="0" w:type="dxa"/>
        </w:tblCellMar>
      </w:tblPr>
      <w:tr>
        <w:trPr>
          <w:trHeight w:val="199"/>
        </w:trPr>
        <w:tc>
          <w:tcPr>
            <w:tcW w:w="6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gridSpan w:val="5"/>
          </w:tcPr>
          <w:p>
            <w:pPr>
              <w:jc w:val="right"/>
              <w:ind w:right="880"/>
              <w:spacing w:after="0" w:line="199" w:lineRule="exact"/>
              <w:rPr>
                <w:sz w:val="20"/>
                <w:szCs w:val="20"/>
                <w:color w:val="auto"/>
              </w:rPr>
            </w:pPr>
            <w:r>
              <w:rPr>
                <w:rFonts w:ascii="Arial" w:cs="Arial" w:eastAsia="Arial" w:hAnsi="Arial"/>
                <w:sz w:val="18"/>
                <w:szCs w:val="18"/>
                <w:b w:val="1"/>
                <w:bCs w:val="1"/>
                <w:color w:val="auto"/>
              </w:rPr>
              <w:t>Three Months Ended</w:t>
            </w:r>
          </w:p>
        </w:tc>
      </w:tr>
      <w:tr>
        <w:trPr>
          <w:trHeight w:val="234"/>
        </w:trPr>
        <w:tc>
          <w:tcPr>
            <w:tcW w:w="6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right"/>
              <w:ind w:right="138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6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Flat-roll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125,197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142,877</w:t>
            </w: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18,926</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ind w:left="660"/>
              <w:spacing w:after="0"/>
              <w:rPr>
                <w:sz w:val="20"/>
                <w:szCs w:val="20"/>
                <w:color w:val="auto"/>
              </w:rPr>
            </w:pPr>
            <w:r>
              <w:rPr>
                <w:rFonts w:ascii="Arial" w:cs="Arial" w:eastAsia="Arial" w:hAnsi="Arial"/>
                <w:sz w:val="18"/>
                <w:szCs w:val="18"/>
                <w:color w:val="auto"/>
              </w:rPr>
              <w:t>Total 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137,298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161,803</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Flat-roll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13,543</w:t>
            </w: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Tubular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2,104</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profit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15,647</w:t>
            </w: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General corporate expenses</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(3,721)</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(3,328)</w:t>
            </w: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economic hedges of risk</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2,754</w:t>
            </w: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660"/>
              <w:spacing w:after="0"/>
              <w:rPr>
                <w:sz w:val="20"/>
                <w:szCs w:val="20"/>
                <w:color w:val="auto"/>
              </w:rPr>
            </w:pPr>
            <w:r>
              <w:rPr>
                <w:rFonts w:ascii="Arial" w:cs="Arial" w:eastAsia="Arial" w:hAnsi="Arial"/>
                <w:sz w:val="18"/>
                <w:szCs w:val="18"/>
                <w:color w:val="auto"/>
              </w:rPr>
              <w:t>Total earnings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10,253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14,657</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June 30, 2023</w:t>
            </w:r>
          </w:p>
        </w:tc>
        <w:tc>
          <w:tcPr>
            <w:tcW w:w="140" w:type="dxa"/>
            <w:vAlign w:val="bottom"/>
          </w:tcPr>
          <w:p>
            <w:pPr>
              <w:spacing w:after="0"/>
              <w:rPr>
                <w:sz w:val="24"/>
                <w:szCs w:val="2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March 31, 2023</w:t>
            </w: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Flat-roll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185,303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179,780</w:t>
            </w: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15,858</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205,466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195,638</w:t>
            </w: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211,402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199,312</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Operating profit is total net sales less operating expenses, excluding general corporate expenses, gain on economic hedges of risk, interest expense and other income.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At June 30, and March 31, 2023, Corporate assets consist primarily of cash, restricted cash, unamortized debt issuance costs and the cash value of officers’ life insurance. Although inventory is transferred at cost between product groups, there are no sales between product groups.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NOTE K — REVENUE</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Revenue is generated primarily from contracts to manufacture or process steel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1"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The Company has two reportable segments: Flat-roll and Tubular. Flat-roll primarily generates revenue from cutting to length hot-rolled steel coils. Flat-roll segment revenue consists of three main product types: Prime Coil, Non-Standard Coil and Customer Owned Coil. Tubular primarily generates revenue from selling steel pipe it has manufactured resulting in a single product type: Manufactured Pipe. The following table disaggregates our revenue by product for each of our reportable business segments for the three months ended June 30, 2023 and 2022, respectively (in thousands):</w:t>
      </w:r>
    </w:p>
    <w:p>
      <w:pPr>
        <w:spacing w:after="0" w:line="153"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33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622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220" w:type="dxa"/>
            <w:vAlign w:val="bottom"/>
          </w:tcPr>
          <w:p>
            <w:pPr>
              <w:spacing w:after="0"/>
              <w:rPr>
                <w:sz w:val="18"/>
                <w:szCs w:val="18"/>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Flat-roll Segment:</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Prime Coil</w:t>
            </w:r>
          </w:p>
        </w:tc>
        <w:tc>
          <w:tcPr>
            <w:tcW w:w="1520" w:type="dxa"/>
            <w:vAlign w:val="bottom"/>
          </w:tcPr>
          <w:p>
            <w:pPr>
              <w:jc w:val="right"/>
              <w:spacing w:after="0"/>
              <w:rPr>
                <w:sz w:val="20"/>
                <w:szCs w:val="20"/>
                <w:color w:val="auto"/>
              </w:rPr>
            </w:pPr>
            <w:r>
              <w:rPr>
                <w:rFonts w:ascii="Arial" w:cs="Arial" w:eastAsia="Arial" w:hAnsi="Arial"/>
                <w:sz w:val="18"/>
                <w:szCs w:val="18"/>
                <w:color w:val="auto"/>
              </w:rPr>
              <w:t>123,822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140,981</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Non-standard Coil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Processing or Storage of Customer Owned Coil</w:t>
            </w:r>
          </w:p>
        </w:tc>
        <w:tc>
          <w:tcPr>
            <w:tcW w:w="1520" w:type="dxa"/>
            <w:vAlign w:val="bottom"/>
          </w:tcPr>
          <w:p>
            <w:pPr>
              <w:jc w:val="right"/>
              <w:spacing w:after="0"/>
              <w:rPr>
                <w:sz w:val="20"/>
                <w:szCs w:val="20"/>
                <w:color w:val="auto"/>
              </w:rPr>
            </w:pPr>
            <w:r>
              <w:rPr>
                <w:rFonts w:ascii="Arial" w:cs="Arial" w:eastAsia="Arial" w:hAnsi="Arial"/>
                <w:sz w:val="18"/>
                <w:szCs w:val="18"/>
                <w:color w:val="auto"/>
              </w:rPr>
              <w:t>1,224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r>
      <w:tr>
        <w:trPr>
          <w:trHeight w:val="20"/>
        </w:trPr>
        <w:tc>
          <w:tcPr>
            <w:tcW w:w="6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125,197</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142,877</w:t>
            </w:r>
          </w:p>
        </w:tc>
      </w:tr>
      <w:tr>
        <w:trPr>
          <w:trHeight w:val="196"/>
        </w:trPr>
        <w:tc>
          <w:tcPr>
            <w:tcW w:w="622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Tubular Segment:</w:t>
            </w:r>
          </w:p>
        </w:tc>
        <w:tc>
          <w:tcPr>
            <w:tcW w:w="15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Manufactured Pipe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18,926</w:t>
            </w:r>
          </w:p>
        </w:tc>
      </w:tr>
      <w:tr>
        <w:trPr>
          <w:trHeight w:val="20"/>
        </w:trPr>
        <w:tc>
          <w:tcPr>
            <w:tcW w:w="62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12,101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18,926</w:t>
            </w:r>
          </w:p>
        </w:tc>
      </w:tr>
      <w:tr>
        <w:trPr>
          <w:trHeight w:val="20"/>
        </w:trPr>
        <w:tc>
          <w:tcPr>
            <w:tcW w:w="6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NOTE L — STOCKHOLDERS’ 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reflect the changes in stockholders’ equity for each of the three months ended June 30, 2023 and June 30, 2022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Net of Tax</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8,869</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79,653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115,432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7,690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80" w:type="dxa"/>
            <w:vAlign w:val="bottom"/>
          </w:tcPr>
          <w:p>
            <w:pPr>
              <w:ind w:left="820"/>
              <w:spacing w:after="0"/>
              <w:rPr>
                <w:sz w:val="20"/>
                <w:szCs w:val="20"/>
                <w:color w:val="auto"/>
              </w:rPr>
            </w:pPr>
            <w:r>
              <w:rPr>
                <w:rFonts w:ascii="Arial" w:cs="Arial" w:eastAsia="Arial" w:hAnsi="Arial"/>
                <w:sz w:val="18"/>
                <w:szCs w:val="18"/>
                <w:color w:val="auto"/>
              </w:rPr>
              <w:t>BALANCE AT JUNE 30, 2023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8,869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35,083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87,195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123,369</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Net of Tax</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95"/>
        </w:trPr>
        <w:tc>
          <w:tcPr>
            <w:tcW w:w="3280" w:type="dxa"/>
            <w:vAlign w:val="bottom"/>
            <w:gridSpan w:val="2"/>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1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2022</w:t>
            </w:r>
          </w:p>
        </w:tc>
        <w:tc>
          <w:tcPr>
            <w:tcW w:w="20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79,686</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11,184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11,184</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7,174</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 Plateplus business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combination</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80" w:type="dxa"/>
            <w:vAlign w:val="bottom"/>
            <w:gridSpan w:val="2"/>
          </w:tcPr>
          <w:p>
            <w:pPr>
              <w:ind w:left="820"/>
              <w:spacing w:after="0"/>
              <w:rPr>
                <w:sz w:val="20"/>
                <w:szCs w:val="20"/>
                <w:color w:val="auto"/>
              </w:rPr>
            </w:pPr>
            <w:r>
              <w:rPr>
                <w:rFonts w:ascii="Arial" w:cs="Arial" w:eastAsia="Arial" w:hAnsi="Arial"/>
                <w:sz w:val="18"/>
                <w:szCs w:val="18"/>
                <w:color w:val="auto"/>
              </w:rPr>
              <w:t>BALANCE AT JUNE 30, 2022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8,861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34,783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69,936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102,715</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NOTE M — OTHER COMPREHENSIVE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tax effects on each component of Other Comprehensive Income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ind w:left="840"/>
              <w:spacing w:after="0"/>
              <w:rPr>
                <w:sz w:val="20"/>
                <w:szCs w:val="20"/>
                <w:color w:val="auto"/>
              </w:rPr>
            </w:pPr>
            <w:r>
              <w:rPr>
                <w:rFonts w:ascii="Arial" w:cs="Arial" w:eastAsia="Arial" w:hAnsi="Arial"/>
                <w:sz w:val="18"/>
                <w:szCs w:val="18"/>
                <w:b w:val="1"/>
                <w:bCs w:val="1"/>
                <w:color w:val="auto"/>
              </w:rPr>
              <w:t>Three Months Ended June 30, 2023</w:t>
            </w: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ind w:left="840"/>
              <w:spacing w:after="0"/>
              <w:rPr>
                <w:sz w:val="20"/>
                <w:szCs w:val="20"/>
                <w:color w:val="auto"/>
              </w:rPr>
            </w:pPr>
            <w:r>
              <w:rPr>
                <w:rFonts w:ascii="Arial" w:cs="Arial" w:eastAsia="Arial" w:hAnsi="Arial"/>
                <w:sz w:val="18"/>
                <w:szCs w:val="18"/>
                <w:b w:val="1"/>
                <w:bCs w:val="1"/>
                <w:color w:val="auto"/>
              </w:rPr>
              <w:t>Three Months Ended June 30, 2022</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9,460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(2,286)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20" w:type="dxa"/>
            <w:vAlign w:val="bottom"/>
            <w:vMerge w:val="restart"/>
          </w:tcPr>
          <w:p>
            <w:pPr>
              <w:jc w:val="right"/>
              <w:ind w:right="510"/>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N — EARNINGS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dilutive net earnings per share is computed based on the following information (in thousands, except for share data):</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(basic and diluted)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7,690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11,184</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Allocation to unvested restricted stock units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r>
      <w:tr>
        <w:trPr>
          <w:trHeight w:val="20"/>
        </w:trPr>
        <w:tc>
          <w:tcPr>
            <w:tcW w:w="6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ind w:left="20"/>
              <w:spacing w:after="0"/>
              <w:rPr>
                <w:sz w:val="20"/>
                <w:szCs w:val="20"/>
                <w:color w:val="auto"/>
              </w:rPr>
            </w:pPr>
            <w:r>
              <w:rPr>
                <w:rFonts w:ascii="Arial" w:cs="Arial" w:eastAsia="Arial" w:hAnsi="Arial"/>
                <w:sz w:val="18"/>
                <w:szCs w:val="18"/>
                <w:color w:val="auto"/>
              </w:rPr>
              <w:t>Net earnings attributable to common shareholders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7,600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10,988</w:t>
            </w: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Denominator (basic and diluted)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7,288,906</w:t>
            </w:r>
          </w:p>
        </w:tc>
        <w:tc>
          <w:tcPr>
            <w:tcW w:w="4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7,071,066</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60" w:right="320" w:firstLine="324"/>
        <w:spacing w:after="0" w:line="277" w:lineRule="auto"/>
        <w:rPr>
          <w:sz w:val="20"/>
          <w:szCs w:val="20"/>
          <w:color w:val="auto"/>
        </w:rPr>
      </w:pPr>
      <w:r>
        <w:rPr>
          <w:rFonts w:ascii="Arial" w:cs="Arial" w:eastAsia="Arial" w:hAnsi="Arial"/>
          <w:sz w:val="18"/>
          <w:szCs w:val="18"/>
          <w:color w:val="auto"/>
        </w:rPr>
        <w:t>For the three months ended June 30, 2023 and 2022, the Company allocated dividends and undistributed earnings to the unvested restricted stock units.</w:t>
      </w:r>
    </w:p>
    <w:p>
      <w:pPr>
        <w:spacing w:after="0" w:line="170" w:lineRule="exact"/>
        <w:rPr>
          <w:sz w:val="20"/>
          <w:szCs w:val="20"/>
          <w:color w:val="auto"/>
        </w:rPr>
      </w:pPr>
    </w:p>
    <w:p>
      <w:pPr>
        <w:ind w:left="160" w:right="300" w:firstLine="324"/>
        <w:spacing w:after="0" w:line="277" w:lineRule="auto"/>
        <w:rPr>
          <w:sz w:val="20"/>
          <w:szCs w:val="20"/>
          <w:color w:val="auto"/>
        </w:rPr>
      </w:pPr>
      <w:r>
        <w:rPr>
          <w:rFonts w:ascii="Arial" w:cs="Arial" w:eastAsia="Arial" w:hAnsi="Arial"/>
          <w:sz w:val="18"/>
          <w:szCs w:val="18"/>
          <w:color w:val="auto"/>
        </w:rPr>
        <w:t>As the restricted stock qualifies as participating securities, the following restricted stock units were not accounted in the computation of weighted average diluted common shares outstanding under the two-class method:</w:t>
      </w:r>
    </w:p>
    <w:p>
      <w:pPr>
        <w:spacing w:after="0" w:line="166"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840" w:type="dxa"/>
        <w:tblCellMar>
          <w:top w:w="0" w:type="dxa"/>
          <w:left w:w="0" w:type="dxa"/>
          <w:bottom w:w="0" w:type="dxa"/>
          <w:right w:w="0" w:type="dxa"/>
        </w:tblCellMar>
      </w:tblPr>
      <w:tr>
        <w:trPr>
          <w:trHeight w:val="209"/>
        </w:trPr>
        <w:tc>
          <w:tcPr>
            <w:tcW w:w="62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7200" w:type="dxa"/>
            <w:vAlign w:val="bottom"/>
            <w:gridSpan w:val="2"/>
            <w:shd w:val="clear" w:color="auto" w:fill="CCEEFF"/>
          </w:tcPr>
          <w:p>
            <w:pPr>
              <w:jc w:val="right"/>
              <w:ind w:right="5390"/>
              <w:spacing w:after="0"/>
              <w:rPr>
                <w:sz w:val="20"/>
                <w:szCs w:val="20"/>
                <w:color w:val="auto"/>
              </w:rPr>
            </w:pPr>
            <w:r>
              <w:rPr>
                <w:rFonts w:ascii="Arial" w:cs="Arial" w:eastAsia="Arial" w:hAnsi="Arial"/>
                <w:sz w:val="18"/>
                <w:szCs w:val="18"/>
                <w:b w:val="1"/>
                <w:bCs w:val="1"/>
                <w:color w:val="auto"/>
                <w:w w:val="88"/>
              </w:rPr>
              <w:t>Restricted Stock Units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60,524</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69,702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O — SUPPLEMENTAL CASH FLOW INFORMATION</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paid interest of approximately $0.5 million and $0.4 million during the three months ended June 30, 2023 and 2022, respectively. Additionally, the Company paid income taxes of approximately $47,000 and $40,000 during the three months ended June 30, 2023 and 2022, respectively. During the three months ended June 30, 2022, the Company issued 516,041 shares of common stock as part of the Plateplus business combination resulting in non-cash investing activity of approximately $4.8 million.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NOTE P — INCOME TAXES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For the three months ended June 30, 2023 and 2022, the Company recorded an income tax provision of approximately $2.6 million and $3.5 million, respectively. For the three months ended June 30, 2023 and three months ended June 30, 2022, the effective tax rate differed from the federal statutory rate due primarily to the inclusion of state tax expenses in the provision.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Friedman Industries, Incorporated is a manufacturer and processor of steel products and operates in two reportable segments; flat-roll products and tubular products. The flat-roll segment was previously referred to as the coil segment. The Company is now using flat-roll to describe the segment due to it being a more common term used in the Company's industry.</w:t>
      </w:r>
    </w:p>
    <w:p>
      <w:pPr>
        <w:spacing w:after="0" w:line="184"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The flat-roll product segment consists of the operation of five hot-rolled coil processing facilities located in Hickman, Arkansas; Decatur, Alabama; East Chicago, Indiana; Granite City, Illinois and Sinton, Texas. The facilities in Granite City and East Chicago were acquired on April 30, 2022 from Plateplus, Inc ("Plateplus"). More information about the Plateplus transaction can be found in Note B to the condensed consolidated financial statements. The facility in Sinton is a newly constructed facility that commenced operations during October 2022.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coil product segment revenue is generated from sales of Company owned inventory but the segment also generates revenue from the processing or storage of customer owned coils on a fee basis.</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All of the tubular segment's revenue is generated from sales of Company owned inventory.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Three Months Ended June 30, 2023 Compared to Three Months Ended June 30, 2022</w:t>
      </w:r>
    </w:p>
    <w:p>
      <w:pPr>
        <w:spacing w:after="0" w:line="225"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During the three months ended June 30, 2023 (the “2023 quarter”), sales, costs of goods sold and gross profit decreased approximately $24.5 million, $22.2 million and $2.3 million, respectively, compared to the amounts recorded during the three months ended June 30, 2022 (the “2022 quarter”). The decrease in sales was primarily related to a decline in the average selling price partially offset by an increase in tons sold. Tons sold increased from approximately 105,000 tons in the 2022 quarter to approximately 129,000 tons in the 2023 quarter. The growth in sales volume was primarily related to the Company's Sinton, TX facility which commenced operations in October 2022 and the 2022 quarter containing only two months of sales activity following the April 30, 2022 acquisition of facilities and inventory from Plateplus. Gross profit decreased from approximately $18.6 million for the 2022 quarter to approximately $16.3 million for the 2023 quarter. Gross profit as a percentage of sales increased from approximately 11.5% for the 2022 quarter to approximately 11.9% for the 2023 quarter. Gross profit for the 2023 quarter included a recognized loss of approximately $0.4 million related to hedging activities while gross profit for the 2022 quarter included a recognized loss of approximately $0.6 million related to hedging activities. Excluding the recognized hedging losses, gross profit related to physical material as a percentage of sales was approximately 12.2% for the 2023 quarter compared to approximately 11.9% for the 2022 quarter.</w:t>
      </w:r>
    </w:p>
    <w:p>
      <w:pPr>
        <w:spacing w:after="0" w:line="182"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Our operating results are significantly impacted by the market price of hot-rolled steel coil ("HRC"). The Company experienced significant volatility in steel price during both the 2023 quarter and the 2022 quarter. Entering the 2022 quarter, HRC prices experienced a sharp and abrupt increase in reaction to the Russian invasion of Ukraine increasing approximately 60% from March 2022 to April 2022. HRC prices then declined approximately 60% until the middle of December 2022. From late November 2022 until April 2023, domestic steel producers announced several rounds of price increases with HRC prices increasing approximately 95% during this time. From the middle of April 2023 and until the end of the 2023 quarter, HRC prices declined approximately 27%. For both the 2023 and 2022 quarters, the Company experienced significant increases in steel prices entering the quarters with an inflection point in steel price occurring during each quarter. As a result both quarters experienced stronger margins in the first half followed by margin compression in the second half. Overall, both quarters are characterized as periods of relatively strong margins.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Flat-roll Segment</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Flat-roll product segment sales for the 2023 quarter totaled approximately $125.2 million compared to approximately $142.9 million for the 2022 quarter. For a more complete understanding of the average selling prices of goods sold, it is helpful to exclude any hedging related gains or losses that are captured in sales and any sales generated from processing or storage of customer owned material. Flat-roll segment sales for the 2023 quarter were reduced by approximately $0.4 million for the recognition of hedging related losses. Flat-roll segment sales for the 2022 quarter were reduced by approximately $0.6 million for the recognition of hedging related losses. Sales generated from processing or storage of customer owned material totaled approximately $1.2 million for the 2023 quarter compared to approximately $0.4 million for the 2022 quarter. Sales generated from flat-roll segment inventory, excluding the impact of any hedging related gains or losses, totaled approximately $124.4 million for the 2023 quarter compared to approximately $143.1 million for the 2022 quarter. The average per ton selling price related to these shipments decreased from approximately $1,525 per ton in the 2022 quarter to approximately $1,038 per ton in the 2023 quarter. Inventory tons sold increased from approximately 94,000 tons in the 2022 quarter to approximately 120,000 tons in the 2023 quarter. The growth in sales volume was primarily related to the Company's Sinton, TX facility which commenced operations in October 2022 and the 2022 quarter containing only two months of sales activity following the April 30, 2022 acquisition of facilities and inventory from Plateplus. Flat-roll segment operations recorded operating profits of approximately $11.8 million and $13.5 million for the 2023 quarter and 2022 quarter, respectively. The operating profit for the 2023 quarter includes a recognized loss on hedging activities of approximately $0.4 million while the 2022 quarter operating profit included a recognized loss on hedging activities of approximately $0.6 million.</w:t>
      </w:r>
    </w:p>
    <w:p>
      <w:pPr>
        <w:spacing w:after="0" w:line="171"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Company’s flat-roll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Tubular Segment</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Tubular product segment sales for the 2023 quarter totaled approximately $12.1 million compared to approximately $18.9 million for the 2022 quarter. Tubular segment sales for the 2023 quarter and 2022 quarter were not impacted by any hedging related gains or losses. Sales decreased due to a decrease in the average selling price per ton, accompanied by a decline in the volume sold. The average per ton selling price decreased from approximately $1,779 per ton in the 2022 quarter to approximately $1,358 per ton in the 2023 quarter. Tons sold decreased from approximately 10,500 tons in the 2022 quarter to approximately 9,000 tons in the 2023 quarter. The tubular segment recorded operating profits of approximately $2.3 million and $2.1 million for the 2023 quarter and 2022 quarter, respectively.</w:t>
      </w:r>
    </w:p>
    <w:p>
      <w:pPr>
        <w:spacing w:after="0" w:line="19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tubular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Costs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During the 2023 quarter, selling, general and administrative costs decreased approximately $0.4 million compared to the 2022 quarter. This decrease is primarily associated with one-time costs associated with the Plateplus transaction during the 2022 quarter.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Income taxes decreased from a provision for the 2022 quarter of approximately $3.4 million to a provision for the 2023 quarter of approximately $2.6 million. This decrease was primarily related to the lower earnings before income tax for the 2023 quarter. The income tax provision as a percentage of earnings before tax was approximately 25.0% and 23.7% for the three months ended June 30, 2023 and 2022, respectively. For both periods, the effective tax rate differed from the federal statutory rate due primarily to the inclusion of state income taxes in the provision.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Company’s current ratio was 3.6 at June 30, 2023 and 3.2 at March 31, 2023. Working capital was approximately $113.1 million at June 30, 2023 and $98.6 million at March 31, 2023.</w:t>
      </w:r>
    </w:p>
    <w:p>
      <w:pPr>
        <w:spacing w:after="0" w:line="170"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During the three months ended June 30, 2023, the Company maintained assets and liabilities at levels it believed were commensurate with operations. Changes in balance sheet amounts occurred in the ordinary course of business. Cash and restricted cash increased slightly due primarily to cash provided from the Company's credit facility being greater than cash used in operating activities and investing activities. The Company expects to continue to monitor, evaluate and manage balance sheet components depending on changes in market conditions and the Company’s operations.</w:t>
      </w:r>
    </w:p>
    <w:p>
      <w:pPr>
        <w:spacing w:after="0" w:line="171"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The Company has a $150 million asset-based lending facility ("ABL Facility") which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June 30, 2023, the Company had a balance of approximately $39.3 million under the ABL Facility with an applicable interest rate of 7.25%. At June 30, 2023, the Company's applicable borrowing base calculation supported access to approximately $111.0 million of the ABL Facility. As of the filing date of this Form 10-Q, the Company had borrowings of approximately $38.0 million outstanding under the ABL Facility and the Company's most recent borrowing base calculation provided access to approximately $107.5 million of the ABL Facility.</w:t>
      </w:r>
    </w:p>
    <w:p>
      <w:pPr>
        <w:spacing w:after="0" w:line="17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CONTRACTS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From time to time, the Company may use futures contracts to partially manage exposure to commodity price risk. The Company elects hedge accounting for some of its derivatives and classifies the transactions as either cash flow hedges or fair value hedges. From time to time, the Company may also transact futures contracts where hedge accounting is not elected. The Company recognized a loss related to derivatives designated for hedge accounting of approximately $0.4 million the three months ended June 23, 2023. For derivatives not designated for hedge accounting, the Company recognized a gain of approximately $0.4 million for the three months ended June 30, 2023. See Note H for further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expects steady demand for its second quarter ending September 30, 2023 with sales volume expected to be approximately the same as volume for the first quarter ended June 30, 2023. HRC price has continued to see downward pressure during the second quarter. The Company expects lower physical margins for the second quarter compared to the first quarter due to the HRC price trend with hedging related gains partially offsetting the impact of lower margins.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for the Company include determining the fair value of assets acquired and liabilities assumed in the business combination discussed in Note B. The determination of fair value requires management to make significant judgments and estimates, including the selection of valuation methodologies, estimates of future revenue and cash flows, discount rates and selection of comparable companies. Actual results could differ from these estimates.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7"/>
          <w:szCs w:val="17"/>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w:t>
      </w:r>
    </w:p>
    <w:p>
      <w:pPr>
        <w:spacing w:after="0" w:line="19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upon our evaluation, the Chief Executive Officer and Chief Financial Officer have concluded that the Company’s disclosure controls and procedures were not effective as of the end of the period covered by this Quarterly Report on Form 10-Q because the Company has not yet completed its remediation of the material weaknesses previously identified and disclosed in the Company’s Annual Report on Form 10-K for the fiscal year ended March 31, 2023.</w:t>
      </w:r>
    </w:p>
    <w:p>
      <w:pPr>
        <w:spacing w:after="0" w:line="16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Notwithstanding the identified material weaknesses, the Company's management, including our Chief Executive Officer and Chief Financial Officer, believes that the consolidated financial statements included in this Quarterly Report on Form 10-Q fairly present in all material respects our financial condition and results of operations for the three months ended June 30, 2023 in accordance with U.S.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audit process related to our fiscal year ended March 31, 2023, management, in connection with our independent auditors, identified the following material weaknesses:</w:t>
      </w:r>
    </w:p>
    <w:p>
      <w:pPr>
        <w:spacing w:after="0" w:line="170" w:lineRule="exact"/>
        <w:rPr>
          <w:sz w:val="20"/>
          <w:szCs w:val="20"/>
          <w:color w:val="auto"/>
        </w:rPr>
      </w:pPr>
    </w:p>
    <w:p>
      <w:pPr>
        <w:jc w:val="both"/>
        <w:ind w:firstLine="494"/>
        <w:spacing w:after="0" w:line="255"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did not design relevant control activities necessary to address all identified risks of material misstatement or in some circumstances, controls were designed appropriately but were implemented late in the fiscal year not allowing a sufficient period of time to evidence operating effectiveness.</w:t>
      </w:r>
    </w:p>
    <w:p>
      <w:pPr>
        <w:spacing w:after="0" w:line="2" w:lineRule="exact"/>
        <w:rPr>
          <w:rFonts w:ascii="Arial" w:cs="Arial" w:eastAsia="Arial" w:hAnsi="Arial"/>
          <w:sz w:val="18"/>
          <w:szCs w:val="18"/>
          <w:color w:val="auto"/>
        </w:rPr>
      </w:pPr>
    </w:p>
    <w:p>
      <w:pPr>
        <w:ind w:firstLine="494"/>
        <w:spacing w:after="0" w:line="250" w:lineRule="auto"/>
        <w:tabs>
          <w:tab w:leader="none" w:pos="6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did not design and implement control activities to ensure completeness and accuracy of key reports used in the performance of certain controls.</w:t>
      </w:r>
    </w:p>
    <w:p>
      <w:pPr>
        <w:ind w:left="640" w:hanging="14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review were not designed to operate at a level of precision sufficient to identify all potential material errors.</w:t>
      </w:r>
    </w:p>
    <w:p>
      <w:pPr>
        <w:spacing w:after="0" w:line="9" w:lineRule="exact"/>
        <w:rPr>
          <w:rFonts w:ascii="Arial" w:cs="Arial" w:eastAsia="Arial" w:hAnsi="Arial"/>
          <w:sz w:val="18"/>
          <w:szCs w:val="18"/>
          <w:color w:val="auto"/>
        </w:rPr>
      </w:pPr>
    </w:p>
    <w:p>
      <w:pPr>
        <w:ind w:left="640" w:hanging="146"/>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controls were not executed or performed or were performed without sufficient documentation supporting the execution of the controls.</w:t>
      </w:r>
    </w:p>
    <w:p>
      <w:pPr>
        <w:spacing w:after="0" w:line="32" w:lineRule="exact"/>
        <w:rPr>
          <w:rFonts w:ascii="Arial" w:cs="Arial" w:eastAsia="Arial" w:hAnsi="Arial"/>
          <w:sz w:val="16"/>
          <w:szCs w:val="16"/>
          <w:color w:val="auto"/>
        </w:rPr>
      </w:pPr>
    </w:p>
    <w:p>
      <w:pPr>
        <w:ind w:left="640" w:hanging="14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had inadequate segregation of duties for certain business transactions.</w:t>
      </w:r>
    </w:p>
    <w:p>
      <w:pPr>
        <w:sectPr>
          <w:pgSz w:w="11900" w:h="16838" w:orient="portrait"/>
          <w:cols w:equalWidth="0" w:num="1">
            <w:col w:w="11240"/>
          </w:cols>
          <w:pgMar w:left="320" w:top="125" w:right="339" w:bottom="183"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83"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Material Weakness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the prior year, the Company identified that the number of accounting personnel and the limited utilization of information technology in its control structure were the primary contributing factors to the material weaknesses identified. The Company hired additional personnel during the fiscal year ended March 31, 2023 ("fiscal 2023") and believes it is adequately staffed to execute the remediation plans developed by management. The previously identified material weaknesses have not been remediated due to ongoing post-acquisition integration during fiscal 2023. The operation of the full business in a new enterprise resource planning ("ERP") system is the most significant piece of this integration. All of the Company's coil segment locations were integrated into the new ERP system as of February 2023. The Company's tubular segment went live under the new ERP system at the start of August 2023. The Company expects the new ERP system to allow for many of the Company’s current manual controls and missing controls to be performed by the design and capabilities of the ERP system rather than relying on manual human execution. With most of the post-acquisition integration completed, the Company expects its additional personnel will be able to dedicate the necessary time during the fiscal year ended March 31, 2024 to improve the design, documentation and execution of internal controls.</w:t>
      </w:r>
    </w:p>
    <w:p>
      <w:pPr>
        <w:spacing w:after="0" w:line="18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will continue to monitor the design and effectiveness of these procedures and controls and make any further changes the Company determines appropriate. We believe the additional investment in human capital and technology described above will allow the Company to remediate the material weaknesses identified. However, the material weaknesses will not be considered remediated until the applicable remedial actions operate effectively for a sufficient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Except as discussed above, there were no changes in the Company's internal control over financial reporting that occurred during the fiscal quarter ended June 30, 2023 that have materially affected, or are reasonably likely to materially affect, the Company's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FRIEDMAN INDUSTRIES,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020" w:type="dxa"/>
            <w:vAlign w:val="bottom"/>
          </w:tcPr>
          <w:p>
            <w:pPr>
              <w:ind w:left="100"/>
              <w:spacing w:after="0"/>
              <w:rPr>
                <w:sz w:val="20"/>
                <w:szCs w:val="20"/>
                <w:color w:val="auto"/>
              </w:rPr>
            </w:pPr>
            <w:r>
              <w:rPr>
                <w:rFonts w:ascii="Arial" w:cs="Arial" w:eastAsia="Arial" w:hAnsi="Arial"/>
                <w:sz w:val="18"/>
                <w:szCs w:val="18"/>
                <w:color w:val="auto"/>
              </w:rPr>
              <w:t>3.1</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8">
              <w:r>
                <w:rPr>
                  <w:rFonts w:ascii="Arial" w:cs="Arial" w:eastAsia="Arial" w:hAnsi="Arial"/>
                  <w:sz w:val="18"/>
                  <w:szCs w:val="18"/>
                  <w:color w:val="0000EE"/>
                  <w:w w:val="93"/>
                </w:rPr>
                <w:t>Articles of Incorporation of the Company, as amended (incorporated by reference from Exhibit 3.1 to the Company’s Form S-8 filed</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38">
              <w:r>
                <w:rPr>
                  <w:rFonts w:ascii="Arial" w:cs="Arial" w:eastAsia="Arial" w:hAnsi="Arial"/>
                  <w:sz w:val="18"/>
                  <w:szCs w:val="18"/>
                  <w:color w:val="0000EE"/>
                  <w:w w:val="89"/>
                </w:rPr>
                <w:t>on December 21, 2016).</w:t>
              </w:r>
            </w:hyperlink>
          </w:p>
        </w:tc>
        <w:tc>
          <w:tcPr>
            <w:tcW w:w="7900" w:type="dxa"/>
            <w:vAlign w:val="bottom"/>
            <w:tcBorders>
              <w:top w:val="single" w:sz="8" w:color="0000EE"/>
            </w:tcBorders>
            <w:gridSpan w:val="6"/>
          </w:tcPr>
          <w:p>
            <w:pPr>
              <w:spacing w:after="0"/>
              <w:rPr>
                <w:sz w:val="17"/>
                <w:szCs w:val="17"/>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8">
              <w:r>
                <w:rPr>
                  <w:rFonts w:ascii="Arial" w:cs="Arial" w:eastAsia="Arial" w:hAnsi="Arial"/>
                  <w:sz w:val="18"/>
                  <w:szCs w:val="18"/>
                  <w:color w:val="0000EE"/>
                  <w:w w:val="93"/>
                </w:rPr>
                <w:t>Articles of Amendment to the Articles of Incorporation of the Company, as filed with the Texas Secretary of State on September 22,</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1987 (incorporated by reference from Exhibit 3.1 to the Company’s Form S-8 filed on December 21, 2016).</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3.3</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9">
              <w:r>
                <w:rPr>
                  <w:rFonts w:ascii="Arial" w:cs="Arial" w:eastAsia="Arial" w:hAnsi="Arial"/>
                  <w:sz w:val="18"/>
                  <w:szCs w:val="18"/>
                  <w:color w:val="0000EE"/>
                  <w:w w:val="93"/>
                </w:rPr>
                <w:t>Amended and Restated Bylaws of the Company, as amended on November 8, 2021. (incorporated by reference from Exhibit 3.3 to</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the Company's Form 10-Q filed on November 19, 2021).</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Certification Pursuant to Section 302 of the Sarbanes-Oxley Act of 2002, signed by Michael J. Taylor.</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Certification Pursuant to Section 302 of the Sarbanes-Oxley Act of 2002, signed by Alex LaRue.</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color w:val="0000EE"/>
                <w:w w:val="92"/>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Michael J. Taylor.</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360" w:type="dxa"/>
            <w:vAlign w:val="bottom"/>
            <w:gridSpan w:val="7"/>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color w:val="0000EE"/>
                <w:w w:val="92"/>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Alex LaRue.</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Instance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Taxonomy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Presentation Linkbase Document.</w:t>
            </w:r>
          </w:p>
        </w:tc>
      </w:tr>
    </w:tbl>
    <w:p>
      <w:pPr>
        <w:spacing w:after="0" w:line="202" w:lineRule="exact"/>
        <w:rPr>
          <w:sz w:val="20"/>
          <w:szCs w:val="20"/>
          <w:color w:val="auto"/>
        </w:rPr>
      </w:pPr>
    </w:p>
    <w:p>
      <w:pPr>
        <w:ind w:left="5540" w:right="3500" w:hanging="5532"/>
        <w:spacing w:after="0" w:line="527" w:lineRule="auto"/>
        <w:tabs>
          <w:tab w:leader="none" w:pos="1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 Cover Page Interactive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FRIEDMAN INDUSTRIES, INCORPORATED</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August 14, 2023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60"/>
        <w:spacing w:after="0"/>
        <w:tabs>
          <w:tab w:leader="none" w:pos="160" w:val="left"/>
        </w:tabs>
        <w:rPr>
          <w:sz w:val="20"/>
          <w:szCs w:val="20"/>
          <w:color w:val="auto"/>
        </w:rPr>
      </w:pPr>
      <w:r>
        <w:rPr>
          <w:rFonts w:ascii="Arial" w:cs="Arial" w:eastAsia="Arial" w:hAnsi="Arial"/>
          <w:sz w:val="18"/>
          <w:szCs w:val="18"/>
          <w:color w:val="auto"/>
        </w:rPr>
        <w:t>/s/</w:t>
        <w:tab/>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14605</wp:posOffset>
            </wp:positionV>
            <wp:extent cx="3463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3">
            <w:col w:w="4640" w:space="720"/>
            <w:col w:w="1520" w:space="720"/>
            <w:col w:w="3640"/>
          </w:cols>
          <w:pgMar w:left="320" w:top="125" w:right="339" w:bottom="1440" w:gutter="0" w:footer="0" w:header="0"/>
          <w:type w:val="continuous"/>
        </w:sectPr>
      </w:pPr>
    </w:p>
    <w:p>
      <w:pPr>
        <w:jc w:val="center"/>
        <w:ind w:left="5780"/>
        <w:spacing w:after="0"/>
        <w:rPr>
          <w:sz w:val="20"/>
          <w:szCs w:val="20"/>
          <w:color w:val="auto"/>
        </w:rPr>
      </w:pPr>
      <w:r>
        <w:rPr>
          <w:rFonts w:ascii="Arial" w:cs="Arial" w:eastAsia="Arial" w:hAnsi="Arial"/>
          <w:sz w:val="16"/>
          <w:szCs w:val="16"/>
          <w:color w:val="auto"/>
        </w:rPr>
        <w:t>Alex LaRue, Chief Financial Officer – Secretary and</w:t>
      </w:r>
    </w:p>
    <w:p>
      <w:pPr>
        <w:spacing w:after="0" w:line="46"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Treasurer (Principal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100" w:hanging="6"/>
        <w:spacing w:after="0" w:line="26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60" w:firstLine="480"/>
        <w:spacing w:after="0" w:line="263" w:lineRule="auto"/>
        <w:tabs>
          <w:tab w:leader="none" w:pos="117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right="380" w:firstLine="480"/>
        <w:spacing w:after="0" w:line="342" w:lineRule="auto"/>
        <w:tabs>
          <w:tab w:leader="none" w:pos="117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2023</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100" w:hanging="6"/>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60" w:firstLine="480"/>
        <w:spacing w:after="0" w:line="263" w:lineRule="auto"/>
        <w:tabs>
          <w:tab w:leader="none" w:pos="117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380" w:firstLine="980"/>
        <w:spacing w:after="0" w:line="342" w:lineRule="auto"/>
        <w:tabs>
          <w:tab w:leader="none" w:pos="1157"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2023</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 – Secretary and Treasurer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In connection with the Quarterly Report of Friedman Industries, Incorporated (the “Company”) on Form 10-Q for the period ended June 30, 2023,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49" w:lineRule="exact"/>
        <w:rPr>
          <w:sz w:val="20"/>
          <w:szCs w:val="20"/>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 w:firstLine="494"/>
        <w:spacing w:after="0" w:line="559" w:lineRule="auto"/>
        <w:tabs>
          <w:tab w:leader="none" w:pos="7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August 14, 2023</w:t>
      </w:r>
    </w:p>
    <w:p>
      <w:pPr>
        <w:spacing w:after="0" w:line="14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Taylor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Michael J. Taylor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connection with the Quarterly Report of Friedman Industries, Incorporated (the “Company”) on Form 10-Q for the period ended June 30, 2023,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7" w:lineRule="exact"/>
        <w:rPr>
          <w:sz w:val="20"/>
          <w:szCs w:val="20"/>
          <w:color w:val="auto"/>
        </w:rPr>
      </w:pPr>
    </w:p>
    <w:p>
      <w:pPr>
        <w:ind w:left="740" w:hanging="246"/>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 w:firstLine="494"/>
        <w:spacing w:after="0" w:line="559" w:lineRule="auto"/>
        <w:tabs>
          <w:tab w:leader="none" w:pos="7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August 14, 2023</w:t>
      </w:r>
    </w:p>
    <w:p>
      <w:pPr>
        <w:spacing w:after="0" w:line="14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 LaRue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Alex LaRue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w w:val="96"/>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38" Type="http://schemas.openxmlformats.org/officeDocument/2006/relationships/hyperlink" Target="http://www.sec.gov/Archives/edgar/data/39092/000143774916043636/ex3-1.htm" TargetMode="External"/><Relationship Id="rId39" Type="http://schemas.openxmlformats.org/officeDocument/2006/relationships/hyperlink" Target="http://www.sec.gov/Archives/edgar/data/39092/000143774921027176/ex_3092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2023-08-14T15:35:26Z</dcterms:created>
  <dcterms:modified xsi:type="dcterms:W3CDTF">2023-08-14T15:35:26Z</dcterms:modified>
</cp:coreProperties>
</file>