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475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756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71475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7560" cy="7620"/>
                    </a:xfrm>
                    <a:prstGeom prst="rect">
                      <a:avLst/>
                    </a:prstGeom>
                    <a:noFill/>
                  </pic:spPr>
                </pic:pic>
              </a:graphicData>
            </a:graphic>
          </wp:anchor>
        </w:drawing>
      </w:r>
    </w:p>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156845</wp:posOffset>
            </wp:positionV>
            <wp:extent cx="17926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52070</wp:posOffset>
            </wp:positionV>
            <wp:extent cx="17926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pacing w:after="0" w:line="295" w:lineRule="exact"/>
        <w:rPr>
          <w:sz w:val="24"/>
          <w:szCs w:val="24"/>
          <w:color w:val="auto"/>
        </w:rPr>
      </w:pPr>
    </w:p>
    <w:p>
      <w:pPr>
        <w:ind w:left="3424" w:right="2740" w:hanging="3424"/>
        <w:spacing w:after="0" w:line="501" w:lineRule="auto"/>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00" w:lineRule="exact"/>
        <w:rPr>
          <w:sz w:val="24"/>
          <w:szCs w:val="24"/>
          <w:color w:val="auto"/>
        </w:rPr>
      </w:pPr>
    </w:p>
    <w:p>
      <w:pPr>
        <w:ind w:left="384" w:hanging="384"/>
        <w:spacing w:after="0"/>
        <w:tabs>
          <w:tab w:leader="none" w:pos="3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91" w:lineRule="exact"/>
        <w:rPr>
          <w:sz w:val="24"/>
          <w:szCs w:val="24"/>
          <w:color w:val="auto"/>
        </w:rPr>
      </w:pPr>
    </w:p>
    <w:tbl>
      <w:tblPr>
        <w:tblLayout w:type="fixed"/>
        <w:tblInd w:w="4"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348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FROM THE TRANSITION PERIOD FROM</w:t>
            </w:r>
          </w:p>
        </w:tc>
        <w:tc>
          <w:tcPr>
            <w:tcW w:w="800" w:type="dxa"/>
            <w:vAlign w:val="bottom"/>
            <w:tcBorders>
              <w:bottom w:val="single" w:sz="8" w:color="auto"/>
            </w:tcBorders>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800" w:type="dxa"/>
            <w:vAlign w:val="bottom"/>
            <w:tcBorders>
              <w:bottom w:val="single" w:sz="8" w:color="auto"/>
            </w:tcBorders>
            <w:gridSpan w:val="2"/>
          </w:tcPr>
          <w:p>
            <w:pPr>
              <w:spacing w:after="0"/>
              <w:rPr>
                <w:sz w:val="16"/>
                <w:szCs w:val="16"/>
                <w:color w:val="auto"/>
              </w:rPr>
            </w:pPr>
          </w:p>
        </w:tc>
        <w:tc>
          <w:tcPr>
            <w:tcW w:w="3100" w:type="dxa"/>
            <w:vAlign w:val="bottom"/>
          </w:tcPr>
          <w:p>
            <w:pPr>
              <w:spacing w:after="0"/>
              <w:rPr>
                <w:sz w:val="16"/>
                <w:szCs w:val="16"/>
                <w:color w:val="auto"/>
              </w:rPr>
            </w:pPr>
          </w:p>
        </w:tc>
      </w:tr>
      <w:tr>
        <w:trPr>
          <w:trHeight w:val="400"/>
        </w:trPr>
        <w:tc>
          <w:tcPr>
            <w:tcW w:w="2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COMMISSION FILE NUMBER 1-7521</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40"/>
        </w:trPr>
        <w:tc>
          <w:tcPr>
            <w:tcW w:w="338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66"/>
        </w:trPr>
        <w:tc>
          <w:tcPr>
            <w:tcW w:w="11260" w:type="dxa"/>
            <w:vAlign w:val="bottom"/>
            <w:gridSpan w:val="11"/>
          </w:tcPr>
          <w:p>
            <w:pPr>
              <w:jc w:val="center"/>
              <w:spacing w:after="0"/>
              <w:rPr>
                <w:sz w:val="20"/>
                <w:szCs w:val="20"/>
                <w:color w:val="auto"/>
              </w:rPr>
            </w:pPr>
            <w:r>
              <w:rPr>
                <w:rFonts w:ascii="Times New Roman" w:cs="Times New Roman" w:eastAsia="Times New Roman" w:hAnsi="Times New Roman"/>
                <w:sz w:val="38"/>
                <w:szCs w:val="38"/>
                <w:b w:val="1"/>
                <w:bCs w:val="1"/>
                <w:color w:val="auto"/>
              </w:rPr>
              <w:t>FRIEDMAN INDUSTRIES, INCORPORATED</w:t>
            </w:r>
          </w:p>
        </w:tc>
      </w:tr>
      <w:tr>
        <w:trPr>
          <w:trHeight w:val="211"/>
        </w:trPr>
        <w:tc>
          <w:tcPr>
            <w:tcW w:w="2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80" w:type="dxa"/>
            <w:vAlign w:val="bottom"/>
            <w:gridSpan w:val="9"/>
          </w:tcPr>
          <w:p>
            <w:pPr>
              <w:jc w:val="center"/>
              <w:ind w:right="33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48"/>
        </w:trPr>
        <w:tc>
          <w:tcPr>
            <w:tcW w:w="338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100" w:type="dxa"/>
            <w:vAlign w:val="bottom"/>
          </w:tcPr>
          <w:p>
            <w:pPr>
              <w:spacing w:after="0"/>
              <w:rPr>
                <w:sz w:val="4"/>
                <w:szCs w:val="4"/>
                <w:color w:val="auto"/>
              </w:rPr>
            </w:pPr>
          </w:p>
        </w:tc>
      </w:tr>
      <w:tr>
        <w:trPr>
          <w:trHeight w:val="406"/>
        </w:trPr>
        <w:tc>
          <w:tcPr>
            <w:tcW w:w="7040" w:type="dxa"/>
            <w:vAlign w:val="bottom"/>
            <w:gridSpan w:val="6"/>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4"/>
              </w:rPr>
              <w:t>Texas</w:t>
            </w:r>
          </w:p>
        </w:tc>
        <w:tc>
          <w:tcPr>
            <w:tcW w:w="4220" w:type="dxa"/>
            <w:vAlign w:val="bottom"/>
            <w:gridSpan w:val="5"/>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w w:val="98"/>
              </w:rPr>
              <w:t>74-1504405</w:t>
            </w:r>
          </w:p>
        </w:tc>
      </w:tr>
      <w:tr>
        <w:trPr>
          <w:trHeight w:val="192"/>
        </w:trPr>
        <w:tc>
          <w:tcPr>
            <w:tcW w:w="7040" w:type="dxa"/>
            <w:vAlign w:val="bottom"/>
            <w:gridSpan w:val="6"/>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00" w:type="dxa"/>
            <w:vAlign w:val="bottom"/>
            <w:gridSpan w:val="3"/>
          </w:tcPr>
          <w:p>
            <w:pPr>
              <w:jc w:val="center"/>
              <w:ind w:right="1660"/>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1"/>
        </w:trPr>
        <w:tc>
          <w:tcPr>
            <w:tcW w:w="7040" w:type="dxa"/>
            <w:vAlign w:val="bottom"/>
            <w:gridSpan w:val="6"/>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gridSpan w:val="3"/>
          </w:tcPr>
          <w:p>
            <w:pPr>
              <w:jc w:val="center"/>
              <w:ind w:right="1660"/>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r>
        <w:trPr>
          <w:trHeight w:val="366"/>
        </w:trPr>
        <w:tc>
          <w:tcPr>
            <w:tcW w:w="2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80" w:type="dxa"/>
            <w:vAlign w:val="bottom"/>
            <w:gridSpan w:val="9"/>
          </w:tcPr>
          <w:p>
            <w:pPr>
              <w:jc w:val="center"/>
              <w:ind w:right="3320"/>
              <w:spacing w:after="0"/>
              <w:rPr>
                <w:sz w:val="20"/>
                <w:szCs w:val="20"/>
                <w:color w:val="auto"/>
              </w:rPr>
            </w:pPr>
            <w:r>
              <w:rPr>
                <w:rFonts w:ascii="Times New Roman" w:cs="Times New Roman" w:eastAsia="Times New Roman" w:hAnsi="Times New Roman"/>
                <w:sz w:val="16"/>
                <w:szCs w:val="16"/>
                <w:b w:val="1"/>
                <w:bCs w:val="1"/>
                <w:color w:val="auto"/>
                <w:w w:val="99"/>
              </w:rPr>
              <w:t>1121 Judson Road, Suite 124, Longview, Texas 75601</w:t>
            </w:r>
          </w:p>
        </w:tc>
      </w:tr>
      <w:tr>
        <w:trPr>
          <w:trHeight w:val="211"/>
        </w:trPr>
        <w:tc>
          <w:tcPr>
            <w:tcW w:w="2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80" w:type="dxa"/>
            <w:vAlign w:val="bottom"/>
            <w:gridSpan w:val="9"/>
          </w:tcPr>
          <w:p>
            <w:pPr>
              <w:jc w:val="center"/>
              <w:ind w:right="332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tc>
      </w:tr>
      <w:tr>
        <w:trPr>
          <w:trHeight w:val="384"/>
        </w:trPr>
        <w:tc>
          <w:tcPr>
            <w:tcW w:w="2760" w:type="dxa"/>
            <w:vAlign w:val="bottom"/>
          </w:tcPr>
          <w:p>
            <w:pPr>
              <w:spacing w:after="0"/>
              <w:rPr>
                <w:sz w:val="24"/>
                <w:szCs w:val="24"/>
                <w:color w:val="auto"/>
              </w:rPr>
            </w:pPr>
          </w:p>
        </w:tc>
        <w:tc>
          <w:tcPr>
            <w:tcW w:w="8500" w:type="dxa"/>
            <w:vAlign w:val="bottom"/>
            <w:gridSpan w:val="10"/>
          </w:tcPr>
          <w:p>
            <w:pPr>
              <w:jc w:val="center"/>
              <w:ind w:right="268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 (903)758-3431</w:t>
            </w:r>
          </w:p>
        </w:tc>
      </w:tr>
      <w:tr>
        <w:trPr>
          <w:trHeight w:val="384"/>
        </w:trPr>
        <w:tc>
          <w:tcPr>
            <w:tcW w:w="2760" w:type="dxa"/>
            <w:vAlign w:val="bottom"/>
          </w:tcPr>
          <w:p>
            <w:pPr>
              <w:spacing w:after="0"/>
              <w:rPr>
                <w:sz w:val="24"/>
                <w:szCs w:val="24"/>
                <w:color w:val="auto"/>
              </w:rPr>
            </w:pPr>
          </w:p>
        </w:tc>
        <w:tc>
          <w:tcPr>
            <w:tcW w:w="8500" w:type="dxa"/>
            <w:vAlign w:val="bottom"/>
            <w:gridSpan w:val="10"/>
          </w:tcPr>
          <w:p>
            <w:pPr>
              <w:jc w:val="center"/>
              <w:ind w:right="2700"/>
              <w:spacing w:after="0"/>
              <w:rPr>
                <w:sz w:val="20"/>
                <w:szCs w:val="20"/>
                <w:color w:val="auto"/>
              </w:rPr>
            </w:pPr>
            <w:r>
              <w:rPr>
                <w:rFonts w:ascii="Times New Roman" w:cs="Times New Roman" w:eastAsia="Times New Roman" w:hAnsi="Times New Roman"/>
                <w:sz w:val="16"/>
                <w:szCs w:val="16"/>
                <w:b w:val="1"/>
                <w:bCs w:val="1"/>
                <w:color w:val="auto"/>
                <w:w w:val="99"/>
              </w:rPr>
              <w:t>Former name, former address and former fiscal year, if changed since last report</w:t>
            </w:r>
          </w:p>
        </w:tc>
      </w:tr>
      <w:tr>
        <w:trPr>
          <w:trHeight w:val="384"/>
        </w:trPr>
        <w:tc>
          <w:tcPr>
            <w:tcW w:w="2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80" w:type="dxa"/>
            <w:vAlign w:val="bottom"/>
            <w:gridSpan w:val="9"/>
          </w:tcPr>
          <w:p>
            <w:pPr>
              <w:jc w:val="center"/>
              <w:ind w:right="33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66"/>
        </w:trPr>
        <w:tc>
          <w:tcPr>
            <w:tcW w:w="2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1"/>
        </w:trPr>
        <w:tc>
          <w:tcPr>
            <w:tcW w:w="276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2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201"/>
        </w:trPr>
        <w:tc>
          <w:tcPr>
            <w:tcW w:w="2760" w:type="dxa"/>
            <w:vAlign w:val="bottom"/>
          </w:tcPr>
          <w:p>
            <w:pPr>
              <w:jc w:val="center"/>
              <w:ind w:left="521"/>
              <w:spacing w:after="0"/>
              <w:rPr>
                <w:sz w:val="20"/>
                <w:szCs w:val="20"/>
                <w:color w:val="auto"/>
              </w:rPr>
            </w:pPr>
            <w:r>
              <w:rPr>
                <w:rFonts w:ascii="Times New Roman" w:cs="Times New Roman" w:eastAsia="Times New Roman" w:hAnsi="Times New Roman"/>
                <w:sz w:val="16"/>
                <w:szCs w:val="16"/>
                <w:color w:val="auto"/>
                <w:w w:val="99"/>
              </w:rPr>
              <w:t>Common Stock, $1 Par Value</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FRD</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00" w:type="dxa"/>
            <w:vAlign w:val="bottom"/>
          </w:tcPr>
          <w:p>
            <w:pPr>
              <w:jc w:val="center"/>
              <w:ind w:right="220"/>
              <w:spacing w:after="0"/>
              <w:rPr>
                <w:sz w:val="20"/>
                <w:szCs w:val="20"/>
                <w:color w:val="auto"/>
              </w:rPr>
            </w:pPr>
            <w:r>
              <w:rPr>
                <w:rFonts w:ascii="Times New Roman" w:cs="Times New Roman" w:eastAsia="Times New Roman" w:hAnsi="Times New Roman"/>
                <w:sz w:val="16"/>
                <w:szCs w:val="16"/>
                <w:color w:val="auto"/>
                <w:w w:val="99"/>
              </w:rPr>
              <w:t>NYSE American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2677160</wp:posOffset>
            </wp:positionH>
            <wp:positionV relativeFrom="paragraph">
              <wp:posOffset>142240</wp:posOffset>
            </wp:positionV>
            <wp:extent cx="17926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both"/>
        <w:ind w:left="4" w:right="20" w:firstLine="392"/>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2" w:lineRule="exact"/>
        <w:rPr>
          <w:sz w:val="24"/>
          <w:szCs w:val="24"/>
          <w:color w:val="auto"/>
        </w:rPr>
      </w:pPr>
    </w:p>
    <w:p>
      <w:pPr>
        <w:jc w:val="both"/>
        <w:ind w:left="4" w:right="20" w:firstLine="392"/>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2" w:lineRule="exact"/>
        <w:rPr>
          <w:sz w:val="24"/>
          <w:szCs w:val="24"/>
          <w:color w:val="auto"/>
        </w:rPr>
      </w:pPr>
    </w:p>
    <w:p>
      <w:pPr>
        <w:jc w:val="both"/>
        <w:ind w:left="4" w:right="20" w:firstLine="392"/>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4" w:type="dxa"/>
        <w:tblCellMar>
          <w:top w:w="0" w:type="dxa"/>
          <w:left w:w="0" w:type="dxa"/>
          <w:bottom w:w="0" w:type="dxa"/>
          <w:right w:w="0" w:type="dxa"/>
        </w:tblCellMar>
      </w:tblPr>
      <w:tr>
        <w:trPr>
          <w:trHeight w:val="26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84"/>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84"/>
        </w:trPr>
        <w:tc>
          <w:tcPr>
            <w:tcW w:w="17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4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2" w:lineRule="exact"/>
        <w:rPr>
          <w:sz w:val="24"/>
          <w:szCs w:val="24"/>
          <w:color w:val="auto"/>
        </w:rPr>
      </w:pPr>
    </w:p>
    <w:p>
      <w:pPr>
        <w:ind w:left="4" w:right="20" w:firstLine="392"/>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6" w:lineRule="exact"/>
        <w:rPr>
          <w:sz w:val="24"/>
          <w:szCs w:val="24"/>
          <w:color w:val="auto"/>
        </w:rPr>
      </w:pPr>
    </w:p>
    <w:p>
      <w:pPr>
        <w:ind w:left="384"/>
        <w:spacing w:after="0" w:line="184" w:lineRule="exact"/>
        <w:tabs>
          <w:tab w:leader="none" w:pos="8663" w:val="left"/>
          <w:tab w:leader="none" w:pos="9283"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(Check one):</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36" w:lineRule="exact"/>
        <w:rPr>
          <w:sz w:val="24"/>
          <w:szCs w:val="24"/>
          <w:color w:val="auto"/>
        </w:rPr>
      </w:pPr>
    </w:p>
    <w:p>
      <w:pPr>
        <w:ind w:left="384"/>
        <w:spacing w:after="0"/>
        <w:rPr>
          <w:sz w:val="20"/>
          <w:szCs w:val="20"/>
          <w:color w:val="auto"/>
        </w:rPr>
      </w:pPr>
      <w:r>
        <w:rPr>
          <w:rFonts w:ascii="Times New Roman" w:cs="Times New Roman" w:eastAsia="Times New Roman" w:hAnsi="Times New Roman"/>
          <w:sz w:val="16"/>
          <w:szCs w:val="16"/>
          <w:color w:val="auto"/>
        </w:rPr>
        <w:t>At November 12, 2024, the number of shares outstanding of the issuer’s only class of stock was 6,966,510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71475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75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206375</wp:posOffset>
            </wp:positionV>
            <wp:extent cx="714756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756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457835</wp:posOffset>
            </wp:positionV>
            <wp:extent cx="714756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435"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100" w:type="dxa"/>
            <w:vAlign w:val="bottom"/>
            <w:gridSpan w:val="14"/>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7"/>
        </w:trPr>
        <w:tc>
          <w:tcPr>
            <w:tcW w:w="3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00" w:type="dxa"/>
            <w:vAlign w:val="bottom"/>
            <w:gridSpan w:val="10"/>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w w:val="98"/>
              </w:rPr>
              <w:t>Part I — FINANCIAL INFORMATION</w:t>
            </w:r>
          </w:p>
        </w:tc>
        <w:tc>
          <w:tcPr>
            <w:tcW w:w="8500" w:type="dxa"/>
            <w:vAlign w:val="bottom"/>
            <w:gridSpan w:val="4"/>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0000EE"/>
              </w:rPr>
              <w:t>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8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380" w:type="dxa"/>
            <w:vAlign w:val="bottom"/>
          </w:tcPr>
          <w:p>
            <w:pPr>
              <w:spacing w:after="0"/>
              <w:rPr>
                <w:sz w:val="13"/>
                <w:szCs w:val="13"/>
                <w:color w:val="auto"/>
              </w:rPr>
            </w:pPr>
          </w:p>
        </w:tc>
        <w:tc>
          <w:tcPr>
            <w:tcW w:w="1840" w:type="dxa"/>
            <w:vAlign w:val="bottom"/>
            <w:gridSpan w:val="6"/>
          </w:tcPr>
          <w:p>
            <w:pPr>
              <w:spacing w:after="0" w:line="156" w:lineRule="exact"/>
              <w:rPr>
                <w:sz w:val="20"/>
                <w:szCs w:val="20"/>
                <w:color w:val="auto"/>
              </w:rPr>
            </w:pPr>
            <w:r>
              <w:rPr>
                <w:rFonts w:ascii="Times New Roman" w:cs="Times New Roman" w:eastAsia="Times New Roman" w:hAnsi="Times New Roman"/>
                <w:sz w:val="16"/>
                <w:szCs w:val="16"/>
                <w:color w:val="0000EE"/>
                <w:w w:val="99"/>
              </w:rPr>
              <w:t>Item 1. Financial Statements</w:t>
            </w:r>
          </w:p>
        </w:tc>
        <w:tc>
          <w:tcPr>
            <w:tcW w:w="380" w:type="dxa"/>
            <w:vAlign w:val="bottom"/>
            <w:gridSpan w:val="3"/>
          </w:tcPr>
          <w:p>
            <w:pPr>
              <w:spacing w:after="0"/>
              <w:rPr>
                <w:sz w:val="13"/>
                <w:szCs w:val="13"/>
                <w:color w:val="auto"/>
              </w:rPr>
            </w:pPr>
          </w:p>
        </w:tc>
        <w:tc>
          <w:tcPr>
            <w:tcW w:w="8500" w:type="dxa"/>
            <w:vAlign w:val="bottom"/>
            <w:gridSpan w:val="4"/>
          </w:tcPr>
          <w:p>
            <w:pPr>
              <w:spacing w:after="0"/>
              <w:rPr>
                <w:sz w:val="13"/>
                <w:szCs w:val="13"/>
                <w:color w:val="auto"/>
              </w:rPr>
            </w:pPr>
          </w:p>
        </w:tc>
        <w:tc>
          <w:tcPr>
            <w:tcW w:w="1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0000EE"/>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80" w:type="dxa"/>
            <w:vAlign w:val="bottom"/>
            <w:tcBorders>
              <w:bottom w:val="single" w:sz="8" w:color="CCEEFF"/>
            </w:tcBorders>
            <w:shd w:val="clear" w:color="auto" w:fill="CCEEFF"/>
          </w:tcPr>
          <w:p>
            <w:pPr>
              <w:spacing w:after="0"/>
              <w:rPr>
                <w:sz w:val="16"/>
                <w:szCs w:val="16"/>
                <w:color w:val="auto"/>
              </w:rPr>
            </w:pPr>
          </w:p>
        </w:tc>
        <w:tc>
          <w:tcPr>
            <w:tcW w:w="6240" w:type="dxa"/>
            <w:vAlign w:val="bottom"/>
            <w:tcBorders>
              <w:bottom w:val="single" w:sz="8" w:color="0000EE"/>
            </w:tcBorders>
            <w:gridSpan w:val="1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w w:val="99"/>
              </w:rPr>
              <w:t>Item 2. Management’s Discussion and Analysis of Financial Condition and Results of Operations</w:t>
            </w:r>
          </w:p>
        </w:tc>
        <w:tc>
          <w:tcPr>
            <w:tcW w:w="4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0000EE"/>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0000EE"/>
                <w:w w:val="87"/>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480" w:type="dxa"/>
            <w:vAlign w:val="bottom"/>
            <w:tcBorders>
              <w:bottom w:val="single" w:sz="8" w:color="0000EE"/>
            </w:tcBorders>
          </w:tcPr>
          <w:p>
            <w:pPr>
              <w:spacing w:after="0" w:line="156" w:lineRule="exact"/>
              <w:rPr>
                <w:sz w:val="20"/>
                <w:szCs w:val="20"/>
                <w:color w:val="auto"/>
              </w:rPr>
            </w:pPr>
            <w:r>
              <w:rPr>
                <w:rFonts w:ascii="Times New Roman" w:cs="Times New Roman" w:eastAsia="Times New Roman" w:hAnsi="Times New Roman"/>
                <w:sz w:val="16"/>
                <w:szCs w:val="16"/>
                <w:color w:val="0000EE"/>
              </w:rPr>
              <w:t>Item 3.</w:t>
            </w:r>
          </w:p>
        </w:tc>
        <w:tc>
          <w:tcPr>
            <w:tcW w:w="3900" w:type="dxa"/>
            <w:vAlign w:val="bottom"/>
            <w:tcBorders>
              <w:bottom w:val="single" w:sz="8" w:color="0000EE"/>
            </w:tcBorders>
            <w:gridSpan w:val="9"/>
          </w:tcPr>
          <w:p>
            <w:pPr>
              <w:ind w:left="20"/>
              <w:spacing w:after="0" w:line="156" w:lineRule="exact"/>
              <w:rPr>
                <w:sz w:val="20"/>
                <w:szCs w:val="20"/>
                <w:color w:val="auto"/>
              </w:rPr>
            </w:pPr>
            <w:r>
              <w:rPr>
                <w:rFonts w:ascii="Times New Roman" w:cs="Times New Roman" w:eastAsia="Times New Roman" w:hAnsi="Times New Roman"/>
                <w:sz w:val="16"/>
                <w:szCs w:val="16"/>
                <w:color w:val="0000EE"/>
                <w:w w:val="99"/>
              </w:rPr>
              <w:t>Quantitative and Qualitative Disclosures About Market Risk</w:t>
            </w:r>
          </w:p>
        </w:tc>
        <w:tc>
          <w:tcPr>
            <w:tcW w:w="6340" w:type="dxa"/>
            <w:vAlign w:val="bottom"/>
            <w:gridSpan w:val="3"/>
          </w:tcPr>
          <w:p>
            <w:pPr>
              <w:spacing w:after="0"/>
              <w:rPr>
                <w:sz w:val="13"/>
                <w:szCs w:val="13"/>
                <w:color w:val="auto"/>
              </w:rPr>
            </w:pPr>
          </w:p>
        </w:tc>
        <w:tc>
          <w:tcPr>
            <w:tcW w:w="16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0000EE"/>
                <w:w w:val="87"/>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rPr>
              <w:t>Item 4.</w:t>
            </w:r>
          </w:p>
        </w:tc>
        <w:tc>
          <w:tcPr>
            <w:tcW w:w="10240" w:type="dxa"/>
            <w:vAlign w:val="bottom"/>
            <w:gridSpan w:val="12"/>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0000EE"/>
              </w:rPr>
              <w:t>Controls and Procedures</w:t>
            </w:r>
          </w:p>
        </w:tc>
        <w:tc>
          <w:tcPr>
            <w:tcW w:w="1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0000EE"/>
                <w:w w:val="87"/>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380" w:type="dxa"/>
            <w:vAlign w:val="bottom"/>
            <w:shd w:val="clear" w:color="auto" w:fill="CCEEFF"/>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8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tcBorders>
              <w:bottom w:val="single" w:sz="8" w:color="0000EE"/>
            </w:tcBorders>
            <w:gridSpan w:val="8"/>
          </w:tcPr>
          <w:p>
            <w:pPr>
              <w:spacing w:after="0" w:line="156" w:lineRule="exact"/>
              <w:rPr>
                <w:sz w:val="20"/>
                <w:szCs w:val="20"/>
                <w:color w:val="auto"/>
              </w:rPr>
            </w:pPr>
            <w:r>
              <w:rPr>
                <w:rFonts w:ascii="Times New Roman" w:cs="Times New Roman" w:eastAsia="Times New Roman" w:hAnsi="Times New Roman"/>
                <w:sz w:val="16"/>
                <w:szCs w:val="16"/>
                <w:color w:val="0000EE"/>
                <w:w w:val="98"/>
              </w:rPr>
              <w:t>Part II — OTHER INFORMATION</w:t>
            </w:r>
          </w:p>
        </w:tc>
        <w:tc>
          <w:tcPr>
            <w:tcW w:w="8780" w:type="dxa"/>
            <w:vAlign w:val="bottom"/>
            <w:gridSpan w:val="6"/>
          </w:tcPr>
          <w:p>
            <w:pPr>
              <w:spacing w:after="0"/>
              <w:rPr>
                <w:sz w:val="13"/>
                <w:szCs w:val="13"/>
                <w:color w:val="auto"/>
              </w:rPr>
            </w:pPr>
          </w:p>
        </w:tc>
        <w:tc>
          <w:tcPr>
            <w:tcW w:w="160" w:type="dxa"/>
            <w:vAlign w:val="bottom"/>
            <w:tcBorders>
              <w:bottom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0000EE"/>
                <w:w w:val="87"/>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rPr>
              <w:t>Item 5.</w:t>
            </w:r>
          </w:p>
        </w:tc>
        <w:tc>
          <w:tcPr>
            <w:tcW w:w="10240" w:type="dxa"/>
            <w:vAlign w:val="bottom"/>
            <w:gridSpan w:val="12"/>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0000EE"/>
              </w:rPr>
              <w:t>Other Information</w:t>
            </w:r>
          </w:p>
        </w:tc>
        <w:tc>
          <w:tcPr>
            <w:tcW w:w="160" w:type="dxa"/>
            <w:vAlign w:val="bottom"/>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0000EE"/>
                <w:w w:val="87"/>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0" w:type="dxa"/>
            <w:vAlign w:val="bottom"/>
            <w:tcBorders>
              <w:top w:val="single" w:sz="8" w:color="CCEEFF"/>
            </w:tcBorders>
          </w:tcPr>
          <w:p>
            <w:pPr>
              <w:spacing w:after="0"/>
              <w:rPr>
                <w:sz w:val="13"/>
                <w:szCs w:val="13"/>
                <w:color w:val="auto"/>
              </w:rPr>
            </w:pPr>
          </w:p>
        </w:tc>
        <w:tc>
          <w:tcPr>
            <w:tcW w:w="480" w:type="dxa"/>
            <w:vAlign w:val="bottom"/>
            <w:tcBorders>
              <w:top w:val="single" w:sz="8" w:color="0000EE"/>
            </w:tcBorders>
          </w:tcPr>
          <w:p>
            <w:pPr>
              <w:spacing w:after="0" w:line="156" w:lineRule="exact"/>
              <w:rPr>
                <w:sz w:val="20"/>
                <w:szCs w:val="20"/>
                <w:color w:val="auto"/>
              </w:rPr>
            </w:pPr>
            <w:r>
              <w:rPr>
                <w:rFonts w:ascii="Times New Roman" w:cs="Times New Roman" w:eastAsia="Times New Roman" w:hAnsi="Times New Roman"/>
                <w:sz w:val="16"/>
                <w:szCs w:val="16"/>
                <w:color w:val="0000EE"/>
              </w:rPr>
              <w:t>Item 6.</w:t>
            </w:r>
          </w:p>
        </w:tc>
        <w:tc>
          <w:tcPr>
            <w:tcW w:w="1180" w:type="dxa"/>
            <w:vAlign w:val="bottom"/>
            <w:tcBorders>
              <w:top w:val="single" w:sz="8" w:color="0000EE"/>
            </w:tcBorders>
            <w:gridSpan w:val="4"/>
          </w:tcPr>
          <w:p>
            <w:pPr>
              <w:ind w:left="20"/>
              <w:spacing w:after="0" w:line="156" w:lineRule="exact"/>
              <w:rPr>
                <w:sz w:val="20"/>
                <w:szCs w:val="20"/>
                <w:color w:val="auto"/>
              </w:rPr>
            </w:pPr>
            <w:r>
              <w:rPr>
                <w:rFonts w:ascii="Times New Roman" w:cs="Times New Roman" w:eastAsia="Times New Roman" w:hAnsi="Times New Roman"/>
                <w:sz w:val="16"/>
                <w:szCs w:val="16"/>
                <w:color w:val="0000EE"/>
              </w:rPr>
              <w:t>Exhibits</w:t>
            </w:r>
          </w:p>
        </w:tc>
        <w:tc>
          <w:tcPr>
            <w:tcW w:w="9060" w:type="dxa"/>
            <w:vAlign w:val="bottom"/>
            <w:tcBorders>
              <w:top w:val="single" w:sz="8" w:color="CCEEFF"/>
            </w:tcBorders>
            <w:gridSpan w:val="8"/>
          </w:tcPr>
          <w:p>
            <w:pPr>
              <w:spacing w:after="0"/>
              <w:rPr>
                <w:sz w:val="13"/>
                <w:szCs w:val="13"/>
                <w:color w:val="auto"/>
              </w:rPr>
            </w:pPr>
          </w:p>
        </w:tc>
        <w:tc>
          <w:tcPr>
            <w:tcW w:w="160" w:type="dxa"/>
            <w:vAlign w:val="bottom"/>
            <w:tcBorders>
              <w:top w:val="single" w:sz="8" w:color="0000EE"/>
            </w:tcBorders>
            <w:gridSpan w:val="2"/>
          </w:tcPr>
          <w:p>
            <w:pPr>
              <w:jc w:val="right"/>
              <w:spacing w:after="0" w:line="156" w:lineRule="exact"/>
              <w:rPr>
                <w:sz w:val="20"/>
                <w:szCs w:val="20"/>
                <w:color w:val="auto"/>
              </w:rPr>
            </w:pPr>
            <w:r>
              <w:rPr>
                <w:rFonts w:ascii="Times New Roman" w:cs="Times New Roman" w:eastAsia="Times New Roman" w:hAnsi="Times New Roman"/>
                <w:sz w:val="16"/>
                <w:szCs w:val="16"/>
                <w:color w:val="0000EE"/>
                <w:w w:val="87"/>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80" w:type="dxa"/>
            <w:vAlign w:val="bottom"/>
            <w:tcBorders>
              <w:bottom w:val="single" w:sz="8" w:color="0000EE"/>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w w:val="96"/>
              </w:rPr>
              <w:t>SIGNATURES</w:t>
            </w:r>
          </w:p>
        </w:tc>
        <w:tc>
          <w:tcPr>
            <w:tcW w:w="10120" w:type="dxa"/>
            <w:vAlign w:val="bottom"/>
            <w:tcBorders>
              <w:bottom w:val="single" w:sz="8" w:color="CCEEFF"/>
            </w:tcBorders>
            <w:gridSpan w:val="11"/>
            <w:shd w:val="clear" w:color="auto" w:fill="CCEEFF"/>
          </w:tcPr>
          <w:p>
            <w:pPr>
              <w:spacing w:after="0"/>
              <w:rPr>
                <w:sz w:val="16"/>
                <w:szCs w:val="16"/>
                <w:color w:val="auto"/>
              </w:rPr>
            </w:pPr>
          </w:p>
        </w:tc>
        <w:tc>
          <w:tcPr>
            <w:tcW w:w="160" w:type="dxa"/>
            <w:vAlign w:val="bottom"/>
            <w:tcBorders>
              <w:bottom w:val="single" w:sz="8" w:color="0000EE"/>
            </w:tcBorders>
            <w:gridSpan w:val="2"/>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0000EE"/>
                <w:w w:val="87"/>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20" w:type="dxa"/>
            <w:vAlign w:val="bottom"/>
            <w:gridSpan w:val="10"/>
          </w:tcPr>
          <w:p>
            <w:pPr>
              <w:ind w:left="472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2"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FRIEDMAN INDUSTRIES, INCORPORATED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for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SEPTEMBER 30,</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7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84"/>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2,891</w:t>
            </w:r>
          </w:p>
        </w:tc>
      </w:tr>
      <w:tr>
        <w:trPr>
          <w:trHeight w:val="176"/>
        </w:trPr>
        <w:tc>
          <w:tcPr>
            <w:tcW w:w="7700" w:type="dxa"/>
            <w:vAlign w:val="bottom"/>
          </w:tcPr>
          <w:p>
            <w:pPr>
              <w:ind w:left="280"/>
              <w:spacing w:after="0" w:line="176" w:lineRule="exact"/>
              <w:rPr>
                <w:sz w:val="20"/>
                <w:szCs w:val="20"/>
                <w:color w:val="auto"/>
              </w:rPr>
            </w:pPr>
            <w:r>
              <w:rPr>
                <w:rFonts w:ascii="Times New Roman" w:cs="Times New Roman" w:eastAsia="Times New Roman" w:hAnsi="Times New Roman"/>
                <w:sz w:val="16"/>
                <w:szCs w:val="16"/>
                <w:color w:val="auto"/>
              </w:rPr>
              <w:t>Accounts receivable, net of allowances for credit losses and cash discounts of $147 and $97 at September 30,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7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March 31, 2024, respectively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39,620</w:t>
            </w:r>
          </w:p>
        </w:tc>
        <w:tc>
          <w:tcPr>
            <w:tcW w:w="1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47,329</w:t>
            </w:r>
          </w:p>
        </w:tc>
      </w:tr>
      <w:tr>
        <w:trPr>
          <w:trHeight w:val="19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105,051</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115,804</w:t>
            </w:r>
          </w:p>
        </w:tc>
      </w:tr>
      <w:tr>
        <w:trPr>
          <w:trHeight w:val="192"/>
        </w:trPr>
        <w:tc>
          <w:tcPr>
            <w:tcW w:w="7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Current portion of derivative assets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w:t>
            </w:r>
          </w:p>
        </w:tc>
      </w:tr>
      <w:tr>
        <w:trPr>
          <w:trHeight w:val="19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current assets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3,966</w:t>
            </w:r>
          </w:p>
        </w:tc>
      </w:tr>
      <w:tr>
        <w:trPr>
          <w:trHeight w:val="20"/>
        </w:trPr>
        <w:tc>
          <w:tcPr>
            <w:tcW w:w="7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77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148,044</w:t>
            </w:r>
          </w:p>
        </w:tc>
        <w:tc>
          <w:tcPr>
            <w:tcW w:w="12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170,064</w:t>
            </w: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7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1,670</w:t>
            </w:r>
          </w:p>
        </w:tc>
        <w:tc>
          <w:tcPr>
            <w:tcW w:w="12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1,670</w:t>
            </w:r>
          </w:p>
        </w:tc>
      </w:tr>
      <w:tr>
        <w:trPr>
          <w:trHeight w:val="19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Buildings and yard improvements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30,906</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30,900</w:t>
            </w:r>
          </w:p>
        </w:tc>
      </w:tr>
      <w:tr>
        <w:trPr>
          <w:trHeight w:val="192"/>
        </w:trPr>
        <w:tc>
          <w:tcPr>
            <w:tcW w:w="7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Machinery and equipment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56,359</w:t>
            </w:r>
          </w:p>
        </w:tc>
        <w:tc>
          <w:tcPr>
            <w:tcW w:w="12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53,607</w:t>
            </w:r>
          </w:p>
        </w:tc>
      </w:tr>
      <w:tr>
        <w:trPr>
          <w:trHeight w:val="19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Construction in process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805</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1,977</w:t>
            </w:r>
          </w:p>
        </w:tc>
      </w:tr>
      <w:tr>
        <w:trPr>
          <w:trHeight w:val="192"/>
        </w:trPr>
        <w:tc>
          <w:tcPr>
            <w:tcW w:w="7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(32,871)</w:t>
            </w:r>
          </w:p>
        </w:tc>
        <w:tc>
          <w:tcPr>
            <w:tcW w:w="12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(31,396)</w:t>
            </w:r>
          </w:p>
        </w:tc>
      </w:tr>
      <w:tr>
        <w:trPr>
          <w:trHeight w:val="20"/>
        </w:trPr>
        <w:tc>
          <w:tcPr>
            <w:tcW w:w="7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7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56,869</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56,758</w:t>
            </w: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value of officers’ life insurance and other assets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356</w:t>
            </w:r>
          </w:p>
        </w:tc>
      </w:tr>
      <w:tr>
        <w:trPr>
          <w:trHeight w:val="192"/>
        </w:trPr>
        <w:tc>
          <w:tcPr>
            <w:tcW w:w="7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2,947</w:t>
            </w:r>
          </w:p>
        </w:tc>
        <w:tc>
          <w:tcPr>
            <w:tcW w:w="12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2,841</w:t>
            </w:r>
          </w:p>
        </w:tc>
      </w:tr>
      <w:tr>
        <w:trPr>
          <w:trHeight w:val="20"/>
        </w:trPr>
        <w:tc>
          <w:tcPr>
            <w:tcW w:w="7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7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209,167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230,019</w:t>
            </w:r>
          </w:p>
        </w:tc>
      </w:tr>
      <w:tr>
        <w:trPr>
          <w:trHeight w:val="168"/>
        </w:trPr>
        <w:tc>
          <w:tcPr>
            <w:tcW w:w="7700" w:type="dxa"/>
            <w:vAlign w:val="bottom"/>
            <w:tcBorders>
              <w:top w:val="single" w:sz="8" w:color="CCEEFF"/>
            </w:tcBorders>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7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34,642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43,886</w:t>
            </w:r>
          </w:p>
        </w:tc>
      </w:tr>
      <w:tr>
        <w:trPr>
          <w:trHeight w:val="19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payable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2,213</w:t>
            </w:r>
          </w:p>
        </w:tc>
      </w:tr>
      <w:tr>
        <w:trPr>
          <w:trHeight w:val="192"/>
        </w:trPr>
        <w:tc>
          <w:tcPr>
            <w:tcW w:w="7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Dividends payable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279</w:t>
            </w:r>
          </w:p>
        </w:tc>
      </w:tr>
      <w:tr>
        <w:trPr>
          <w:trHeight w:val="19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Employee compensation and related expenses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1,249</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5,989</w:t>
            </w:r>
          </w:p>
        </w:tc>
      </w:tr>
      <w:tr>
        <w:trPr>
          <w:trHeight w:val="192"/>
        </w:trPr>
        <w:tc>
          <w:tcPr>
            <w:tcW w:w="7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Current portion of financing lease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w:t>
            </w:r>
          </w:p>
        </w:tc>
      </w:tr>
      <w:tr>
        <w:trPr>
          <w:trHeight w:val="19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Current portion of derivative liability</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1,686</w:t>
            </w:r>
          </w:p>
        </w:tc>
      </w:tr>
      <w:tr>
        <w:trPr>
          <w:trHeight w:val="20"/>
        </w:trPr>
        <w:tc>
          <w:tcPr>
            <w:tcW w:w="7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77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36,366</w:t>
            </w:r>
          </w:p>
        </w:tc>
        <w:tc>
          <w:tcPr>
            <w:tcW w:w="12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54,107</w:t>
            </w: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POSTRETIREMENT BENEFITS OTHER THAN PENSIONS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w:t>
            </w:r>
          </w:p>
        </w:tc>
      </w:tr>
      <w:tr>
        <w:trPr>
          <w:trHeight w:val="204"/>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LIABILITY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5,239</w:t>
            </w:r>
          </w:p>
        </w:tc>
        <w:tc>
          <w:tcPr>
            <w:tcW w:w="12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5,257</w:t>
            </w: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2,828</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2,782</w:t>
            </w:r>
          </w:p>
        </w:tc>
      </w:tr>
      <w:tr>
        <w:trPr>
          <w:trHeight w:val="19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ASSET BASED LENDING FACILITY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35,857</w:t>
            </w:r>
          </w:p>
        </w:tc>
        <w:tc>
          <w:tcPr>
            <w:tcW w:w="12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40,293</w:t>
            </w:r>
          </w:p>
        </w:tc>
      </w:tr>
      <w:tr>
        <w:trPr>
          <w:trHeight w:val="20"/>
        </w:trPr>
        <w:tc>
          <w:tcPr>
            <w:tcW w:w="7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7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80,403</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102,544</w:t>
            </w:r>
          </w:p>
        </w:tc>
      </w:tr>
      <w:tr>
        <w:trPr>
          <w:trHeight w:val="184"/>
        </w:trPr>
        <w:tc>
          <w:tcPr>
            <w:tcW w:w="7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76"/>
        </w:trPr>
        <w:tc>
          <w:tcPr>
            <w:tcW w:w="7700" w:type="dxa"/>
            <w:vAlign w:val="bottom"/>
          </w:tcPr>
          <w:p>
            <w:pPr>
              <w:ind w:left="280"/>
              <w:spacing w:after="0" w:line="176" w:lineRule="exact"/>
              <w:rPr>
                <w:sz w:val="20"/>
                <w:szCs w:val="20"/>
                <w:color w:val="auto"/>
              </w:rPr>
            </w:pPr>
            <w:r>
              <w:rPr>
                <w:rFonts w:ascii="Times New Roman" w:cs="Times New Roman" w:eastAsia="Times New Roman" w:hAnsi="Times New Roman"/>
                <w:sz w:val="16"/>
                <w:szCs w:val="16"/>
                <w:color w:val="auto"/>
              </w:rPr>
              <w:t>Common stock, par value $1: Authorized shares — 10,000,000; Issued shares — 8,873,203 shares at September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7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30, and March 31, 2024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8,873</w:t>
            </w:r>
          </w:p>
        </w:tc>
        <w:tc>
          <w:tcPr>
            <w:tcW w:w="1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8,873</w:t>
            </w:r>
          </w:p>
        </w:tc>
      </w:tr>
      <w:tr>
        <w:trPr>
          <w:trHeight w:val="19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35,336</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35,247</w:t>
            </w:r>
          </w:p>
        </w:tc>
      </w:tr>
      <w:tr>
        <w:trPr>
          <w:trHeight w:val="192"/>
        </w:trPr>
        <w:tc>
          <w:tcPr>
            <w:tcW w:w="7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Treasury stock at cost (1,904,258 shares and 1,896,892 shares at September 30, and March 31, 2024, respectively)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(13,063)</w:t>
            </w:r>
          </w:p>
        </w:tc>
        <w:tc>
          <w:tcPr>
            <w:tcW w:w="12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(12,929)</w:t>
            </w:r>
          </w:p>
        </w:tc>
      </w:tr>
      <w:tr>
        <w:trPr>
          <w:trHeight w:val="192"/>
        </w:trPr>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Retained earnings</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97,618</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96,284</w:t>
            </w:r>
          </w:p>
        </w:tc>
      </w:tr>
      <w:tr>
        <w:trPr>
          <w:trHeight w:val="20"/>
        </w:trPr>
        <w:tc>
          <w:tcPr>
            <w:tcW w:w="7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77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128,764</w:t>
            </w:r>
          </w:p>
        </w:tc>
        <w:tc>
          <w:tcPr>
            <w:tcW w:w="12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127,475</w:t>
            </w:r>
          </w:p>
        </w:tc>
      </w:tr>
      <w:tr>
        <w:trPr>
          <w:trHeight w:val="20"/>
        </w:trPr>
        <w:tc>
          <w:tcPr>
            <w:tcW w:w="7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7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209,167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230,019</w:t>
            </w:r>
          </w:p>
        </w:tc>
      </w:tr>
      <w:tr>
        <w:trPr>
          <w:trHeight w:val="20"/>
        </w:trPr>
        <w:tc>
          <w:tcPr>
            <w:tcW w:w="7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FRIEDMAN INDUSTRIES, INCORPORATED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84"/>
        </w:trPr>
        <w:tc>
          <w:tcPr>
            <w:tcW w:w="59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r>
      <w:tr>
        <w:trPr>
          <w:trHeight w:val="18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106,759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130,748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221,310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268,046</w:t>
            </w:r>
          </w:p>
        </w:tc>
      </w:tr>
      <w:tr>
        <w:trPr>
          <w:trHeight w:val="192"/>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 of materials sold (excludes items shown separately below)</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88,761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110,275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184,656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217,911</w:t>
            </w:r>
          </w:p>
        </w:tc>
      </w:tr>
      <w:tr>
        <w:trPr>
          <w:trHeight w:val="192"/>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Processing and warehousing expense</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16,558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14,582</w:t>
            </w:r>
          </w:p>
        </w:tc>
      </w:tr>
      <w:tr>
        <w:trPr>
          <w:trHeight w:val="19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Delivery expense</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6,521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11,432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11,966</w:t>
            </w:r>
          </w:p>
        </w:tc>
      </w:tr>
      <w:tr>
        <w:trPr>
          <w:trHeight w:val="192"/>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10,667</w:t>
            </w:r>
          </w:p>
        </w:tc>
      </w:tr>
      <w:tr>
        <w:trPr>
          <w:trHeight w:val="204"/>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1,618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1,508</w:t>
            </w:r>
          </w:p>
        </w:tc>
      </w:tr>
      <w:tr>
        <w:trPr>
          <w:trHeight w:val="192"/>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5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106,983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129,693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256,634</w:t>
            </w:r>
          </w:p>
        </w:tc>
      </w:tr>
      <w:tr>
        <w:trPr>
          <w:trHeight w:val="20"/>
        </w:trPr>
        <w:tc>
          <w:tcPr>
            <w:tcW w:w="5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EARNINGS (LOSS) FROM OPERATIONS</w:t>
            </w:r>
          </w:p>
        </w:tc>
        <w:tc>
          <w:tcPr>
            <w:tcW w:w="18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11,412</w:t>
            </w:r>
          </w:p>
        </w:tc>
      </w:tr>
      <w:tr>
        <w:trPr>
          <w:trHeight w:val="19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Gain on economic hedges of risk</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4,402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5,569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4,832</w:t>
            </w:r>
          </w:p>
        </w:tc>
      </w:tr>
      <w:tr>
        <w:trPr>
          <w:trHeight w:val="192"/>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(1,345)</w:t>
            </w:r>
          </w:p>
        </w:tc>
      </w:tr>
      <w:tr>
        <w:trPr>
          <w:trHeight w:val="19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5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8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2,397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14,915</w:t>
            </w:r>
          </w:p>
        </w:tc>
      </w:tr>
      <w:tr>
        <w:trPr>
          <w:trHeight w:val="19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Current</w:t>
            </w:r>
          </w:p>
        </w:tc>
        <w:tc>
          <w:tcPr>
            <w:tcW w:w="18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3,745</w:t>
            </w:r>
          </w:p>
        </w:tc>
      </w:tr>
      <w:tr>
        <w:trPr>
          <w:trHeight w:val="19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5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3,712</w:t>
            </w:r>
          </w:p>
        </w:tc>
      </w:tr>
      <w:tr>
        <w:trPr>
          <w:trHeight w:val="20"/>
        </w:trPr>
        <w:tc>
          <w:tcPr>
            <w:tcW w:w="5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5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EARNINGS (LOSS)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(675)</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3,513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11,203</w:t>
            </w:r>
          </w:p>
        </w:tc>
      </w:tr>
      <w:tr>
        <w:trPr>
          <w:trHeight w:val="168"/>
        </w:trPr>
        <w:tc>
          <w:tcPr>
            <w:tcW w:w="5980" w:type="dxa"/>
            <w:vAlign w:val="bottom"/>
            <w:tcBorders>
              <w:top w:val="single" w:sz="8" w:color="CCEEFF"/>
            </w:tcBorders>
          </w:tcPr>
          <w:p>
            <w:pPr>
              <w:spacing w:after="0" w:line="168" w:lineRule="exact"/>
              <w:rPr>
                <w:sz w:val="20"/>
                <w:szCs w:val="20"/>
                <w:color w:val="auto"/>
              </w:rPr>
            </w:pPr>
            <w:r>
              <w:rPr>
                <w:rFonts w:ascii="Times New Roman" w:cs="Times New Roman" w:eastAsia="Times New Roman" w:hAnsi="Times New Roman"/>
                <w:sz w:val="16"/>
                <w:szCs w:val="16"/>
                <w:color w:val="auto"/>
              </w:rPr>
              <w:t>Net earnings (loss) per share:</w:t>
            </w: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0.48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w:t>
            </w:r>
          </w:p>
        </w:tc>
      </w:tr>
      <w:tr>
        <w:trPr>
          <w:trHeight w:val="192"/>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0.48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1.52</w:t>
            </w:r>
          </w:p>
        </w:tc>
      </w:tr>
      <w:tr>
        <w:trPr>
          <w:trHeight w:val="19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declared per common share</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0.04</w:t>
            </w: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THREE MONTHS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SEPTEMBER 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84"/>
        </w:trPr>
        <w:tc>
          <w:tcPr>
            <w:tcW w:w="59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r>
      <w:tr>
        <w:trPr>
          <w:trHeight w:val="18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(loss)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(675)</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3,513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1,892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11,203</w:t>
            </w:r>
          </w:p>
        </w:tc>
      </w:tr>
      <w:tr>
        <w:trPr>
          <w:trHeight w:val="192"/>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 hedges, net of tax</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317</w:t>
            </w:r>
          </w:p>
        </w:tc>
      </w:tr>
      <w:tr>
        <w:trPr>
          <w:trHeight w:val="20"/>
        </w:trPr>
        <w:tc>
          <w:tcPr>
            <w:tcW w:w="5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317</w:t>
            </w:r>
          </w:p>
        </w:tc>
      </w:tr>
      <w:tr>
        <w:trPr>
          <w:trHeight w:val="20"/>
        </w:trPr>
        <w:tc>
          <w:tcPr>
            <w:tcW w:w="5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(675)</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3,513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1,892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11,520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FRIEDMAN INDUSTRIES, INCORPORATED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 UNAUDITED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20" w:type="dxa"/>
            <w:vAlign w:val="bottom"/>
          </w:tcPr>
          <w:p>
            <w:pPr>
              <w:spacing w:after="0"/>
              <w:rPr>
                <w:sz w:val="18"/>
                <w:szCs w:val="18"/>
                <w:color w:val="auto"/>
              </w:rPr>
            </w:pPr>
          </w:p>
        </w:tc>
        <w:tc>
          <w:tcPr>
            <w:tcW w:w="3240" w:type="dxa"/>
            <w:vAlign w:val="bottom"/>
            <w:gridSpan w:val="7"/>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r>
      <w:tr>
        <w:trPr>
          <w:trHeight w:val="184"/>
        </w:trPr>
        <w:tc>
          <w:tcPr>
            <w:tcW w:w="802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6"/>
                <w:szCs w:val="16"/>
                <w:color w:val="auto"/>
              </w:rPr>
            </w:pPr>
          </w:p>
        </w:tc>
      </w:tr>
      <w:tr>
        <w:trPr>
          <w:trHeight w:val="184"/>
        </w:trPr>
        <w:tc>
          <w:tcPr>
            <w:tcW w:w="8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8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earnings</w:t>
            </w:r>
          </w:p>
        </w:tc>
        <w:tc>
          <w:tcPr>
            <w:tcW w:w="880" w:type="dxa"/>
            <w:vAlign w:val="bottom"/>
          </w:tcPr>
          <w:p>
            <w:pPr>
              <w:jc w:val="right"/>
              <w:ind w:right="75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20" w:type="dxa"/>
            <w:vAlign w:val="bottom"/>
          </w:tcPr>
          <w:p>
            <w:pPr>
              <w:spacing w:after="0"/>
              <w:rPr>
                <w:sz w:val="16"/>
                <w:szCs w:val="16"/>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11,203</w:t>
            </w:r>
          </w:p>
        </w:tc>
      </w:tr>
      <w:tr>
        <w:trPr>
          <w:trHeight w:val="192"/>
        </w:trPr>
        <w:tc>
          <w:tcPr>
            <w:tcW w:w="802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Adjustments to reconcile net earnings to cash provided by (used in) operating activities:</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80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1,531</w:t>
            </w:r>
          </w:p>
        </w:tc>
      </w:tr>
      <w:tr>
        <w:trPr>
          <w:trHeight w:val="192"/>
        </w:trPr>
        <w:tc>
          <w:tcPr>
            <w:tcW w:w="802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Deferred taxes</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r>
      <w:tr>
        <w:trPr>
          <w:trHeight w:val="192"/>
        </w:trPr>
        <w:tc>
          <w:tcPr>
            <w:tcW w:w="80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Compensation expense for restricted stock</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w:t>
            </w:r>
          </w:p>
        </w:tc>
      </w:tr>
      <w:tr>
        <w:trPr>
          <w:trHeight w:val="192"/>
        </w:trPr>
        <w:tc>
          <w:tcPr>
            <w:tcW w:w="802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Change in postretirement benefits</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r>
      <w:tr>
        <w:trPr>
          <w:trHeight w:val="192"/>
        </w:trPr>
        <w:tc>
          <w:tcPr>
            <w:tcW w:w="80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Gain recognized on open derivatives not designated for hedge accounting</w:t>
            </w:r>
          </w:p>
        </w:tc>
        <w:tc>
          <w:tcPr>
            <w:tcW w:w="8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(1,969)</w:t>
            </w:r>
          </w:p>
        </w:tc>
      </w:tr>
      <w:tr>
        <w:trPr>
          <w:trHeight w:val="192"/>
        </w:trPr>
        <w:tc>
          <w:tcPr>
            <w:tcW w:w="802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Deferred realized gain on derivatives</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418</w:t>
            </w:r>
          </w:p>
        </w:tc>
      </w:tr>
      <w:tr>
        <w:trPr>
          <w:trHeight w:val="192"/>
        </w:trPr>
        <w:tc>
          <w:tcPr>
            <w:tcW w:w="80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8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802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Right-of-use asset</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8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Decrease (increase) in operating assets:</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02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Accounts receivable</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(2,958)</w:t>
            </w:r>
          </w:p>
        </w:tc>
      </w:tr>
      <w:tr>
        <w:trPr>
          <w:trHeight w:val="192"/>
        </w:trPr>
        <w:tc>
          <w:tcPr>
            <w:tcW w:w="80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Inventories</w:t>
            </w:r>
          </w:p>
        </w:tc>
        <w:tc>
          <w:tcPr>
            <w:tcW w:w="88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(18,256)</w:t>
            </w:r>
          </w:p>
        </w:tc>
      </w:tr>
      <w:tr>
        <w:trPr>
          <w:trHeight w:val="192"/>
        </w:trPr>
        <w:tc>
          <w:tcPr>
            <w:tcW w:w="802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Other current assets</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(2,369)</w:t>
            </w:r>
          </w:p>
        </w:tc>
      </w:tr>
      <w:tr>
        <w:trPr>
          <w:trHeight w:val="192"/>
        </w:trPr>
        <w:tc>
          <w:tcPr>
            <w:tcW w:w="8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Increase (decrease) in operating liabilities:</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02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(9,295)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(7,411)</w:t>
            </w:r>
          </w:p>
        </w:tc>
      </w:tr>
      <w:tr>
        <w:trPr>
          <w:trHeight w:val="192"/>
        </w:trPr>
        <w:tc>
          <w:tcPr>
            <w:tcW w:w="80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Income taxes payable</w:t>
            </w:r>
          </w:p>
        </w:tc>
        <w:tc>
          <w:tcPr>
            <w:tcW w:w="8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1,128</w:t>
            </w:r>
          </w:p>
        </w:tc>
      </w:tr>
      <w:tr>
        <w:trPr>
          <w:trHeight w:val="192"/>
        </w:trPr>
        <w:tc>
          <w:tcPr>
            <w:tcW w:w="802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Contribution to retirement plan</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r>
      <w:tr>
        <w:trPr>
          <w:trHeight w:val="192"/>
        </w:trPr>
        <w:tc>
          <w:tcPr>
            <w:tcW w:w="80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Employee compensation and related expenses</w:t>
            </w:r>
          </w:p>
        </w:tc>
        <w:tc>
          <w:tcPr>
            <w:tcW w:w="8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(1,330)</w:t>
            </w:r>
          </w:p>
        </w:tc>
      </w:tr>
      <w:tr>
        <w:trPr>
          <w:trHeight w:val="20"/>
        </w:trPr>
        <w:tc>
          <w:tcPr>
            <w:tcW w:w="8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8020" w:type="dxa"/>
            <w:vAlign w:val="bottom"/>
            <w:tcBorders>
              <w:right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(20,236)</w:t>
            </w:r>
          </w:p>
        </w:tc>
      </w:tr>
      <w:tr>
        <w:trPr>
          <w:trHeight w:val="192"/>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02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(2,883)</w:t>
            </w:r>
          </w:p>
        </w:tc>
      </w:tr>
      <w:tr>
        <w:trPr>
          <w:trHeight w:val="192"/>
        </w:trPr>
        <w:tc>
          <w:tcPr>
            <w:tcW w:w="8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Deposit on steel processing equipment</w:t>
            </w:r>
          </w:p>
        </w:tc>
        <w:tc>
          <w:tcPr>
            <w:tcW w:w="8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802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Increase in cash surrender value of officers’ life insurance</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80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80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(2,890)</w:t>
            </w:r>
          </w:p>
        </w:tc>
      </w:tr>
      <w:tr>
        <w:trPr>
          <w:trHeight w:val="192"/>
        </w:trPr>
        <w:tc>
          <w:tcPr>
            <w:tcW w:w="8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8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Cash dividends paid</w:t>
            </w:r>
          </w:p>
        </w:tc>
        <w:tc>
          <w:tcPr>
            <w:tcW w:w="8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(295)</w:t>
            </w:r>
          </w:p>
        </w:tc>
      </w:tr>
      <w:tr>
        <w:trPr>
          <w:trHeight w:val="192"/>
        </w:trPr>
        <w:tc>
          <w:tcPr>
            <w:tcW w:w="802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Cash paid for principal portion of finance lease</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w:t>
            </w:r>
          </w:p>
        </w:tc>
      </w:tr>
      <w:tr>
        <w:trPr>
          <w:trHeight w:val="192"/>
        </w:trPr>
        <w:tc>
          <w:tcPr>
            <w:tcW w:w="8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Cash paid for share repurchases</w:t>
            </w:r>
          </w:p>
        </w:tc>
        <w:tc>
          <w:tcPr>
            <w:tcW w:w="8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192"/>
        </w:trPr>
        <w:tc>
          <w:tcPr>
            <w:tcW w:w="802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Borrowings on asset based lending facility</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326,988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420,178</w:t>
            </w:r>
          </w:p>
        </w:tc>
      </w:tr>
      <w:tr>
        <w:trPr>
          <w:trHeight w:val="192"/>
        </w:trPr>
        <w:tc>
          <w:tcPr>
            <w:tcW w:w="8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Repayments on asset based lending facility</w:t>
            </w:r>
          </w:p>
        </w:tc>
        <w:tc>
          <w:tcPr>
            <w:tcW w:w="8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(331,424)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(398,934)</w:t>
            </w:r>
          </w:p>
        </w:tc>
      </w:tr>
      <w:tr>
        <w:trPr>
          <w:trHeight w:val="20"/>
        </w:trPr>
        <w:tc>
          <w:tcPr>
            <w:tcW w:w="8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8020" w:type="dxa"/>
            <w:vAlign w:val="bottom"/>
            <w:tcBorders>
              <w:right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8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20,892</w:t>
            </w:r>
          </w:p>
        </w:tc>
      </w:tr>
      <w:tr>
        <w:trPr>
          <w:trHeight w:val="20"/>
        </w:trPr>
        <w:tc>
          <w:tcPr>
            <w:tcW w:w="80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DECREASE IN CASH AND RESTRICTED CASH</w:t>
            </w:r>
          </w:p>
        </w:tc>
        <w:tc>
          <w:tcPr>
            <w:tcW w:w="8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(2,234)</w:t>
            </w:r>
          </w:p>
        </w:tc>
      </w:tr>
      <w:tr>
        <w:trPr>
          <w:trHeight w:val="192"/>
        </w:trPr>
        <w:tc>
          <w:tcPr>
            <w:tcW w:w="8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RESTRICTED CASH AT BEGINNING OF PERIOD</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5,386</w:t>
            </w:r>
          </w:p>
        </w:tc>
      </w:tr>
      <w:tr>
        <w:trPr>
          <w:trHeight w:val="20"/>
        </w:trPr>
        <w:tc>
          <w:tcPr>
            <w:tcW w:w="80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CASH AND RESTRICTED CASH AT END OF PERIOD</w:t>
            </w:r>
          </w:p>
        </w:tc>
        <w:tc>
          <w:tcPr>
            <w:tcW w:w="880" w:type="dxa"/>
            <w:vAlign w:val="bottom"/>
          </w:tcPr>
          <w:p>
            <w:pPr>
              <w:jc w:val="right"/>
              <w:ind w:right="752"/>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20" w:type="dxa"/>
            <w:vAlign w:val="bottom"/>
          </w:tcPr>
          <w:p>
            <w:pPr>
              <w:spacing w:after="0"/>
              <w:rPr>
                <w:sz w:val="16"/>
                <w:szCs w:val="16"/>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3,152</w:t>
            </w:r>
          </w:p>
        </w:tc>
      </w:tr>
      <w:tr>
        <w:trPr>
          <w:trHeight w:val="20"/>
        </w:trPr>
        <w:tc>
          <w:tcPr>
            <w:tcW w:w="8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firstLine="392"/>
        <w:spacing w:after="0" w:line="266" w:lineRule="auto"/>
        <w:rPr>
          <w:sz w:val="20"/>
          <w:szCs w:val="20"/>
          <w:color w:val="auto"/>
        </w:rPr>
      </w:pPr>
      <w:r>
        <w:rPr>
          <w:rFonts w:ascii="Times New Roman" w:cs="Times New Roman" w:eastAsia="Times New Roman" w:hAnsi="Times New Roman"/>
          <w:sz w:val="16"/>
          <w:szCs w:val="16"/>
          <w:color w:val="auto"/>
        </w:rPr>
        <w:t>Cash and restricted cash at September 30, 2024 and March 31, 2024 included approximately $0.1 million and $3.0 million, respectively, of cash required to collateralize open derivative positions. These amounts are reported in "Other current assets" on the Company's consolidated balance sheets at September 30, 2024 and March 31, 2024. The Company did not have any restricted cash as of September 30, 2023.</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FRIEDMAN INDUSTRIES, INCORPORATED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NOTES TO QUARTERLY REPORT —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A — BASIS OF PRESENTATION</w:t>
      </w:r>
    </w:p>
    <w:p>
      <w:pPr>
        <w:spacing w:after="0" w:line="20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2024.</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Reclassifications</w:t>
      </w:r>
    </w:p>
    <w:p>
      <w:pPr>
        <w:spacing w:after="0" w:line="202"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6"/>
          <w:szCs w:val="16"/>
          <w:color w:val="auto"/>
        </w:rPr>
        <w:t>The consolidated financial statements for the previous year may include certain reclassifications to conform to the current presentation. To conform with the current year presentation, “Cost of products sold” on the consolidated statements of operations was broken down into four separate line items: "Cost of materials sold", "Processing and warehousing expense", "Delivery expense" and "Depreciation and amortization". The Company believes this increased level of detail provides financial statement users with a better understanding of the Company's expenses. "Cost of materials sold" represent the costs associated with direct materials. "Processing and warehousing expense" represents the operating costs at our processing facilities. "Delivery expense" represents the costs of delivering products to customers. The amount the Company charged customers for delivery of products is reported within "Net sales" on the consolidated statements of operations. These reclassifications had no impact on previously reported net earnings or stockholders'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B — NEW ACCOUNTING PRONOUNCEMENTS</w:t>
      </w:r>
    </w:p>
    <w:p>
      <w:pPr>
        <w:spacing w:after="0" w:line="200" w:lineRule="exact"/>
        <w:rPr>
          <w:sz w:val="20"/>
          <w:szCs w:val="20"/>
          <w:color w:val="auto"/>
        </w:rPr>
      </w:pPr>
    </w:p>
    <w:p>
      <w:pPr>
        <w:jc w:val="both"/>
        <w:ind w:right="20" w:firstLine="392"/>
        <w:spacing w:after="0" w:line="257" w:lineRule="auto"/>
        <w:rPr>
          <w:sz w:val="20"/>
          <w:szCs w:val="20"/>
          <w:color w:val="auto"/>
        </w:rPr>
      </w:pPr>
      <w:r>
        <w:rPr>
          <w:rFonts w:ascii="Times New Roman" w:cs="Times New Roman" w:eastAsia="Times New Roman" w:hAnsi="Times New Roman"/>
          <w:sz w:val="16"/>
          <w:szCs w:val="16"/>
          <w:color w:val="auto"/>
        </w:rPr>
        <w:t>In November 2024, the Financial Accounting Standards Board (“FASB”) issued Accounting Standards Update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evaluating the impact that adoption of the provisions of ASU 2024-03 will have on its consolidated financial statements but does not expect a material impact.</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C — INVENTORIES</w:t>
      </w:r>
    </w:p>
    <w:p>
      <w:pPr>
        <w:spacing w:after="0" w:line="200"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6"/>
          <w:szCs w:val="16"/>
          <w:color w:val="auto"/>
        </w:rPr>
        <w:t>The Company operates in two segments: the flat-roll segment and the tubular segment. Both flat-roll segment and tubular segment inventories consist of raw material and finished goods. Cost for substantially all of the Company's inventory is determined using the average cost method. All inventories are valued at the lower of cost or net realizable value. Flat-roll raw material inventory consists of steel coils the Company will process into sheet and plate. Flat-roll finished goods consists of processed sheet and plate inventory. Tubular raw material inventory consists of hot-rolled steel coils that the Company will manufacture into pipe. Tubular finished goods inventory consists of pipe the Company has manufactured. Inventory costs include the costs of the purchased metals, inbound freight, transfer freight, certain external processing, internal processing, direct labor and applicable overhead costs. On the Consolidated Statements of Operations, "Cost of materials sold (excludes items shown separately below)" consists of the cost of purchased metals, inbound freight, transfer freight and certain external processing costs.</w:t>
      </w:r>
    </w:p>
    <w:p>
      <w:pPr>
        <w:spacing w:after="0" w:line="164" w:lineRule="exact"/>
        <w:rPr>
          <w:sz w:val="20"/>
          <w:szCs w:val="20"/>
          <w:color w:val="auto"/>
        </w:rPr>
      </w:pPr>
    </w:p>
    <w:tbl>
      <w:tblPr>
        <w:tblLayout w:type="fixed"/>
        <w:tblInd w:w="380" w:type="dxa"/>
        <w:tblCellMar>
          <w:top w:w="0" w:type="dxa"/>
          <w:left w:w="0" w:type="dxa"/>
          <w:bottom w:w="0" w:type="dxa"/>
          <w:right w:w="0" w:type="dxa"/>
        </w:tblCellMar>
      </w:tblPr>
      <w:tr>
        <w:trPr>
          <w:trHeight w:val="209"/>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summary of inventory values by product group follows (in thousands):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4"/>
        </w:trPr>
        <w:tc>
          <w:tcPr>
            <w:tcW w:w="4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0" w:type="dxa"/>
            <w:vAlign w:val="bottom"/>
          </w:tcPr>
          <w:p>
            <w:pPr>
              <w:spacing w:after="0"/>
              <w:rPr>
                <w:sz w:val="24"/>
                <w:szCs w:val="24"/>
                <w:color w:val="auto"/>
              </w:rPr>
            </w:pPr>
          </w:p>
        </w:tc>
      </w:tr>
      <w:tr>
        <w:trPr>
          <w:trHeight w:val="184"/>
        </w:trPr>
        <w:tc>
          <w:tcPr>
            <w:tcW w:w="46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Flat-Roll raw material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78,789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85,483</w:t>
            </w:r>
          </w:p>
        </w:tc>
      </w:tr>
      <w:tr>
        <w:trPr>
          <w:trHeight w:val="192"/>
        </w:trPr>
        <w:tc>
          <w:tcPr>
            <w:tcW w:w="46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Flat-Roll finished goods</w:t>
            </w:r>
          </w:p>
        </w:tc>
        <w:tc>
          <w:tcPr>
            <w:tcW w:w="10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15,724</w:t>
            </w:r>
          </w:p>
        </w:tc>
        <w:tc>
          <w:tcPr>
            <w:tcW w:w="160" w:type="dxa"/>
            <w:vAlign w:val="bottom"/>
          </w:tcPr>
          <w:p>
            <w:pPr>
              <w:spacing w:after="0"/>
              <w:rPr>
                <w:sz w:val="16"/>
                <w:szCs w:val="16"/>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17,030</w:t>
            </w:r>
          </w:p>
        </w:tc>
      </w:tr>
      <w:tr>
        <w:trPr>
          <w:trHeight w:val="192"/>
        </w:trPr>
        <w:tc>
          <w:tcPr>
            <w:tcW w:w="46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Tubular raw material</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4,126</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4,185</w:t>
            </w:r>
          </w:p>
        </w:tc>
      </w:tr>
      <w:tr>
        <w:trPr>
          <w:trHeight w:val="192"/>
        </w:trPr>
        <w:tc>
          <w:tcPr>
            <w:tcW w:w="46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Tubular finished goods</w:t>
            </w:r>
          </w:p>
        </w:tc>
        <w:tc>
          <w:tcPr>
            <w:tcW w:w="10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6,412</w:t>
            </w:r>
          </w:p>
        </w:tc>
        <w:tc>
          <w:tcPr>
            <w:tcW w:w="160" w:type="dxa"/>
            <w:vAlign w:val="bottom"/>
          </w:tcPr>
          <w:p>
            <w:pPr>
              <w:spacing w:after="0"/>
              <w:rPr>
                <w:sz w:val="16"/>
                <w:szCs w:val="16"/>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9,106</w:t>
            </w:r>
          </w:p>
        </w:tc>
      </w:tr>
      <w:tr>
        <w:trPr>
          <w:trHeight w:val="20"/>
        </w:trPr>
        <w:tc>
          <w:tcPr>
            <w:tcW w:w="4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460" w:type="dxa"/>
            <w:vAlign w:val="bottom"/>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105,051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115,804</w:t>
            </w:r>
          </w:p>
        </w:tc>
      </w:tr>
      <w:tr>
        <w:trPr>
          <w:trHeight w:val="20"/>
        </w:trPr>
        <w:tc>
          <w:tcPr>
            <w:tcW w:w="46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D — DEBT</w:t>
      </w:r>
    </w:p>
    <w:p>
      <w:pPr>
        <w:spacing w:after="0" w:line="200" w:lineRule="exact"/>
        <w:rPr>
          <w:sz w:val="20"/>
          <w:szCs w:val="20"/>
          <w:color w:val="auto"/>
        </w:rPr>
      </w:pPr>
    </w:p>
    <w:p>
      <w:pPr>
        <w:jc w:val="both"/>
        <w:ind w:firstLine="383"/>
        <w:spacing w:after="0" w:line="253" w:lineRule="auto"/>
        <w:rPr>
          <w:sz w:val="20"/>
          <w:szCs w:val="20"/>
          <w:color w:val="auto"/>
        </w:rPr>
      </w:pPr>
      <w:r>
        <w:rPr>
          <w:rFonts w:ascii="Times New Roman" w:cs="Times New Roman" w:eastAsia="Times New Roman" w:hAnsi="Times New Roman"/>
          <w:sz w:val="16"/>
          <w:szCs w:val="16"/>
          <w:color w:val="auto"/>
        </w:rPr>
        <w:t>The Company has a $150 million asset-based lending facility ("ABL Facility") in place with JPMorgan Chase Bank, N.A. as the arranging agent and BMO Harris Bank, N.A. as a one-third syndicated participant.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September 30, 2024, the Company had a balance of approximately $35.9 million under the ABL Facility with an applicable interest rate of 7.0%. At September 30, 2024, the Company's applicable borrowing base calculation supported access to approximately $104.7 million of the ABL Facility.</w:t>
      </w:r>
    </w:p>
    <w:p>
      <w:pPr>
        <w:spacing w:after="0" w:line="168"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6"/>
          <w:szCs w:val="16"/>
          <w:color w:val="auto"/>
        </w:rPr>
        <w:t>The Company incurred debt issuance costs of approximately $0.4 million in connection with the ABL Facility. The Company recorded these debt issuance costs as non-current other assets and is amortizing these costs on an equal monthly basis over the remaining term of the ABL facility.</w:t>
      </w:r>
    </w:p>
    <w:p>
      <w:pPr>
        <w:sectPr>
          <w:pgSz w:w="11900" w:h="16838" w:orient="portrait"/>
          <w:cols w:equalWidth="0" w:num="1">
            <w:col w:w="11260"/>
          </w:cols>
          <w:pgMar w:left="320" w:top="123" w:right="319" w:bottom="1440" w:gutter="0" w:footer="0" w:header="0"/>
        </w:sectPr>
      </w:pP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NOTE E — LEASES</w:t>
      </w:r>
    </w:p>
    <w:p>
      <w:pPr>
        <w:spacing w:after="0" w:line="200" w:lineRule="exact"/>
        <w:rPr>
          <w:sz w:val="20"/>
          <w:szCs w:val="20"/>
          <w:color w:val="auto"/>
        </w:rPr>
      </w:pPr>
    </w:p>
    <w:p>
      <w:pPr>
        <w:jc w:val="both"/>
        <w:ind w:right="20" w:firstLine="392"/>
        <w:spacing w:after="0" w:line="255" w:lineRule="auto"/>
        <w:rPr>
          <w:sz w:val="20"/>
          <w:szCs w:val="20"/>
          <w:color w:val="auto"/>
        </w:rPr>
      </w:pPr>
      <w:r>
        <w:rPr>
          <w:rFonts w:ascii="Times New Roman" w:cs="Times New Roman" w:eastAsia="Times New Roman" w:hAnsi="Times New Roman"/>
          <w:sz w:val="16"/>
          <w:szCs w:val="16"/>
          <w:color w:val="auto"/>
        </w:rPr>
        <w:t>The Company has an operating lease for the Granite City, IL facility with an expiration date of August 31, 2028 and optional renewal provisions for up to 4 renewal terms of five years each. The lease calls for monthly rental payments that adjust on an annual basis. The monthly rental payment in place at September 30, 2024 and remaining in place until adjustment in September 2025 is approximately $13,000 per month. The anticipated execution of renewal options for this lease is included in the ROU asset and lease liability calculation. The Company has an operating lease for administrative office space in The Woodlands, TX with an expiration date of February 28, 2029 and a renewal option for one additional 60 month term. The lease calls for monthly rental payments that adjust on an annual basis. The monthly rental payment in place at September 30, 2024 and remaining in place until adjustment in March 2025 is approximately $11,000 per month. The Company’s lease of its office space in Longview, Texas is the only other operating lease included in the Company's ROU assets and lease liabilities. This lease expires on April 30, 2027 and calls for monthly rental payments of approximately $5,000. The Company’s other operating leases for items such as IT equipment and storage space are either short-term in nature or immaterial.</w:t>
      </w:r>
    </w:p>
    <w:p>
      <w:pPr>
        <w:spacing w:after="0" w:line="166"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6"/>
          <w:szCs w:val="16"/>
          <w:color w:val="auto"/>
        </w:rPr>
        <w:t>In October 2019, the Company acquired equipment under a 5-year finance lease arrangement with a financed amount of approximately $0.5 million and a monthly payment of approximately $9,000. The last payment under this lease was made in October 2024.</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components of expense related to leases for the three and six months ended September 30, 2024 and 2023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2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9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4"/>
        </w:trPr>
        <w:tc>
          <w:tcPr>
            <w:tcW w:w="59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Pr>
          <w:p>
            <w:pPr>
              <w:spacing w:after="0"/>
              <w:rPr>
                <w:sz w:val="16"/>
                <w:szCs w:val="16"/>
                <w:color w:val="auto"/>
              </w:rPr>
            </w:pPr>
          </w:p>
        </w:tc>
      </w:tr>
      <w:tr>
        <w:trPr>
          <w:trHeight w:val="18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 amortization of ROU asset</w:t>
            </w:r>
          </w:p>
        </w:tc>
        <w:tc>
          <w:tcPr>
            <w:tcW w:w="7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r>
      <w:tr>
        <w:trPr>
          <w:trHeight w:val="192"/>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 interest on lease liability</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r>
      <w:tr>
        <w:trPr>
          <w:trHeight w:val="19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expense</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w:t>
            </w:r>
          </w:p>
        </w:tc>
      </w:tr>
      <w:tr>
        <w:trPr>
          <w:trHeight w:val="20"/>
        </w:trPr>
        <w:tc>
          <w:tcPr>
            <w:tcW w:w="59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80" w:type="dxa"/>
            <w:vAlign w:val="bottom"/>
          </w:tcPr>
          <w:p>
            <w:pPr>
              <w:spacing w:after="0"/>
              <w:rPr>
                <w:sz w:val="16"/>
                <w:szCs w:val="16"/>
                <w:color w:val="auto"/>
              </w:rPr>
            </w:pPr>
          </w:p>
        </w:tc>
        <w:tc>
          <w:tcPr>
            <w:tcW w:w="74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222</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122</w:t>
            </w:r>
          </w:p>
        </w:tc>
      </w:tr>
      <w:tr>
        <w:trPr>
          <w:trHeight w:val="20"/>
        </w:trPr>
        <w:tc>
          <w:tcPr>
            <w:tcW w:w="5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illustrates the balance sheet classification for ROU assets and lease liabilities as of September 30, 2024 and March 31, 2024 (in thousands):</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211"/>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8"/>
                <w:szCs w:val="18"/>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Balance Sheet Classification</w:t>
            </w:r>
          </w:p>
        </w:tc>
      </w:tr>
      <w:tr>
        <w:trPr>
          <w:trHeight w:val="18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7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r>
      <w:tr>
        <w:trPr>
          <w:trHeight w:val="192"/>
        </w:trPr>
        <w:tc>
          <w:tcPr>
            <w:tcW w:w="3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10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Operating lease right-of-use asset</w:t>
            </w:r>
          </w:p>
        </w:tc>
      </w:tr>
      <w:tr>
        <w:trPr>
          <w:trHeight w:val="192"/>
        </w:trPr>
        <w:tc>
          <w:tcPr>
            <w:tcW w:w="3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Finance lease right-of-use asset</w:t>
            </w:r>
          </w:p>
        </w:tc>
        <w:tc>
          <w:tcPr>
            <w:tcW w:w="7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Borders>
              <w:bottom w:val="single" w:sz="8" w:color="CCEEFF"/>
            </w:tcBorders>
            <w:shd w:val="clear" w:color="auto" w:fill="CCEEFF"/>
          </w:tcPr>
          <w:p>
            <w:pPr>
              <w:spacing w:after="0"/>
              <w:rPr>
                <w:sz w:val="16"/>
                <w:szCs w:val="16"/>
                <w:color w:val="auto"/>
              </w:rPr>
            </w:pPr>
          </w:p>
        </w:tc>
        <w:tc>
          <w:tcPr>
            <w:tcW w:w="2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Property, plant &amp; equipment</w:t>
            </w:r>
          </w:p>
        </w:tc>
      </w:tr>
      <w:tr>
        <w:trPr>
          <w:trHeight w:val="184"/>
        </w:trPr>
        <w:tc>
          <w:tcPr>
            <w:tcW w:w="33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right-of-use assets</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10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0"/>
        </w:trPr>
        <w:tc>
          <w:tcPr>
            <w:tcW w:w="3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68"/>
        </w:trPr>
        <w:tc>
          <w:tcPr>
            <w:tcW w:w="33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Liabilities</w:t>
            </w: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r>
      <w:tr>
        <w:trPr>
          <w:trHeight w:val="192"/>
        </w:trPr>
        <w:tc>
          <w:tcPr>
            <w:tcW w:w="3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Accrued expenses</w:t>
            </w:r>
          </w:p>
        </w:tc>
      </w:tr>
      <w:tr>
        <w:trPr>
          <w:trHeight w:val="192"/>
        </w:trPr>
        <w:tc>
          <w:tcPr>
            <w:tcW w:w="3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Finance lease liability, current</w:t>
            </w:r>
          </w:p>
        </w:tc>
        <w:tc>
          <w:tcPr>
            <w:tcW w:w="7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6"/>
                <w:szCs w:val="16"/>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Current portion of finance lease</w:t>
            </w:r>
          </w:p>
        </w:tc>
      </w:tr>
      <w:tr>
        <w:trPr>
          <w:trHeight w:val="192"/>
        </w:trPr>
        <w:tc>
          <w:tcPr>
            <w:tcW w:w="3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7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10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Non-current lease liabilities</w:t>
            </w:r>
          </w:p>
        </w:tc>
      </w:tr>
      <w:tr>
        <w:trPr>
          <w:trHeight w:val="204"/>
        </w:trPr>
        <w:tc>
          <w:tcPr>
            <w:tcW w:w="33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Total lease liabilities</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6" w:lineRule="exact"/>
        <w:rPr>
          <w:sz w:val="20"/>
          <w:szCs w:val="20"/>
          <w:color w:val="auto"/>
        </w:rPr>
      </w:pPr>
    </w:p>
    <w:p>
      <w:pPr>
        <w:ind w:right="20" w:firstLine="392"/>
        <w:spacing w:after="0" w:line="282" w:lineRule="auto"/>
        <w:rPr>
          <w:sz w:val="20"/>
          <w:szCs w:val="20"/>
          <w:color w:val="auto"/>
        </w:rPr>
      </w:pPr>
      <w:r>
        <w:rPr>
          <w:rFonts w:ascii="Times New Roman" w:cs="Times New Roman" w:eastAsia="Times New Roman" w:hAnsi="Times New Roman"/>
          <w:sz w:val="16"/>
          <w:szCs w:val="16"/>
          <w:color w:val="auto"/>
        </w:rPr>
        <w:t>As of September 30, 2024, the weighted-average remaining lease term was 19.4 years for operating leases. The weighted average discount rate was 7.5% for operating leases.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Maturities of lease liabilities as of September 30, 2024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4"/>
        </w:trPr>
        <w:tc>
          <w:tcPr>
            <w:tcW w:w="84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2025 (remainder of fiscal year)</w:t>
            </w:r>
          </w:p>
        </w:tc>
        <w:tc>
          <w:tcPr>
            <w:tcW w:w="2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179</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r>
      <w:tr>
        <w:trPr>
          <w:trHeight w:val="192"/>
        </w:trPr>
        <w:tc>
          <w:tcPr>
            <w:tcW w:w="84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Fiscal 2026</w:t>
            </w: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363</w:t>
            </w:r>
          </w:p>
        </w:tc>
        <w:tc>
          <w:tcPr>
            <w:tcW w:w="180" w:type="dxa"/>
            <w:vAlign w:val="bottom"/>
          </w:tcPr>
          <w:p>
            <w:pPr>
              <w:spacing w:after="0"/>
              <w:rPr>
                <w:sz w:val="16"/>
                <w:szCs w:val="16"/>
                <w:color w:val="auto"/>
              </w:rPr>
            </w:pP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r>
      <w:tr>
        <w:trPr>
          <w:trHeight w:val="192"/>
        </w:trPr>
        <w:tc>
          <w:tcPr>
            <w:tcW w:w="84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2027</w:t>
            </w:r>
          </w:p>
        </w:tc>
        <w:tc>
          <w:tcPr>
            <w:tcW w:w="2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371</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r>
      <w:tr>
        <w:trPr>
          <w:trHeight w:val="192"/>
        </w:trPr>
        <w:tc>
          <w:tcPr>
            <w:tcW w:w="84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Fiscal 2028</w:t>
            </w: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324</w:t>
            </w:r>
          </w:p>
        </w:tc>
        <w:tc>
          <w:tcPr>
            <w:tcW w:w="180" w:type="dxa"/>
            <w:vAlign w:val="bottom"/>
          </w:tcPr>
          <w:p>
            <w:pPr>
              <w:spacing w:after="0"/>
              <w:rPr>
                <w:sz w:val="16"/>
                <w:szCs w:val="16"/>
                <w:color w:val="auto"/>
              </w:rPr>
            </w:pP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r>
      <w:tr>
        <w:trPr>
          <w:trHeight w:val="192"/>
        </w:trPr>
        <w:tc>
          <w:tcPr>
            <w:tcW w:w="840" w:type="dxa"/>
            <w:vAlign w:val="bottom"/>
          </w:tcPr>
          <w:p>
            <w:pPr>
              <w:spacing w:after="0"/>
              <w:rPr>
                <w:sz w:val="16"/>
                <w:szCs w:val="16"/>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2029 and beyond</w:t>
            </w:r>
          </w:p>
        </w:tc>
        <w:tc>
          <w:tcPr>
            <w:tcW w:w="2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5,043</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r>
      <w:tr>
        <w:trPr>
          <w:trHeight w:val="20"/>
        </w:trPr>
        <w:tc>
          <w:tcPr>
            <w:tcW w:w="84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4"/>
        </w:trPr>
        <w:tc>
          <w:tcPr>
            <w:tcW w:w="840" w:type="dxa"/>
            <w:vAlign w:val="bottom"/>
          </w:tcPr>
          <w:p>
            <w:pPr>
              <w:spacing w:after="0"/>
              <w:rPr>
                <w:sz w:val="16"/>
                <w:szCs w:val="16"/>
                <w:color w:val="auto"/>
              </w:rPr>
            </w:pPr>
          </w:p>
        </w:tc>
        <w:tc>
          <w:tcPr>
            <w:tcW w:w="3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25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6,280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r>
      <w:tr>
        <w:trPr>
          <w:trHeight w:val="192"/>
        </w:trPr>
        <w:tc>
          <w:tcPr>
            <w:tcW w:w="840" w:type="dxa"/>
            <w:vAlign w:val="bottom"/>
          </w:tcPr>
          <w:p>
            <w:pPr>
              <w:spacing w:after="0"/>
              <w:rPr>
                <w:sz w:val="16"/>
                <w:szCs w:val="16"/>
                <w:color w:val="auto"/>
              </w:rPr>
            </w:pPr>
          </w:p>
        </w:tc>
        <w:tc>
          <w:tcPr>
            <w:tcW w:w="3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Less: imputed interest</w:t>
            </w:r>
          </w:p>
        </w:tc>
        <w:tc>
          <w:tcPr>
            <w:tcW w:w="2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(3,299)</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r>
      <w:tr>
        <w:trPr>
          <w:trHeight w:val="20"/>
        </w:trPr>
        <w:tc>
          <w:tcPr>
            <w:tcW w:w="84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1"/>
        </w:trPr>
        <w:tc>
          <w:tcPr>
            <w:tcW w:w="840" w:type="dxa"/>
            <w:vAlign w:val="bottom"/>
          </w:tcPr>
          <w:p>
            <w:pPr>
              <w:spacing w:after="0"/>
              <w:rPr>
                <w:sz w:val="17"/>
                <w:szCs w:val="17"/>
                <w:color w:val="auto"/>
              </w:rPr>
            </w:pPr>
          </w:p>
        </w:tc>
        <w:tc>
          <w:tcPr>
            <w:tcW w:w="3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Present value of lease liability</w:t>
            </w:r>
          </w:p>
        </w:tc>
        <w:tc>
          <w:tcPr>
            <w:tcW w:w="25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2,981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r>
      <w:tr>
        <w:trPr>
          <w:trHeight w:val="368"/>
        </w:trPr>
        <w:tc>
          <w:tcPr>
            <w:tcW w:w="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20" w:type="dxa"/>
            <w:vAlign w:val="bottom"/>
          </w:tcPr>
          <w:p>
            <w:pPr>
              <w:jc w:val="right"/>
              <w:ind w:right="132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0"/>
        </w:trPr>
        <w:tc>
          <w:tcPr>
            <w:tcW w:w="84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F — PROPERTY, PLANT AND EQUIPMENT</w:t>
      </w:r>
    </w:p>
    <w:p>
      <w:pPr>
        <w:spacing w:after="0" w:line="200"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6"/>
          <w:szCs w:val="16"/>
          <w:color w:val="auto"/>
        </w:rPr>
        <w:t>At September 30, 2024, the Company's construction in process balance of approximately $0.8 million consisted of several smaller projects among our facilities. In August 2024, a processing line upgrade at the Decatur, AL facility was placed into service at a cost of approximately $1.9 million and a loss of approximately $0.2 million was recognized for disposal of the replaced equipment.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G — STOCK BASED COMPENSATION</w:t>
      </w:r>
    </w:p>
    <w:p>
      <w:pPr>
        <w:spacing w:after="0" w:line="200"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6"/>
          <w:szCs w:val="16"/>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summarizes the activity related to restricted stock units (“RSUs”) for the six months ended September 30, 2024:</w:t>
      </w: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Unvested at March 31, 2024</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Cancelled or forfeited</w:t>
      </w:r>
    </w:p>
    <w:p>
      <w:pPr>
        <w:spacing w:after="0" w:line="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Granted</w:t>
      </w:r>
    </w:p>
    <w:p>
      <w:pPr>
        <w:spacing w:after="0" w:line="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Vested</w:t>
      </w:r>
    </w:p>
    <w:p>
      <w:pPr>
        <w:spacing w:after="0" w:line="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Unvested at September 30, 2024</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192"/>
        </w:trPr>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11"/>
        </w:trPr>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Value Per Share</w:t>
            </w:r>
          </w:p>
        </w:tc>
      </w:tr>
      <w:tr>
        <w:trPr>
          <w:trHeight w:val="168"/>
        </w:trPr>
        <w:tc>
          <w:tcPr>
            <w:tcW w:w="152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64,487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6.62</w:t>
            </w:r>
          </w:p>
        </w:tc>
      </w:tr>
      <w:tr>
        <w:trPr>
          <w:trHeight w:val="192"/>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184"/>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28,487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-640080</wp:posOffset>
            </wp:positionV>
            <wp:extent cx="6430645" cy="121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0645" cy="12192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-396240</wp:posOffset>
            </wp:positionV>
            <wp:extent cx="6430645" cy="121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30645" cy="12192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-144145</wp:posOffset>
            </wp:positionV>
            <wp:extent cx="6430645" cy="144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0645" cy="14478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6640" w:space="720"/>
            <w:col w:w="3900"/>
          </w:cols>
          <w:pgMar w:left="320" w:top="123" w:right="319" w:bottom="1440" w:gutter="0" w:footer="0" w:header="0"/>
          <w:type w:val="continuous"/>
        </w:sectPr>
      </w:pPr>
    </w:p>
    <w:p>
      <w:pPr>
        <w:jc w:val="both"/>
        <w:ind w:right="20" w:firstLine="392"/>
        <w:spacing w:after="0" w:line="258" w:lineRule="auto"/>
        <w:rPr>
          <w:sz w:val="20"/>
          <w:szCs w:val="20"/>
          <w:color w:val="auto"/>
        </w:rPr>
      </w:pPr>
      <w:r>
        <w:rPr>
          <w:rFonts w:ascii="Times New Roman" w:cs="Times New Roman" w:eastAsia="Times New Roman" w:hAnsi="Times New Roman"/>
          <w:sz w:val="16"/>
          <w:szCs w:val="16"/>
          <w:color w:val="auto"/>
        </w:rPr>
        <w:t>The Company measures compensation expense for RSUs at the market price of the common stock as of the grant date. Compensation expense is recognized over the requisite service period applicable to each award. The Company recorded compensation expense of approximately $0.1 million and $0.2 million in the six months ended September 30, 2024 and 2023, respectively, relating to the RSUs issued under the Plan. As of September 30, 2024, unrecognized compensation expense related to unvested RSUs was approximately $48,000 which is expected to be recognized over a weighted average period of approximately 0.4 years. As of September 30, 2024, a total of 117,998 shares were still available to be issued under the Plan.</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H — DERIVATIVE FINANCIAL INSTRUMENTS</w:t>
      </w:r>
    </w:p>
    <w:p>
      <w:pPr>
        <w:spacing w:after="0" w:line="200"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6"/>
          <w:szCs w:val="16"/>
          <w:color w:val="auto"/>
        </w:rPr>
        <w:t>From time to time, we expect to utilize hot-rolled coil futures or options to reduce our exposure to commodity price risk that is inherent in our business. For the six months ended September 30, 2024, all of the Company's hedging activities were classified as economic hedges of risk with mark-to-market ("MTM") accounting treatment. For the six months ended September 30, 2023, the Company had hedging activities classified as cash flow hedges with hedge accounting treatment according to the requirements of ASC 815– Derivatives and Hedging and hedging activities classified as economic hedges of risk with MTM accounting treatment.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any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73"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6"/>
          <w:szCs w:val="16"/>
          <w:color w:val="auto"/>
        </w:rPr>
        <w:t>The Company has forward physical purchase supply agreements in place with some of its suppliers for a portion of its monthly physical steel needs. These supply agreements are not subject to mark-to-market accounting due to the Company electing the normal purchase normal sale exclusion provided in ASC 815.</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4"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6"/>
          <w:szCs w:val="16"/>
          <w:color w:val="auto"/>
        </w:rPr>
        <w:t>At September 30, 2024 and March 31, 2024, the Company did not have any hot-rolled coil futures contracts designated as hedging instruments and classified as cash flow or fair value hedges.</w:t>
      </w:r>
    </w:p>
    <w:p>
      <w:pPr>
        <w:spacing w:after="0" w:line="144"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6"/>
          <w:szCs w:val="16"/>
          <w:color w:val="auto"/>
        </w:rPr>
        <w:t>The following table summarizes the fair value of the Company’s derivative financial instruments and the respective line in which they were recorded in the Consolidated Balance Sheet as of September 30, 2024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8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380" w:type="dxa"/>
            <w:vAlign w:val="bottom"/>
            <w:vMerge w:val="continue"/>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3"/>
                <w:szCs w:val="13"/>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spacing w:after="0"/>
              <w:rPr>
                <w:sz w:val="14"/>
                <w:szCs w:val="14"/>
                <w:color w:val="auto"/>
              </w:rPr>
            </w:pPr>
          </w:p>
        </w:tc>
        <w:tc>
          <w:tcPr>
            <w:tcW w:w="226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Current portion of derivative</w:t>
            </w:r>
          </w:p>
        </w:tc>
        <w:tc>
          <w:tcPr>
            <w:tcW w:w="1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Current portion of derivative</w:t>
            </w:r>
          </w:p>
        </w:tc>
        <w:tc>
          <w:tcPr>
            <w:tcW w:w="12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Hot-rolled coil steel contracts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assets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liability</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6"/>
          <w:szCs w:val="16"/>
          <w:color w:val="auto"/>
        </w:rPr>
        <w:t>The following table summarizes the fair value of the Company’s derivative financial instruments and the respective line in which they were recorded in the Consolidated Balance Sheet as of March 31, 2024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8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Asset Derivatives</w:t>
            </w: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Liability Derivatives</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380" w:type="dxa"/>
            <w:vAlign w:val="bottom"/>
            <w:vMerge w:val="continue"/>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3"/>
                <w:szCs w:val="13"/>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spacing w:after="0"/>
              <w:rPr>
                <w:sz w:val="14"/>
                <w:szCs w:val="14"/>
                <w:color w:val="auto"/>
              </w:rPr>
            </w:pPr>
          </w:p>
        </w:tc>
        <w:tc>
          <w:tcPr>
            <w:tcW w:w="226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Current portion of derivative</w:t>
            </w:r>
          </w:p>
        </w:tc>
        <w:tc>
          <w:tcPr>
            <w:tcW w:w="12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Current portion of derivative</w:t>
            </w:r>
          </w:p>
        </w:tc>
        <w:tc>
          <w:tcPr>
            <w:tcW w:w="12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Hot-rolled coil steel contracts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assets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liability</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1,686</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All derivatives are presented on a gross basis on the Consolidated Balance Sheets.</w:t>
      </w:r>
    </w:p>
    <w:p>
      <w:pPr>
        <w:spacing w:after="0" w:line="20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6"/>
          <w:szCs w:val="16"/>
          <w:color w:val="auto"/>
        </w:rPr>
        <w:t>During the six months ended September 30, 2024 and 2023, the Company entered into hot-rolled coil futures contracts that were not designated as hedging instruments for accounting purposes. Accordingly, the change in fair value related to these instruments was immediately recognized in earnings for these periods. During the six months ended September 30, 2024 and 2023, the Company did not designate any transactions as hedging instruments for accounting purposes. During the six months ended September 30, 2023, the Company reclassified the loss associated with previously designated cash flow hedges into earnings during the period.</w:t>
      </w:r>
    </w:p>
    <w:p>
      <w:pPr>
        <w:spacing w:after="0" w:line="161"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6"/>
          <w:szCs w:val="16"/>
          <w:color w:val="auto"/>
        </w:rPr>
        <w:t>The following table summarizes the pre-tax gain (loss) recognized in other comprehensive income and the loss reclassified from accumulated other comprehensive income into earnings for derivative financial instruments designated as cash flow hedges for the six months ended September 30,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Pre-Tax</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Loss Reclassified from</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Pre-Tax Gain (Loss)</w:t>
            </w: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Loss Reclassified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AOCI into Net</w:t>
            </w:r>
          </w:p>
        </w:tc>
        <w:tc>
          <w:tcPr>
            <w:tcW w:w="0" w:type="dxa"/>
            <w:vAlign w:val="bottom"/>
          </w:tcPr>
          <w:p>
            <w:pPr>
              <w:spacing w:after="0"/>
              <w:rPr>
                <w:sz w:val="1"/>
                <w:szCs w:val="1"/>
                <w:color w:val="auto"/>
              </w:rPr>
            </w:pPr>
          </w:p>
        </w:tc>
      </w:tr>
      <w:tr>
        <w:trPr>
          <w:trHeight w:val="211"/>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For the six months ended September 30, 2023:</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Recognized in OCI</w:t>
            </w: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from AOCI into Net Earnings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0" w:type="dxa"/>
            <w:vAlign w:val="bottom"/>
          </w:tcPr>
          <w:p>
            <w:pPr>
              <w:spacing w:after="0"/>
              <w:rPr>
                <w:sz w:val="1"/>
                <w:szCs w:val="1"/>
                <w:color w:val="auto"/>
              </w:rPr>
            </w:pPr>
          </w:p>
        </w:tc>
      </w:tr>
      <w:tr>
        <w:trPr>
          <w:trHeight w:val="184"/>
        </w:trPr>
        <w:tc>
          <w:tcPr>
            <w:tcW w:w="38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Hot-rolled coil steel contracts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6"/>
                <w:szCs w:val="16"/>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Pr>
          <w:p>
            <w:pPr>
              <w:spacing w:after="0"/>
              <w:rPr>
                <w:sz w:val="16"/>
                <w:szCs w:val="16"/>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ind w:left="14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8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summarizes the gain recognized in earnings for derivative instruments not designated as hedging instruments during the three and six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2024 (in thousands):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Gain Recognized in Earnings</w:t>
            </w:r>
          </w:p>
        </w:tc>
      </w:tr>
      <w:tr>
        <w:trPr>
          <w:trHeight w:val="192"/>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Gain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1"/>
        </w:trPr>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Recognized in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r>
      <w:tr>
        <w:trPr>
          <w:trHeight w:val="168"/>
        </w:trPr>
        <w:tc>
          <w:tcPr>
            <w:tcW w:w="4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0" w:type="dxa"/>
            <w:vAlign w:val="bottom"/>
            <w:tcBorders>
              <w:top w:val="single" w:sz="8" w:color="auto"/>
            </w:tcBorders>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Gain on economic hedges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Hot-rolled coil steel contracts</w:t>
            </w: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of risk</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194</w:t>
            </w:r>
          </w:p>
        </w:tc>
      </w:tr>
      <w:tr>
        <w:trPr>
          <w:trHeight w:val="366"/>
        </w:trPr>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Gain Recognized in Earnings</w:t>
            </w:r>
          </w:p>
        </w:tc>
      </w:tr>
      <w:tr>
        <w:trPr>
          <w:trHeight w:val="192"/>
        </w:trPr>
        <w:tc>
          <w:tcPr>
            <w:tcW w:w="4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Location of Gain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 Six Months Ended</w:t>
            </w:r>
          </w:p>
        </w:tc>
      </w:tr>
      <w:tr>
        <w:trPr>
          <w:trHeight w:val="211"/>
        </w:trPr>
        <w:tc>
          <w:tcPr>
            <w:tcW w:w="4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Recognized in Earnings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0" w:type="dxa"/>
            <w:vAlign w:val="bottom"/>
          </w:tcPr>
          <w:p>
            <w:pPr>
              <w:spacing w:after="0"/>
              <w:rPr>
                <w:sz w:val="18"/>
                <w:szCs w:val="18"/>
                <w:color w:val="auto"/>
              </w:rPr>
            </w:pPr>
          </w:p>
        </w:tc>
      </w:tr>
      <w:tr>
        <w:trPr>
          <w:trHeight w:val="168"/>
        </w:trPr>
        <w:tc>
          <w:tcPr>
            <w:tcW w:w="470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jc w:val="center"/>
              <w:ind w:right="100"/>
              <w:spacing w:after="0" w:line="168" w:lineRule="exact"/>
              <w:rPr>
                <w:sz w:val="20"/>
                <w:szCs w:val="20"/>
                <w:color w:val="auto"/>
              </w:rPr>
            </w:pPr>
            <w:r>
              <w:rPr>
                <w:rFonts w:ascii="Times New Roman" w:cs="Times New Roman" w:eastAsia="Times New Roman" w:hAnsi="Times New Roman"/>
                <w:sz w:val="16"/>
                <w:szCs w:val="16"/>
                <w:color w:val="auto"/>
              </w:rPr>
              <w:t>Gain on economic hedges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Hot-rolled coil steel contracts</w:t>
            </w: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of risk</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5,569</w:t>
            </w:r>
          </w:p>
        </w:tc>
      </w:tr>
    </w:tbl>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following table summarizes the gain recognized in earnings for derivative instruments not designated as hedging instruments during the three and six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2023 (in thousands):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Gain Recognized in Earnings</w:t>
            </w:r>
          </w:p>
        </w:tc>
      </w:tr>
      <w:tr>
        <w:trPr>
          <w:trHeight w:val="192"/>
        </w:trPr>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Gain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1"/>
        </w:trPr>
        <w:tc>
          <w:tcPr>
            <w:tcW w:w="4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Recognized in 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September 30, 2023</w:t>
            </w:r>
          </w:p>
        </w:tc>
      </w:tr>
      <w:tr>
        <w:trPr>
          <w:trHeight w:val="168"/>
        </w:trPr>
        <w:tc>
          <w:tcPr>
            <w:tcW w:w="4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0" w:type="dxa"/>
            <w:vAlign w:val="bottom"/>
            <w:tcBorders>
              <w:top w:val="single" w:sz="8" w:color="auto"/>
            </w:tcBorders>
            <w:gridSpan w:val="2"/>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Gain on economic hedges</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9"/>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Hot-rolled coil steel contracts</w:t>
            </w:r>
          </w:p>
        </w:tc>
        <w:tc>
          <w:tcPr>
            <w:tcW w:w="1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of risk</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4,402</w:t>
            </w:r>
          </w:p>
        </w:tc>
      </w:tr>
      <w:tr>
        <w:trPr>
          <w:trHeight w:val="366"/>
        </w:trPr>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Gain Recognized in Earnings</w:t>
            </w:r>
          </w:p>
        </w:tc>
      </w:tr>
      <w:tr>
        <w:trPr>
          <w:trHeight w:val="192"/>
        </w:trPr>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Location of Gain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for the Six Months Ended</w:t>
            </w:r>
          </w:p>
        </w:tc>
      </w:tr>
      <w:tr>
        <w:trPr>
          <w:trHeight w:val="211"/>
        </w:trPr>
        <w:tc>
          <w:tcPr>
            <w:tcW w:w="47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Recognized in Earnings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80" w:type="dxa"/>
            <w:vAlign w:val="bottom"/>
          </w:tcPr>
          <w:p>
            <w:pPr>
              <w:spacing w:after="0"/>
              <w:rPr>
                <w:sz w:val="18"/>
                <w:szCs w:val="18"/>
                <w:color w:val="auto"/>
              </w:rPr>
            </w:pPr>
          </w:p>
        </w:tc>
      </w:tr>
      <w:tr>
        <w:trPr>
          <w:trHeight w:val="168"/>
        </w:trPr>
        <w:tc>
          <w:tcPr>
            <w:tcW w:w="4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center"/>
              <w:ind w:right="60"/>
              <w:spacing w:after="0" w:line="168" w:lineRule="exact"/>
              <w:rPr>
                <w:sz w:val="20"/>
                <w:szCs w:val="20"/>
                <w:color w:val="auto"/>
              </w:rPr>
            </w:pPr>
            <w:r>
              <w:rPr>
                <w:rFonts w:ascii="Times New Roman" w:cs="Times New Roman" w:eastAsia="Times New Roman" w:hAnsi="Times New Roman"/>
                <w:sz w:val="16"/>
                <w:szCs w:val="16"/>
                <w:color w:val="auto"/>
              </w:rPr>
              <w:t>Gain on economic hedges</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9"/>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Hot-rolled coil steel contracts</w:t>
            </w:r>
          </w:p>
        </w:tc>
        <w:tc>
          <w:tcPr>
            <w:tcW w:w="18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of risk</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80" w:type="dxa"/>
            <w:vAlign w:val="bottom"/>
            <w:shd w:val="clear" w:color="auto" w:fill="CCEEFF"/>
          </w:tcPr>
          <w:p>
            <w:pPr>
              <w:spacing w:after="0"/>
              <w:rPr>
                <w:sz w:val="18"/>
                <w:szCs w:val="18"/>
                <w:color w:val="auto"/>
              </w:rPr>
            </w:pPr>
          </w:p>
        </w:tc>
      </w:tr>
    </w:tbl>
    <w:p>
      <w:pPr>
        <w:spacing w:after="0" w:line="17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6"/>
          <w:szCs w:val="16"/>
          <w:color w:val="auto"/>
        </w:rPr>
        <w:t>The notional amount (quantity) of our derivative instruments not designated as hedging instruments at September 30, 2024 consisted of 1,820 tons of short positions with maturity dates ranging from October 2024 to June 2025 and 100 tons of long positions with maturity dates of November 2024 and January 2025.</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following tables reflect the change in accumulated other comprehensive income (loss), net of tax, for the six months ended September 30, 2023 (in thousands):</w:t>
      </w:r>
    </w:p>
    <w:p>
      <w:pPr>
        <w:spacing w:after="0" w:line="391"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Gain (Loss) on</w:t>
            </w:r>
          </w:p>
        </w:tc>
      </w:tr>
      <w:tr>
        <w:trPr>
          <w:trHeight w:val="211"/>
        </w:trPr>
        <w:tc>
          <w:tcPr>
            <w:tcW w:w="5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Derivatives</w:t>
            </w:r>
          </w:p>
        </w:tc>
        <w:tc>
          <w:tcPr>
            <w:tcW w:w="80" w:type="dxa"/>
            <w:vAlign w:val="bottom"/>
          </w:tcPr>
          <w:p>
            <w:pPr>
              <w:spacing w:after="0"/>
              <w:rPr>
                <w:sz w:val="18"/>
                <w:szCs w:val="18"/>
                <w:color w:val="auto"/>
              </w:rPr>
            </w:pPr>
          </w:p>
        </w:tc>
      </w:tr>
      <w:tr>
        <w:trPr>
          <w:trHeight w:val="18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(317)</w:t>
            </w:r>
          </w:p>
        </w:tc>
      </w:tr>
      <w:tr>
        <w:trPr>
          <w:trHeight w:val="192"/>
        </w:trPr>
        <w:tc>
          <w:tcPr>
            <w:tcW w:w="5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comprehensive income, net of loss, before reclassification</w:t>
            </w: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loss reclassified from AOCI (1)</w:t>
            </w:r>
          </w:p>
        </w:tc>
        <w:tc>
          <w:tcPr>
            <w:tcW w:w="1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317</w:t>
            </w:r>
          </w:p>
        </w:tc>
      </w:tr>
      <w:tr>
        <w:trPr>
          <w:trHeight w:val="20"/>
        </w:trPr>
        <w:tc>
          <w:tcPr>
            <w:tcW w:w="58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4"/>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Net current period other comprehensive income</w:t>
            </w: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317</w:t>
            </w:r>
          </w:p>
        </w:tc>
      </w:tr>
      <w:tr>
        <w:trPr>
          <w:trHeight w:val="20"/>
        </w:trPr>
        <w:tc>
          <w:tcPr>
            <w:tcW w:w="5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76" w:lineRule="exact"/>
        <w:rPr>
          <w:sz w:val="20"/>
          <w:szCs w:val="20"/>
          <w:color w:val="auto"/>
        </w:rPr>
      </w:pPr>
    </w:p>
    <w:p>
      <w:pPr>
        <w:ind w:right="20" w:firstLine="573"/>
        <w:spacing w:after="0" w:line="282" w:lineRule="auto"/>
        <w:tabs>
          <w:tab w:leader="none" w:pos="80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reclassified from AOCI is presented net of tax benefits of approximately $0.1 million which are included in the provision for (benefit from) income taxes on the Company's Consolidated Statement of Operations for the six months ended September 30, 2023.</w:t>
      </w:r>
    </w:p>
    <w:p>
      <w:pPr>
        <w:spacing w:after="0" w:line="144" w:lineRule="exact"/>
        <w:rPr>
          <w:sz w:val="20"/>
          <w:szCs w:val="20"/>
          <w:color w:val="auto"/>
        </w:rPr>
      </w:pPr>
    </w:p>
    <w:p>
      <w:pPr>
        <w:jc w:val="both"/>
        <w:ind w:left="120" w:right="100" w:firstLine="288"/>
        <w:spacing w:after="0" w:line="266" w:lineRule="auto"/>
        <w:rPr>
          <w:sz w:val="20"/>
          <w:szCs w:val="20"/>
          <w:color w:val="auto"/>
        </w:rPr>
      </w:pPr>
      <w:r>
        <w:rPr>
          <w:rFonts w:ascii="Times New Roman" w:cs="Times New Roman" w:eastAsia="Times New Roman" w:hAnsi="Times New Roman"/>
          <w:sz w:val="16"/>
          <w:szCs w:val="16"/>
          <w:color w:val="auto"/>
        </w:rPr>
        <w:t>At September 30, 2024 and March 31, 2024, cash of approximately $0.1 million and $3.0 million, respectively, was held by our clearing agent to collateralize our open derivative positions. These cash requirements are included in "Other current assets" on the Company's Consolidated Balance Sheets at September 30, 2024 and March 31, 2024.</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I — FAIR VALUE MEASUREMENTS</w:t>
      </w:r>
    </w:p>
    <w:p>
      <w:pPr>
        <w:spacing w:after="0" w:line="200" w:lineRule="exact"/>
        <w:rPr>
          <w:sz w:val="20"/>
          <w:szCs w:val="20"/>
          <w:color w:val="auto"/>
        </w:rPr>
      </w:pPr>
    </w:p>
    <w:p>
      <w:pPr>
        <w:jc w:val="both"/>
        <w:ind w:right="20" w:firstLine="392"/>
        <w:spacing w:after="0" w:line="266" w:lineRule="auto"/>
        <w:rPr>
          <w:sz w:val="20"/>
          <w:szCs w:val="20"/>
          <w:color w:val="auto"/>
        </w:rPr>
      </w:pPr>
      <w:r>
        <w:rPr>
          <w:rFonts w:ascii="Times New Roman" w:cs="Times New Roman" w:eastAsia="Times New Roman" w:hAnsi="Times New Roman"/>
          <w:sz w:val="16"/>
          <w:szCs w:val="16"/>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57" w:lineRule="exact"/>
        <w:rPr>
          <w:sz w:val="20"/>
          <w:szCs w:val="20"/>
          <w:color w:val="auto"/>
        </w:rPr>
      </w:pPr>
    </w:p>
    <w:p>
      <w:pPr>
        <w:ind w:left="860" w:hanging="287"/>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Quoted prices for identical assets and liabilities in active markets.</w:t>
      </w:r>
    </w:p>
    <w:p>
      <w:pPr>
        <w:spacing w:after="0" w:line="24"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Inputs other than quoted prices included within Level 1 that are observable for the assets and liabilities, either directly or indirectly.</w:t>
      </w:r>
    </w:p>
    <w:p>
      <w:pPr>
        <w:spacing w:after="0" w:line="8"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Unobservable inputs that are supported by little or no market activity and that are significant to the fair value of the assets and liabilities.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Recurring Fair Value Measurements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At September 30, 2024, our financial assets, net, measured at fair value on a recurring basis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8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Commodity futures – financial assets,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At March 31, 2024, our financial liabilities, net, measured at fair value on a recurring basis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59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8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Commodity futures – financial liabilities,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(1,612)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(1,612)</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(1,612)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(1,612)</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At September 30, 2024 and March 31, 2024, the Company did not have any fair value measurements on a non-recurring basis.</w:t>
      </w:r>
    </w:p>
    <w:p>
      <w:pPr>
        <w:spacing w:after="0" w:line="2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J — SEGMENT INFORMATION (in thousands)</w:t>
      </w:r>
    </w:p>
    <w:p>
      <w:pPr>
        <w:spacing w:after="0" w:line="200"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6"/>
          <w:szCs w:val="16"/>
          <w:color w:val="auto"/>
        </w:rPr>
        <w:t>The Company is engaged in the steel processing, pipe manufacturing and processing and steel and pipe distribution business. Within the Company, there are two product groups: flat-roll and tubular. The Company’s flat-roll operations consists primarily of converting steel coils into flat sheet and plate steel cut to customer specifications. Through its tubular operations, the Company purchases, processes, manufactures and markets tubular products. The following is a summary of significant financial information relating to the product groups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4"/>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Pr>
          <w:p>
            <w:pPr>
              <w:spacing w:after="0"/>
              <w:rPr>
                <w:sz w:val="16"/>
                <w:szCs w:val="16"/>
                <w:color w:val="auto"/>
              </w:rPr>
            </w:pPr>
          </w:p>
        </w:tc>
      </w:tr>
      <w:tr>
        <w:trPr>
          <w:trHeight w:val="18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Flat-Roll</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97,379</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120,527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200,766</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245,724</w:t>
            </w:r>
          </w:p>
        </w:tc>
      </w:tr>
      <w:tr>
        <w:trPr>
          <w:trHeight w:val="19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Tubular</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22,322</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NET SALES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106,759</w:t>
            </w:r>
          </w:p>
        </w:tc>
        <w:tc>
          <w:tcPr>
            <w:tcW w:w="140" w:type="dxa"/>
            <w:vAlign w:val="bottom"/>
          </w:tcPr>
          <w:p>
            <w:pPr>
              <w:spacing w:after="0"/>
              <w:rPr>
                <w:sz w:val="16"/>
                <w:szCs w:val="16"/>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130,748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221,310</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268,046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598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OPERATING PROFIT (LOSS):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2"/>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Flat-Roll</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2,669</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3,142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5,335</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14,956</w:t>
            </w:r>
          </w:p>
        </w:tc>
      </w:tr>
      <w:tr>
        <w:trPr>
          <w:trHeight w:val="19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Tubular</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(1,767)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OPERATING PROFIT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17,236</w:t>
            </w:r>
          </w:p>
        </w:tc>
      </w:tr>
      <w:tr>
        <w:trPr>
          <w:trHeight w:val="19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corporate expenses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(2,103)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(5,190)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(5,824)</w:t>
            </w:r>
          </w:p>
        </w:tc>
      </w:tr>
      <w:tr>
        <w:trPr>
          <w:trHeight w:val="192"/>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economic hedges of risk</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5,569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4,832</w:t>
            </w:r>
          </w:p>
        </w:tc>
      </w:tr>
      <w:tr>
        <w:trPr>
          <w:trHeight w:val="19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(1,550)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(1,345)</w:t>
            </w:r>
          </w:p>
        </w:tc>
      </w:tr>
      <w:tr>
        <w:trPr>
          <w:trHeight w:val="192"/>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income (loss)</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5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TOTAL EARNINGS (LOSS) BEFORE INCOME TAXES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(902)</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4,662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2,397</w:t>
            </w: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14,915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8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IDENTIFIABLE ASSETS:</w:t>
            </w:r>
          </w:p>
        </w:tc>
        <w:tc>
          <w:tcPr>
            <w:tcW w:w="5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Flat-Roll</w:t>
            </w: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189,601</w:t>
            </w:r>
          </w:p>
        </w:tc>
        <w:tc>
          <w:tcPr>
            <w:tcW w:w="100" w:type="dxa"/>
            <w:vAlign w:val="bottom"/>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205,797</w:t>
            </w:r>
          </w:p>
        </w:tc>
      </w:tr>
      <w:tr>
        <w:trPr>
          <w:trHeight w:val="192"/>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Tubular</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19,589</w:t>
            </w:r>
          </w:p>
        </w:tc>
      </w:tr>
      <w:tr>
        <w:trPr>
          <w:trHeight w:val="20"/>
        </w:trPr>
        <w:tc>
          <w:tcPr>
            <w:tcW w:w="80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20"/>
        </w:trPr>
        <w:tc>
          <w:tcPr>
            <w:tcW w:w="8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225,386</w:t>
            </w:r>
          </w:p>
        </w:tc>
      </w:tr>
      <w:tr>
        <w:trPr>
          <w:trHeight w:val="192"/>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General corporate assets</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4,633</w:t>
            </w:r>
          </w:p>
        </w:tc>
      </w:tr>
      <w:tr>
        <w:trPr>
          <w:trHeight w:val="20"/>
        </w:trPr>
        <w:tc>
          <w:tcPr>
            <w:tcW w:w="80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8000" w:type="dxa"/>
            <w:vAlign w:val="bottom"/>
          </w:tcPr>
          <w:p>
            <w:pPr>
              <w:spacing w:after="0"/>
              <w:rPr>
                <w:sz w:val="16"/>
                <w:szCs w:val="16"/>
                <w:color w:val="auto"/>
              </w:rPr>
            </w:pP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209,167</w:t>
            </w:r>
          </w:p>
        </w:tc>
        <w:tc>
          <w:tcPr>
            <w:tcW w:w="100" w:type="dxa"/>
            <w:vAlign w:val="bottom"/>
          </w:tcPr>
          <w:p>
            <w:pPr>
              <w:spacing w:after="0"/>
              <w:rPr>
                <w:sz w:val="16"/>
                <w:szCs w:val="16"/>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230,019</w:t>
            </w:r>
          </w:p>
        </w:tc>
      </w:tr>
      <w:tr>
        <w:trPr>
          <w:trHeight w:val="20"/>
        </w:trPr>
        <w:tc>
          <w:tcPr>
            <w:tcW w:w="80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firstLine="392"/>
        <w:spacing w:after="0" w:line="257" w:lineRule="auto"/>
        <w:rPr>
          <w:sz w:val="20"/>
          <w:szCs w:val="20"/>
          <w:color w:val="auto"/>
        </w:rPr>
      </w:pPr>
      <w:r>
        <w:rPr>
          <w:rFonts w:ascii="Times New Roman" w:cs="Times New Roman" w:eastAsia="Times New Roman" w:hAnsi="Times New Roman"/>
          <w:sz w:val="16"/>
          <w:szCs w:val="16"/>
          <w:color w:val="auto"/>
        </w:rPr>
        <w:t>Operating profit (loss) is total net sales less operating expenses, excluding general corporate expenses, gain on economic hedges of risk, interest expense and other income (loss).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At September 30, 2024 and March 31, 2024, corporate assets consist primarily of cash, restricted cash, leased administrative office right-of-use assets, unamortized debt issuance costs and the cash value of officers’ life insurance. Although inventory is transferred at cost between product groups, there are no sales between product groups.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K — REVENUE</w:t>
      </w:r>
    </w:p>
    <w:p>
      <w:pPr>
        <w:spacing w:after="0" w:line="200"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6"/>
          <w:szCs w:val="16"/>
          <w:color w:val="auto"/>
        </w:rPr>
        <w:t>Revenue is generated primarily from contracts to manufacture or process steel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Company has two reportable segments: Flat-Roll and Tubular. Flat-roll primarily generates revenue from cutting to length hot-rolled steel coils. Flat-roll segment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consists of two product types: Company Owned Flat-Roll Products and Processing or Storage of Customer Owned Coil. Tubular primarily generates revenue from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steel pipe it has manufactured resulting in a single product type: Manufactured Pipe.</w:t>
      </w:r>
    </w:p>
    <w:p>
      <w:pPr>
        <w:spacing w:after="0" w:line="184"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6"/>
          <w:szCs w:val="16"/>
          <w:color w:val="auto"/>
        </w:rPr>
        <w:t>The following table disaggregates our revenue by product for each of our reportable business segments for the three and six months ended September 30, 2024 and 2023, respectively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980" w:type="dxa"/>
            <w:vAlign w:val="bottom"/>
          </w:tcPr>
          <w:p>
            <w:pPr>
              <w:spacing w:after="0"/>
              <w:rPr>
                <w:sz w:val="18"/>
                <w:szCs w:val="18"/>
                <w:color w:val="auto"/>
              </w:rPr>
            </w:pPr>
          </w:p>
        </w:tc>
        <w:tc>
          <w:tcPr>
            <w:tcW w:w="1760" w:type="dxa"/>
            <w:vAlign w:val="bottom"/>
            <w:tcBorders>
              <w:bottom w:val="single" w:sz="8" w:color="auto"/>
            </w:tcBorders>
            <w:gridSpan w:val="3"/>
          </w:tcPr>
          <w:p>
            <w:pPr>
              <w:jc w:val="center"/>
              <w:ind w:left="6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Borders>
              <w:bottom w:val="single" w:sz="8" w:color="auto"/>
            </w:tcBorders>
            <w:gridSpan w:val="3"/>
          </w:tcPr>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4"/>
        </w:trPr>
        <w:tc>
          <w:tcPr>
            <w:tcW w:w="5980" w:type="dxa"/>
            <w:vAlign w:val="bottom"/>
          </w:tcPr>
          <w:p>
            <w:pPr>
              <w:spacing w:after="0"/>
              <w:rPr>
                <w:sz w:val="16"/>
                <w:szCs w:val="16"/>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Pr>
          <w:p>
            <w:pPr>
              <w:spacing w:after="0"/>
              <w:rPr>
                <w:sz w:val="16"/>
                <w:szCs w:val="16"/>
                <w:color w:val="auto"/>
              </w:rPr>
            </w:pPr>
          </w:p>
        </w:tc>
      </w:tr>
      <w:tr>
        <w:trPr>
          <w:trHeight w:val="18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Flat-Roll Segment:</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Company Owned Flat-Roll Products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96,232</w:t>
            </w: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119,195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198,066</w:t>
            </w: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243,168</w:t>
            </w:r>
          </w:p>
        </w:tc>
      </w:tr>
      <w:tr>
        <w:trPr>
          <w:trHeight w:val="19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Processing or Storage of Customer Owned Coil</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2,556</w:t>
            </w:r>
          </w:p>
        </w:tc>
      </w:tr>
      <w:tr>
        <w:trPr>
          <w:trHeight w:val="20"/>
        </w:trPr>
        <w:tc>
          <w:tcPr>
            <w:tcW w:w="59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97,379</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120,527</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200,766</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245,724</w:t>
            </w: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598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Tubular Segment:</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2"/>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Manufactured Pipe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9,380</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10,221</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20,544</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22,322</w:t>
            </w:r>
          </w:p>
        </w:tc>
      </w:tr>
      <w:tr>
        <w:trPr>
          <w:trHeight w:val="20"/>
        </w:trPr>
        <w:tc>
          <w:tcPr>
            <w:tcW w:w="5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59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10,221</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20,544</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22,322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L — STOCKHOLDERS’ EQUITY</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tables reflect the changes in stockholders’ equity for each of the six months ended September 30, 2024 and September 30, 2023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Net of Tax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84"/>
        </w:trPr>
        <w:tc>
          <w:tcPr>
            <w:tcW w:w="3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8,873</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35,247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(12,929)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96,284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127,475</w:t>
            </w:r>
          </w:p>
        </w:tc>
      </w:tr>
      <w:tr>
        <w:trPr>
          <w:trHeight w:val="192"/>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2,567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2,567</w:t>
            </w:r>
          </w:p>
        </w:tc>
      </w:tr>
      <w:tr>
        <w:trPr>
          <w:trHeight w:val="19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 in capital – restricted stock units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r>
      <w:tr>
        <w:trPr>
          <w:trHeight w:val="192"/>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shares</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(123)</w:t>
            </w:r>
          </w:p>
        </w:tc>
      </w:tr>
      <w:tr>
        <w:trPr>
          <w:trHeight w:val="19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($0.04 per share)</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(279)</w:t>
            </w:r>
          </w:p>
        </w:tc>
      </w:tr>
      <w:tr>
        <w:trPr>
          <w:trHeight w:val="20"/>
        </w:trPr>
        <w:tc>
          <w:tcPr>
            <w:tcW w:w="3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32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8,873</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35,294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(13,052)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98,572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129,687</w:t>
            </w: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328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88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line="168" w:lineRule="exact"/>
              <w:rPr>
                <w:sz w:val="20"/>
                <w:szCs w:val="20"/>
                <w:color w:val="auto"/>
              </w:rPr>
            </w:pPr>
            <w:r>
              <w:rPr>
                <w:rFonts w:ascii="Times New Roman" w:cs="Times New Roman" w:eastAsia="Times New Roman" w:hAnsi="Times New Roman"/>
                <w:sz w:val="16"/>
                <w:szCs w:val="16"/>
                <w:color w:val="auto"/>
              </w:rPr>
              <w:t>(675)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line="168" w:lineRule="exact"/>
              <w:rPr>
                <w:sz w:val="20"/>
                <w:szCs w:val="20"/>
                <w:color w:val="auto"/>
              </w:rPr>
            </w:pPr>
            <w:r>
              <w:rPr>
                <w:rFonts w:ascii="Times New Roman" w:cs="Times New Roman" w:eastAsia="Times New Roman" w:hAnsi="Times New Roman"/>
                <w:sz w:val="16"/>
                <w:szCs w:val="16"/>
                <w:color w:val="auto"/>
              </w:rPr>
              <w:t>(675)</w:t>
            </w:r>
          </w:p>
        </w:tc>
      </w:tr>
      <w:tr>
        <w:trPr>
          <w:trHeight w:val="192"/>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Paid in capital – restricted stock units</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r>
      <w:tr>
        <w:trPr>
          <w:trHeight w:val="19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shares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r>
      <w:tr>
        <w:trPr>
          <w:trHeight w:val="192"/>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($0.04 per share)</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(279)</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3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35,336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(13,063)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97,618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128,764</w:t>
            </w:r>
          </w:p>
        </w:tc>
      </w:tr>
      <w:tr>
        <w:trPr>
          <w:trHeight w:val="360"/>
        </w:trPr>
        <w:tc>
          <w:tcPr>
            <w:tcW w:w="32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00"/>
        </w:trPr>
        <w:tc>
          <w:tcPr>
            <w:tcW w:w="3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3" w:right="3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06"/>
        </w:trPr>
        <w:tc>
          <w:tcPr>
            <w:tcW w:w="114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1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1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1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1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Net of Tax</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84"/>
        </w:trPr>
        <w:tc>
          <w:tcPr>
            <w:tcW w:w="3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8,869</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35,005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(7,778)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79,653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115,432</w:t>
            </w:r>
          </w:p>
        </w:tc>
      </w:tr>
      <w:tr>
        <w:trPr>
          <w:trHeight w:val="192"/>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7,690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7,690</w:t>
            </w:r>
          </w:p>
        </w:tc>
      </w:tr>
      <w:tr>
        <w:trPr>
          <w:trHeight w:val="19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317</w:t>
            </w:r>
          </w:p>
        </w:tc>
      </w:tr>
      <w:tr>
        <w:trPr>
          <w:trHeight w:val="192"/>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Paid in capital – restricted stock units</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r>
      <w:tr>
        <w:trPr>
          <w:trHeight w:val="19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 ($0.02 per share)</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(148)</w:t>
            </w:r>
          </w:p>
        </w:tc>
      </w:tr>
      <w:tr>
        <w:trPr>
          <w:trHeight w:val="20"/>
        </w:trPr>
        <w:tc>
          <w:tcPr>
            <w:tcW w:w="114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32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BALANCE AT JUNE 30,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8,869</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35,083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(7,778)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87,195</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123,369</w:t>
            </w:r>
          </w:p>
        </w:tc>
      </w:tr>
      <w:tr>
        <w:trPr>
          <w:trHeight w:val="20"/>
        </w:trPr>
        <w:tc>
          <w:tcPr>
            <w:tcW w:w="1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328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Net earnings</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line="168"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line="168" w:lineRule="exact"/>
              <w:rPr>
                <w:sz w:val="20"/>
                <w:szCs w:val="20"/>
                <w:color w:val="auto"/>
              </w:rPr>
            </w:pPr>
            <w:r>
              <w:rPr>
                <w:rFonts w:ascii="Times New Roman" w:cs="Times New Roman" w:eastAsia="Times New Roman" w:hAnsi="Times New Roman"/>
                <w:sz w:val="16"/>
                <w:szCs w:val="16"/>
                <w:color w:val="auto"/>
              </w:rPr>
              <w:t>3,513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line="168" w:lineRule="exact"/>
              <w:rPr>
                <w:sz w:val="20"/>
                <w:szCs w:val="20"/>
                <w:color w:val="auto"/>
              </w:rPr>
            </w:pPr>
            <w:r>
              <w:rPr>
                <w:rFonts w:ascii="Times New Roman" w:cs="Times New Roman" w:eastAsia="Times New Roman" w:hAnsi="Times New Roman"/>
                <w:sz w:val="16"/>
                <w:szCs w:val="16"/>
                <w:color w:val="auto"/>
              </w:rPr>
              <w:t>3,513</w:t>
            </w:r>
          </w:p>
        </w:tc>
      </w:tr>
      <w:tr>
        <w:trPr>
          <w:trHeight w:val="192"/>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Paid in capital – restricted stock units</w:t>
            </w: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r>
      <w:tr>
        <w:trPr>
          <w:trHeight w:val="19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shares</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192"/>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dividends ($0.02 per share)</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w:t>
            </w:r>
          </w:p>
        </w:tc>
      </w:tr>
      <w:tr>
        <w:trPr>
          <w:trHeight w:val="20"/>
        </w:trPr>
        <w:tc>
          <w:tcPr>
            <w:tcW w:w="1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3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35,161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(7,781)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90,560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126,809</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M — OTHER COMPREHENSIVE INCOME</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table summarizes the tax effects on each component of Other Comprehensive Income for the six months ended September 30, 2023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September 30, 2023</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Before-Tax</w:t>
            </w:r>
          </w:p>
        </w:tc>
        <w:tc>
          <w:tcPr>
            <w:tcW w:w="340" w:type="dxa"/>
            <w:vAlign w:val="bottom"/>
          </w:tcPr>
          <w:p>
            <w:pPr>
              <w:spacing w:after="0"/>
              <w:rPr>
                <w:sz w:val="16"/>
                <w:szCs w:val="16"/>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Tax</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Net-of-Tax</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hedges</w:t>
            </w:r>
          </w:p>
        </w:tc>
        <w:tc>
          <w:tcPr>
            <w:tcW w:w="2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418</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2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418</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(101)</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560" w:type="dxa"/>
            <w:vAlign w:val="bottom"/>
            <w:vMerge w:val="restart"/>
          </w:tcPr>
          <w:p>
            <w:pPr>
              <w:jc w:val="right"/>
              <w:ind w:right="540"/>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7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76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12"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N — EARNINGS PER SHARE</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Basic and dilutive net earnings per share is computed based on the following information (in thousands, except for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4"/>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Pr>
          <w:p>
            <w:pPr>
              <w:spacing w:after="0"/>
              <w:rPr>
                <w:sz w:val="16"/>
                <w:szCs w:val="16"/>
                <w:color w:val="auto"/>
              </w:rPr>
            </w:pPr>
          </w:p>
        </w:tc>
      </w:tr>
      <w:tr>
        <w:trPr>
          <w:trHeight w:val="18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 (basic and diluted)</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(loss)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(675)</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1,892</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11,203</w:t>
            </w:r>
          </w:p>
        </w:tc>
      </w:tr>
      <w:tr>
        <w:trPr>
          <w:trHeight w:val="19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Allocation to unvested restricted stock units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(loss) attributable to common shareholders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(676)</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3,472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1,884</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11,072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5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2"/>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 (basic and diluted)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6,939,416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7,288,906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6,939,312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7,288,906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For the six months ended September 30, 2024 and 2023, the Company allocated dividends and undistributed earnings to the unvested restricted stock units.</w:t>
      </w:r>
    </w:p>
    <w:p>
      <w:pPr>
        <w:spacing w:after="0" w:line="200"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6"/>
          <w:szCs w:val="16"/>
          <w:color w:val="auto"/>
        </w:rPr>
        <w:t>As the restricted stock qualifies as participating securities, the following restricted stock units were not accounted in the computation of weighted average diluted common shares outstanding under the two-class method: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980" w:type="dxa"/>
            <w:vAlign w:val="bottom"/>
          </w:tcPr>
          <w:p>
            <w:pPr>
              <w:spacing w:after="0"/>
              <w:rPr>
                <w:sz w:val="18"/>
                <w:szCs w:val="18"/>
                <w:color w:val="auto"/>
              </w:rPr>
            </w:pPr>
          </w:p>
        </w:tc>
        <w:tc>
          <w:tcPr>
            <w:tcW w:w="1760" w:type="dxa"/>
            <w:vAlign w:val="bottom"/>
            <w:tcBorders>
              <w:bottom w:val="single" w:sz="8" w:color="auto"/>
            </w:tcBorders>
            <w:gridSpan w:val="3"/>
          </w:tcPr>
          <w:p>
            <w:pPr>
              <w:jc w:val="center"/>
              <w:ind w:left="6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Borders>
              <w:bottom w:val="single" w:sz="8" w:color="auto"/>
            </w:tcBorders>
            <w:gridSpan w:val="3"/>
          </w:tcPr>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4"/>
        </w:trPr>
        <w:tc>
          <w:tcPr>
            <w:tcW w:w="5980" w:type="dxa"/>
            <w:vAlign w:val="bottom"/>
          </w:tcPr>
          <w:p>
            <w:pPr>
              <w:spacing w:after="0"/>
              <w:rPr>
                <w:sz w:val="16"/>
                <w:szCs w:val="16"/>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Pr>
          <w:p>
            <w:pPr>
              <w:spacing w:after="0"/>
              <w:rPr>
                <w:sz w:val="16"/>
                <w:szCs w:val="16"/>
                <w:color w:val="auto"/>
              </w:rPr>
            </w:pPr>
          </w:p>
        </w:tc>
      </w:tr>
      <w:tr>
        <w:trPr>
          <w:trHeight w:val="18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24,049</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72,910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22,997</w:t>
            </w: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67,712</w:t>
            </w: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O — SUPPLEMENTAL CASH FLOW INFORMATION</w:t>
      </w:r>
    </w:p>
    <w:p>
      <w:pPr>
        <w:spacing w:after="0" w:line="200"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6"/>
          <w:szCs w:val="16"/>
          <w:color w:val="auto"/>
        </w:rPr>
        <w:t>The Company paid interest of approximately $1.6 million and $1.2 million during the six months ended September 30, 2024 and 2023, respectively. Additionally, the Company paid income taxes of approximately $2.9 million and $2.7 million during the six months ended September 30, 2024 and 2023, respectively.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P — INCOME TAXES</w:t>
      </w:r>
    </w:p>
    <w:p>
      <w:pPr>
        <w:spacing w:after="0" w:line="200"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6"/>
          <w:szCs w:val="16"/>
          <w:color w:val="auto"/>
        </w:rPr>
        <w:t>For the six months ended September 30, 2024 and six months ended September 30, 2023, the Company recorded income tax provisions of approximately $0.5 million and $3.7 million, respectively. For the six months ended September 30, 2024, the effective tax rate differed from the federal statutory rate due primarily to the inclusion of state tax expenses in the provision with this impact partially reduced by the tax effect of restricted stock vesting during the period. For the six months ended September 30, 2023, the effective tax rate differed from the federal statutory rate due primarily to the inclusion of state tax expenses in the provision.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Friedman Industries, Incorporated is a manufacturer and processor of steel products and operates in two reportable segments: flat-roll products and tubular products.</w:t>
      </w:r>
    </w:p>
    <w:p>
      <w:pPr>
        <w:spacing w:after="0" w:line="200" w:lineRule="exact"/>
        <w:rPr>
          <w:sz w:val="20"/>
          <w:szCs w:val="20"/>
          <w:color w:val="auto"/>
        </w:rPr>
      </w:pPr>
    </w:p>
    <w:p>
      <w:pPr>
        <w:jc w:val="both"/>
        <w:ind w:firstLine="392"/>
        <w:spacing w:after="0" w:line="257" w:lineRule="auto"/>
        <w:rPr>
          <w:sz w:val="20"/>
          <w:szCs w:val="20"/>
          <w:color w:val="auto"/>
        </w:rPr>
      </w:pPr>
      <w:r>
        <w:rPr>
          <w:rFonts w:ascii="Times New Roman" w:cs="Times New Roman" w:eastAsia="Times New Roman" w:hAnsi="Times New Roman"/>
          <w:sz w:val="16"/>
          <w:szCs w:val="16"/>
          <w:color w:val="auto"/>
        </w:rPr>
        <w:t>The flat-roll product segment consists of the operation of five hot-rolled coil processing facilities located in Hickman, Arkansas; Decatur, Alabama; East Chicago, Indiana; Granite City, Illinois and Sinton, Texas.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flat-roll product segment revenue is generated from sales of Company owned inventory but the segment also generates revenue from the processing or storage of customer owned coils on a fee basis.</w:t>
      </w:r>
    </w:p>
    <w:p>
      <w:pPr>
        <w:spacing w:after="0" w:line="163" w:lineRule="exact"/>
        <w:rPr>
          <w:sz w:val="20"/>
          <w:szCs w:val="20"/>
          <w:color w:val="auto"/>
        </w:rPr>
      </w:pPr>
    </w:p>
    <w:p>
      <w:pPr>
        <w:jc w:val="both"/>
        <w:ind w:right="20" w:firstLine="392"/>
        <w:spacing w:after="0" w:line="261" w:lineRule="auto"/>
        <w:rPr>
          <w:sz w:val="20"/>
          <w:szCs w:val="20"/>
          <w:color w:val="auto"/>
        </w:rPr>
      </w:pPr>
      <w:r>
        <w:rPr>
          <w:rFonts w:ascii="Times New Roman" w:cs="Times New Roman" w:eastAsia="Times New Roman" w:hAnsi="Times New Roman"/>
          <w:sz w:val="16"/>
          <w:szCs w:val="16"/>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All of the tubular segment's revenue is generated from sales of Company owned inventory.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Six Months Ended September 30, 2024 Compared to Six Months Ended September 30, 2023</w:t>
      </w:r>
    </w:p>
    <w:p>
      <w:pPr>
        <w:spacing w:after="0" w:line="204"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6"/>
          <w:szCs w:val="16"/>
          <w:color w:val="auto"/>
        </w:rPr>
        <w:t>During the six months ended September 30, 2024 (the “2024 period”), sales, cost of materials sold and adjusted gross profit decreased approximately $46.7 million, $33.3 million and $13.4 million, respectively, compared to the amounts recorded during the six months ended September 30, 2023 (the “2023 period”). The decrease in sales was associated with both a decline in sales volume and a decrease in the average selling price per ton. Sales volume for the 2024 period consisted of approximately 240,000 tons from inventory and another 42,000 tons of toll processing customer owned material compared to the 2023 period volume consisting of approximately 258,000 tons from inventory and 50,000 tons of toll processing. The decline in sales volume for the 2024 period was related to a combination of challenging conditions for some of our customers and extended planned downtime for equipment upgrades and maintenance at the Company's Sinton and Decatur facilities. Adjusted gross profit was approximately $36.7 million for the 2024 period compared to approximately $50.1 million for the 2023 period. Adjusted gross profit as a percentage of sales was approximately 16.6% for the 2024 period compared to approximately 18.7% for the 2023 period.</w:t>
      </w:r>
    </w:p>
    <w:p>
      <w:pPr>
        <w:spacing w:after="0" w:line="166" w:lineRule="exact"/>
        <w:rPr>
          <w:sz w:val="20"/>
          <w:szCs w:val="20"/>
          <w:color w:val="auto"/>
        </w:rPr>
      </w:pPr>
    </w:p>
    <w:p>
      <w:pPr>
        <w:jc w:val="both"/>
        <w:ind w:right="20" w:firstLine="392"/>
        <w:spacing w:after="0" w:line="257" w:lineRule="auto"/>
        <w:rPr>
          <w:sz w:val="20"/>
          <w:szCs w:val="20"/>
          <w:color w:val="auto"/>
        </w:rPr>
      </w:pPr>
      <w:r>
        <w:rPr>
          <w:rFonts w:ascii="Times New Roman" w:cs="Times New Roman" w:eastAsia="Times New Roman" w:hAnsi="Times New Roman"/>
          <w:sz w:val="16"/>
          <w:szCs w:val="16"/>
          <w:color w:val="auto"/>
        </w:rPr>
        <w:t>Our operating results are significantly impacted by the market price of hot-rolled steel coil ("HRC"). Entering the 2023 period, HRC prices had increased approximately 95% from November 2022 to April 2023. HRC prices then declined approximately 18% by the end of the 2023 period. As a result, the 2023 period benefitted from strong physical margins during the first half of the period and then experienced margin compression during the second half of the period. Entering the 2024 period, HRC prices were on a predominately declining trend dropping approximately 40% from January 2024 through the middle of August 2024. As a result, the Company experienced compressed physical margins throughout the 2024 period. The Company utilizes HRC futures to partially manage exposure to commodity price risk. The Company recognized hedging related gains of approximately $5.6 million and $4.8 million in the 2024 and 2023 periods, respectively.</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Flat-roll Segment</w:t>
      </w:r>
    </w:p>
    <w:p>
      <w:pPr>
        <w:spacing w:after="0" w:line="204" w:lineRule="exact"/>
        <w:rPr>
          <w:sz w:val="20"/>
          <w:szCs w:val="20"/>
          <w:color w:val="auto"/>
        </w:rPr>
      </w:pPr>
    </w:p>
    <w:p>
      <w:pPr>
        <w:jc w:val="both"/>
        <w:ind w:firstLine="392"/>
        <w:spacing w:after="0" w:line="254" w:lineRule="auto"/>
        <w:rPr>
          <w:sz w:val="20"/>
          <w:szCs w:val="20"/>
          <w:color w:val="auto"/>
        </w:rPr>
      </w:pPr>
      <w:r>
        <w:rPr>
          <w:rFonts w:ascii="Times New Roman" w:cs="Times New Roman" w:eastAsia="Times New Roman" w:hAnsi="Times New Roman"/>
          <w:sz w:val="16"/>
          <w:szCs w:val="16"/>
          <w:color w:val="auto"/>
        </w:rPr>
        <w:t>Flat-roll product segment sales for the 2024 period totaled approximately $200.8 million compared to approximately $245.7 million for the 2023 period. For a more complete understanding of the average selling prices of goods sold, it is helpful to exclude any sales generated from processing or storage of customer owned material. Sales generated from processing or storage of customer owned material totaled approximately $2.7 million for the 2024 period compared to approximately $2.6 million for the 2023 period. Sales generated from flat-roll segment inventory totaled approximately $198.1 million for the 2024 period compared to approximately $243.1 million for the 2023 period. The average per ton selling price related to these shipments decreased from approximately $1,011 per ton in the 2023 period to approximately $895 per ton in the 2024 period. Sales volume for the 2024 period consisted of approximately 221,500 tons from inventory and another 42,000 tons of toll processing customer owned material compared to the 2023 period volume consisting of approximately 241,000 tons from inventory and 50,000 tons of toll processing. The decline in sales volume for the 2024 quarter was related to a combination of challenging conditions for some of our customers and extended planned downtime for equipment upgrades and maintenance at the Company's Sinton and Decatur facilities. Flat-roll segment operations recorded operating profits of approximately $5.3 million and $15.0 million for the 2024 period and 2023 period, respectively.</w:t>
      </w:r>
    </w:p>
    <w:p>
      <w:pPr>
        <w:spacing w:after="0" w:line="167"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6"/>
          <w:szCs w:val="16"/>
          <w:color w:val="auto"/>
        </w:rPr>
        <w:t>The Company’s flat-roll segment purchases its inventory from a limited number of suppliers. Loss of any of these suppliers could have a material adverse effect on the Company’s business.</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Tubular Segment</w:t>
      </w:r>
    </w:p>
    <w:p>
      <w:pPr>
        <w:spacing w:after="0" w:line="204" w:lineRule="exact"/>
        <w:rPr>
          <w:sz w:val="20"/>
          <w:szCs w:val="20"/>
          <w:color w:val="auto"/>
        </w:rPr>
      </w:pPr>
    </w:p>
    <w:p>
      <w:pPr>
        <w:jc w:val="both"/>
        <w:ind w:right="20" w:firstLine="392"/>
        <w:spacing w:after="0" w:line="261" w:lineRule="auto"/>
        <w:rPr>
          <w:sz w:val="20"/>
          <w:szCs w:val="20"/>
          <w:color w:val="auto"/>
        </w:rPr>
      </w:pPr>
      <w:r>
        <w:rPr>
          <w:rFonts w:ascii="Times New Roman" w:cs="Times New Roman" w:eastAsia="Times New Roman" w:hAnsi="Times New Roman"/>
          <w:sz w:val="16"/>
          <w:szCs w:val="16"/>
          <w:color w:val="auto"/>
        </w:rPr>
        <w:t>Tubular product segment sales for the 2024 period totaled approximately $20.5 million compared to approximately $22.3 million for the 2023 period. Sales decreased primarily due to a decrease in the average selling price per ton from approximately $1,290 per ton for the 2023 period to approximately $1,087 per ton for the 2024 quarter. Tons sold increased from approximately 17,500 tons in the 2023 period to approximately 19,000 tons in the 2024 period. The tubular segment recorded an operating loss of approximately $1.8 million for the 2024 period compared to recording operating profit of approximately $2.3 million for the 2023 period.</w:t>
      </w:r>
    </w:p>
    <w:p>
      <w:pPr>
        <w:spacing w:after="0" w:line="161" w:lineRule="exact"/>
        <w:rPr>
          <w:sz w:val="20"/>
          <w:szCs w:val="20"/>
          <w:color w:val="auto"/>
        </w:rPr>
      </w:pPr>
    </w:p>
    <w:p>
      <w:pPr>
        <w:jc w:val="both"/>
        <w:ind w:firstLine="392"/>
        <w:spacing w:after="0" w:line="282" w:lineRule="auto"/>
        <w:rPr>
          <w:sz w:val="20"/>
          <w:szCs w:val="20"/>
          <w:color w:val="auto"/>
        </w:rPr>
      </w:pPr>
      <w:r>
        <w:rPr>
          <w:rFonts w:ascii="Times New Roman" w:cs="Times New Roman" w:eastAsia="Times New Roman" w:hAnsi="Times New Roman"/>
          <w:sz w:val="16"/>
          <w:szCs w:val="16"/>
          <w:color w:val="auto"/>
        </w:rPr>
        <w:t>The tubular segment purchases its inventory from a limited number of suppliers. Loss of any of these suppliers could have a material adverse effect on the Company’s business.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General, Selling and Administrative Costs</w:t>
      </w:r>
    </w:p>
    <w:p>
      <w:pPr>
        <w:spacing w:after="0" w:line="20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6"/>
          <w:szCs w:val="16"/>
          <w:color w:val="auto"/>
        </w:rPr>
        <w:t>During the 2024 period, selling, general and administrative costs decreased approximately $2.2 million compared to the 2023 period. This decrease is primarily related to lower incentive compensation expense due to the lower earnings in the 2024 period.</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04" w:lineRule="exact"/>
        <w:rPr>
          <w:sz w:val="20"/>
          <w:szCs w:val="20"/>
          <w:color w:val="auto"/>
        </w:rPr>
      </w:pPr>
    </w:p>
    <w:p>
      <w:pPr>
        <w:jc w:val="both"/>
        <w:ind w:right="20" w:firstLine="392"/>
        <w:spacing w:after="0" w:line="257" w:lineRule="auto"/>
        <w:rPr>
          <w:sz w:val="20"/>
          <w:szCs w:val="20"/>
          <w:color w:val="auto"/>
        </w:rPr>
      </w:pPr>
      <w:r>
        <w:rPr>
          <w:rFonts w:ascii="Times New Roman" w:cs="Times New Roman" w:eastAsia="Times New Roman" w:hAnsi="Times New Roman"/>
          <w:sz w:val="16"/>
          <w:szCs w:val="16"/>
          <w:color w:val="auto"/>
        </w:rPr>
        <w:t>Income taxes decreased from a provision for the 2023 period of approximately $3.7 million to a provision for the 2024 period of approximately $0.5 million. This decrease was primarily related to lower earnings before taxes for the 2024 period. The income tax provision as a percentage of earnings before tax was approximately 21.1% and 24.9% for the six months ended September 30, 2024 and 2023, respectively. For the six months ended September 30, 2024, the effective tax rate differed from the federal statutory rate due primarily to the inclusion of state tax expenses in the provision with this impact partially reduced by the tax effect of restricted stock vesting during the period. For the six months ended September 30, 2023, the effective tax rate differed from the federal statutory rate due primarily to the inclusion of state tax expenses in the provision.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Three Months Ended September 30, 2024 Compared to Three Months Ended September 30, 2023</w:t>
      </w:r>
    </w:p>
    <w:p>
      <w:pPr>
        <w:spacing w:after="0" w:line="204" w:lineRule="exact"/>
        <w:rPr>
          <w:sz w:val="20"/>
          <w:szCs w:val="20"/>
          <w:color w:val="auto"/>
        </w:rPr>
      </w:pPr>
    </w:p>
    <w:p>
      <w:pPr>
        <w:jc w:val="both"/>
        <w:ind w:right="100" w:firstLine="392"/>
        <w:spacing w:after="0" w:line="255" w:lineRule="auto"/>
        <w:rPr>
          <w:sz w:val="20"/>
          <w:szCs w:val="20"/>
          <w:color w:val="auto"/>
        </w:rPr>
      </w:pPr>
      <w:r>
        <w:rPr>
          <w:rFonts w:ascii="Times New Roman" w:cs="Times New Roman" w:eastAsia="Times New Roman" w:hAnsi="Times New Roman"/>
          <w:sz w:val="16"/>
          <w:szCs w:val="16"/>
          <w:color w:val="auto"/>
        </w:rPr>
        <w:t>During the three months ended September 30, 2024 (the “2024 quarter”), sales, cost of materials sold and adjusted gross profit decreased approximately $24.0 million, $21.5 million and $2.5 million, respectively, compared to the amounts recorded during the three months ended September 30, 2023 (the “2023 quarter”). The decrease in sales was associated with both a decline in sales volume and a decrease in the average selling price per ton. Sales volume for the 2024 quarter consisted of approximately 121,500 tons from inventory and another 18,000 tons of toll processing customer owned material compared to the 2023 quarter volume consisting of approximately 129,500 tons from inventory and 26,000 tons of toll processing. The decline in sales volume for the 2024 quarter was related to a combination of weaker demand among some customers and hesitancy among others given the political uncertainty at the time. Adjusted gross profit was approximately $18.0 million for the 2024 quarter compared to approximately $20.5 million for the 2023 quarter. Adjusted gross profit as a percentage of sales was approximately 16.9% for the 2024 quarter compared to approximately 15.7% for the 2023 quarter.</w:t>
      </w:r>
    </w:p>
    <w:p>
      <w:pPr>
        <w:spacing w:after="0" w:line="166" w:lineRule="exact"/>
        <w:rPr>
          <w:sz w:val="20"/>
          <w:szCs w:val="20"/>
          <w:color w:val="auto"/>
        </w:rPr>
      </w:pPr>
    </w:p>
    <w:p>
      <w:pPr>
        <w:jc w:val="both"/>
        <w:ind w:right="80" w:firstLine="392"/>
        <w:spacing w:after="0" w:line="257" w:lineRule="auto"/>
        <w:rPr>
          <w:sz w:val="20"/>
          <w:szCs w:val="20"/>
          <w:color w:val="auto"/>
        </w:rPr>
      </w:pPr>
      <w:r>
        <w:rPr>
          <w:rFonts w:ascii="Times New Roman" w:cs="Times New Roman" w:eastAsia="Times New Roman" w:hAnsi="Times New Roman"/>
          <w:sz w:val="16"/>
          <w:szCs w:val="16"/>
          <w:color w:val="auto"/>
        </w:rPr>
        <w:t>Our operating results are significantly impacted by the market price of hot-rolled steel coil ("HRC"). HRC price declined approximately 25% during the 2023 quarter with this decline being part of a downward price cycle which commenced in April 2023. From April 2023 and to the end of the 2023 quarter, HRC price declined approximately 45%. As a result, the Company experienced compressed margins during the 2023 quarter. Entering the 2024 quarter, HRC prices were on a predominately declining trend dropping approximately 40% from January 2024 through the middle of the 2024 quarter. As a result, the Company experienced compressed physical margins during the 2024 quarter. The Company utilizes HRC futures to partially manage exposure to commodity price risk. The Company recognized hedging related gains of approximately $0.2 million and $4.4 million in the 2024 and 2023 quarters, respectively.</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Flat-roll Segment</w:t>
      </w:r>
    </w:p>
    <w:p>
      <w:pPr>
        <w:spacing w:after="0" w:line="204" w:lineRule="exact"/>
        <w:rPr>
          <w:sz w:val="20"/>
          <w:szCs w:val="20"/>
          <w:color w:val="auto"/>
        </w:rPr>
      </w:pPr>
    </w:p>
    <w:p>
      <w:pPr>
        <w:jc w:val="both"/>
        <w:ind w:right="80" w:firstLine="392"/>
        <w:spacing w:after="0" w:line="254" w:lineRule="auto"/>
        <w:rPr>
          <w:sz w:val="20"/>
          <w:szCs w:val="20"/>
          <w:color w:val="auto"/>
        </w:rPr>
      </w:pPr>
      <w:r>
        <w:rPr>
          <w:rFonts w:ascii="Times New Roman" w:cs="Times New Roman" w:eastAsia="Times New Roman" w:hAnsi="Times New Roman"/>
          <w:sz w:val="16"/>
          <w:szCs w:val="16"/>
          <w:color w:val="auto"/>
        </w:rPr>
        <w:t>Flat-roll product segment sales for the 2024 quarter totaled approximately $97.4 million compared to approximately $120.5 million for the 2023 quarter. For a more complete understanding of the average selling prices of goods sold, it is helpful to exclude any sales generated from processing or storage of customer owned material. Sales generated from processing or storage of customer owned material totaled approximately $1.1 million for the 2024 quarter compared to approximately $1.3 million for the 2023 quarter. Sales generated from flat-roll segment inventory totaled approximately $96.2 million for the 2024 quarter compared to approximately $119.2 million for the 2023 quarter. The average per ton selling price related to these shipments decreased from approximately $983 per ton in the 2023 quarter to approximately $858 per ton in the 2024 quarter. Sales volume for the 2024 quarter consisted of approximately 112,000 tons from inventory and another 18,000 tons of toll processing customer owned material compared to the 2023 quarter volume consisting of approximately 121,000 tons from inventory and 26,000 tons of toll processing. The decline in sales volume for the 2024 quarter was related to a combination of weaker demand among some customers and hesitancy among others given the political uncertainty at the time. Flat-roll segment operations recorded operating profits of approximately $2.7 million and $3.1 million for the 2024 quarter and 2023 quarter, respectively.</w:t>
      </w:r>
    </w:p>
    <w:p>
      <w:pPr>
        <w:spacing w:after="0" w:line="170" w:lineRule="exact"/>
        <w:rPr>
          <w:sz w:val="20"/>
          <w:szCs w:val="20"/>
          <w:color w:val="auto"/>
        </w:rPr>
      </w:pPr>
    </w:p>
    <w:p>
      <w:pPr>
        <w:jc w:val="both"/>
        <w:ind w:right="100" w:firstLine="392"/>
        <w:spacing w:after="0" w:line="282" w:lineRule="auto"/>
        <w:rPr>
          <w:sz w:val="20"/>
          <w:szCs w:val="20"/>
          <w:color w:val="auto"/>
        </w:rPr>
      </w:pPr>
      <w:r>
        <w:rPr>
          <w:rFonts w:ascii="Times New Roman" w:cs="Times New Roman" w:eastAsia="Times New Roman" w:hAnsi="Times New Roman"/>
          <w:sz w:val="16"/>
          <w:szCs w:val="16"/>
          <w:color w:val="auto"/>
        </w:rPr>
        <w:t>The Company’s flat-roll segment purchases its inventory from a limited number of suppliers. Loss of any of these suppliers could have a material adverse effect on the Company’s business.</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Tubular Segment</w:t>
      </w:r>
    </w:p>
    <w:p>
      <w:pPr>
        <w:spacing w:after="0" w:line="204" w:lineRule="exact"/>
        <w:rPr>
          <w:sz w:val="20"/>
          <w:szCs w:val="20"/>
          <w:color w:val="auto"/>
        </w:rPr>
      </w:pPr>
    </w:p>
    <w:p>
      <w:pPr>
        <w:jc w:val="both"/>
        <w:ind w:right="100" w:firstLine="392"/>
        <w:spacing w:after="0" w:line="261" w:lineRule="auto"/>
        <w:rPr>
          <w:sz w:val="20"/>
          <w:szCs w:val="20"/>
          <w:color w:val="auto"/>
        </w:rPr>
      </w:pPr>
      <w:r>
        <w:rPr>
          <w:rFonts w:ascii="Times New Roman" w:cs="Times New Roman" w:eastAsia="Times New Roman" w:hAnsi="Times New Roman"/>
          <w:sz w:val="16"/>
          <w:szCs w:val="16"/>
          <w:color w:val="auto"/>
        </w:rPr>
        <w:t>Tubular product segment sales for the 2024 quarter totaled approximately $9.4 million compared to approximately $10.2 million for the 2023 quarter. Sales decreased due primarily to a decrease in the average selling price per ton from approximately $1,217 per ton for the 2023 quarter to approximately $1,030 per ton for the 2024 quarter. Sales volume was comparable between the periods with approximately 9,000 tons sold in the 2024 quarter compared to approximately 8,500 tons sold in the 2023 quarter. The tubular segment recorded an operating loss of approximately $0.6 million for the 2024 quarter compared to a break even operating profit for the 2023 quarter.</w:t>
      </w:r>
    </w:p>
    <w:p>
      <w:pPr>
        <w:spacing w:after="0" w:line="161" w:lineRule="exact"/>
        <w:rPr>
          <w:sz w:val="20"/>
          <w:szCs w:val="20"/>
          <w:color w:val="auto"/>
        </w:rPr>
      </w:pPr>
    </w:p>
    <w:p>
      <w:pPr>
        <w:jc w:val="both"/>
        <w:ind w:right="80" w:firstLine="392"/>
        <w:spacing w:after="0" w:line="282" w:lineRule="auto"/>
        <w:rPr>
          <w:sz w:val="20"/>
          <w:szCs w:val="20"/>
          <w:color w:val="auto"/>
        </w:rPr>
      </w:pPr>
      <w:r>
        <w:rPr>
          <w:rFonts w:ascii="Times New Roman" w:cs="Times New Roman" w:eastAsia="Times New Roman" w:hAnsi="Times New Roman"/>
          <w:sz w:val="16"/>
          <w:szCs w:val="16"/>
          <w:color w:val="auto"/>
        </w:rPr>
        <w:t>The tubular segment purchases its inventory from a limited number of suppliers. Loss of any of these suppliers could have a material adverse effect on the Company’s business.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General, Selling and Administrative Costs</w:t>
      </w:r>
    </w:p>
    <w:p>
      <w:pPr>
        <w:spacing w:after="0" w:line="204" w:lineRule="exact"/>
        <w:rPr>
          <w:sz w:val="20"/>
          <w:szCs w:val="20"/>
          <w:color w:val="auto"/>
        </w:rPr>
      </w:pPr>
    </w:p>
    <w:p>
      <w:pPr>
        <w:jc w:val="both"/>
        <w:ind w:right="100" w:firstLine="432"/>
        <w:spacing w:after="0" w:line="282" w:lineRule="auto"/>
        <w:rPr>
          <w:sz w:val="20"/>
          <w:szCs w:val="20"/>
          <w:color w:val="auto"/>
        </w:rPr>
      </w:pPr>
      <w:r>
        <w:rPr>
          <w:rFonts w:ascii="Times New Roman" w:cs="Times New Roman" w:eastAsia="Times New Roman" w:hAnsi="Times New Roman"/>
          <w:sz w:val="16"/>
          <w:szCs w:val="16"/>
          <w:color w:val="auto"/>
        </w:rPr>
        <w:t>During the 2024 quarter, selling, general and administrative costs decreased approximately $0.8 million compared to the 2023 quarter. This decrease is primarily related to lower incentive compensation expense due to the lower earnings in the 2024 quarter.</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04" w:lineRule="exact"/>
        <w:rPr>
          <w:sz w:val="20"/>
          <w:szCs w:val="20"/>
          <w:color w:val="auto"/>
        </w:rPr>
      </w:pPr>
    </w:p>
    <w:p>
      <w:pPr>
        <w:jc w:val="both"/>
        <w:ind w:right="80" w:firstLine="392"/>
        <w:spacing w:after="0" w:line="261" w:lineRule="auto"/>
        <w:rPr>
          <w:sz w:val="20"/>
          <w:szCs w:val="20"/>
          <w:color w:val="auto"/>
        </w:rPr>
      </w:pPr>
      <w:r>
        <w:rPr>
          <w:rFonts w:ascii="Times New Roman" w:cs="Times New Roman" w:eastAsia="Times New Roman" w:hAnsi="Times New Roman"/>
          <w:sz w:val="16"/>
          <w:szCs w:val="16"/>
          <w:color w:val="auto"/>
        </w:rPr>
        <w:t>Income taxes decreased from a provision for the 2023 quarter of approximately $1.1 million to a benefit for the 2024 quarter of approximately $0.2 million. This decrease was primarily related to lower earnings before taxes for the 2024 quarter. The income tax provision or benefit as a percentage of earnings or loss before tax was approximately 25.2% and 24.6% for the three months ended September 30, 2024 and 2023, respectively. For both periods, the effective tax rate differed from the federal statutory rate due primarily to the inclusion of state tax expenses in the provision.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Information</w:t>
      </w:r>
    </w:p>
    <w:p>
      <w:pPr>
        <w:spacing w:after="0" w:line="202" w:lineRule="exact"/>
        <w:rPr>
          <w:sz w:val="20"/>
          <w:szCs w:val="20"/>
          <w:color w:val="auto"/>
        </w:rPr>
      </w:pPr>
    </w:p>
    <w:p>
      <w:pPr>
        <w:jc w:val="both"/>
        <w:ind w:right="80" w:firstLine="432"/>
        <w:spacing w:after="0" w:line="258" w:lineRule="auto"/>
        <w:rPr>
          <w:sz w:val="20"/>
          <w:szCs w:val="20"/>
          <w:color w:val="auto"/>
        </w:rPr>
      </w:pPr>
      <w:r>
        <w:rPr>
          <w:rFonts w:ascii="Times New Roman" w:cs="Times New Roman" w:eastAsia="Times New Roman" w:hAnsi="Times New Roman"/>
          <w:sz w:val="16"/>
          <w:szCs w:val="16"/>
          <w:color w:val="auto"/>
        </w:rPr>
        <w:t>The non-GAAP measure adjusted gross profit is used in this Management's Discussion and Analysis. Adjusted gross profit is calculated as sales minus cost of materials sold. Cost of materials sold is a discrete line on our statements of operations and represents the cost associated with direct materials. To provide financial statement users with a better understanding of the Company's expenses, cost of sales is disaggregated on our statements of operations into the line items cost of materials sold, processing and warehousing expense, delivery expense and depreciation and amortization. The Company believes adjusted gross profit is a meaningful measure because our cost structure and operating results are significantly impacted by the fluctuating costs associated with direct materials.</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following table reconciles the GAAP measure for gross profit to the non-GAAP measure adjusted gross profit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98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4"/>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4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tcBorders>
              <w:bottom w:val="single" w:sz="8" w:color="auto"/>
            </w:tcBorders>
          </w:tcPr>
          <w:p>
            <w:pPr>
              <w:spacing w:after="0"/>
              <w:rPr>
                <w:sz w:val="18"/>
                <w:szCs w:val="18"/>
                <w:color w:val="auto"/>
              </w:rPr>
            </w:pPr>
          </w:p>
        </w:tc>
      </w:tr>
      <w:tr>
        <w:trPr>
          <w:trHeight w:val="184"/>
        </w:trPr>
        <w:tc>
          <w:tcPr>
            <w:tcW w:w="42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(GAAP measure)</w:t>
            </w:r>
          </w:p>
        </w:tc>
        <w:tc>
          <w:tcPr>
            <w:tcW w:w="110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3,933</w:t>
            </w:r>
          </w:p>
        </w:tc>
        <w:tc>
          <w:tcPr>
            <w:tcW w:w="10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7,046</w:t>
            </w:r>
          </w:p>
        </w:tc>
        <w:tc>
          <w:tcPr>
            <w:tcW w:w="6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22,079</w:t>
            </w: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Processing and warehousing expense</w:t>
            </w:r>
          </w:p>
        </w:tc>
        <w:tc>
          <w:tcPr>
            <w:tcW w:w="1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7,861</w:t>
            </w:r>
          </w:p>
        </w:tc>
        <w:tc>
          <w:tcPr>
            <w:tcW w:w="10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7,409</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16,558</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14,582</w:t>
            </w:r>
          </w:p>
        </w:tc>
      </w:tr>
      <w:tr>
        <w:trPr>
          <w:trHeight w:val="19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Delivery expense</w:t>
            </w:r>
          </w:p>
        </w:tc>
        <w:tc>
          <w:tcPr>
            <w:tcW w:w="1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5,381</w:t>
            </w:r>
          </w:p>
        </w:tc>
        <w:tc>
          <w:tcPr>
            <w:tcW w:w="10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6,521</w:t>
            </w:r>
          </w:p>
        </w:tc>
        <w:tc>
          <w:tcPr>
            <w:tcW w:w="4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11,432</w:t>
            </w: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11,966</w:t>
            </w:r>
          </w:p>
        </w:tc>
      </w:tr>
      <w:tr>
        <w:trPr>
          <w:trHeight w:val="19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823</w:t>
            </w:r>
          </w:p>
        </w:tc>
        <w:tc>
          <w:tcPr>
            <w:tcW w:w="10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759</w:t>
            </w:r>
          </w:p>
        </w:tc>
        <w:tc>
          <w:tcPr>
            <w:tcW w:w="4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1,618</w:t>
            </w: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r>
      <w:tr>
        <w:trPr>
          <w:trHeight w:val="20"/>
        </w:trPr>
        <w:tc>
          <w:tcPr>
            <w:tcW w:w="4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gross profit (non-GAAP measure presented)</w:t>
            </w:r>
          </w:p>
        </w:tc>
        <w:tc>
          <w:tcPr>
            <w:tcW w:w="110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17,998</w:t>
            </w:r>
          </w:p>
        </w:tc>
        <w:tc>
          <w:tcPr>
            <w:tcW w:w="10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20,473</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36,654</w:t>
            </w:r>
          </w:p>
        </w:tc>
        <w:tc>
          <w:tcPr>
            <w:tcW w:w="6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50,135</w:t>
            </w:r>
          </w:p>
        </w:tc>
      </w:tr>
      <w:tr>
        <w:trPr>
          <w:trHeight w:val="20"/>
        </w:trPr>
        <w:tc>
          <w:tcPr>
            <w:tcW w:w="4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3" w:right="239" w:bottom="710" w:gutter="0" w:footer="0" w:header="0"/>
        </w:sectPr>
      </w:pP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340"/>
          </w:cols>
          <w:pgMar w:left="320" w:top="123" w:right="239" w:bottom="71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POSITION, LIQUIDITY AND CAPITAL RESOURCES</w:t>
      </w:r>
    </w:p>
    <w:p>
      <w:pPr>
        <w:spacing w:after="0" w:line="202"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6"/>
          <w:szCs w:val="16"/>
          <w:color w:val="auto"/>
        </w:rPr>
        <w:t>The Company’s current ratio amounted to 4.1 at September 30, 2024 and 3.1 at March 31, 2024. Working capital was approximately $111.7 million at September 30, 2024 and $116.0 million at March 31, 2024.</w:t>
      </w:r>
    </w:p>
    <w:p>
      <w:pPr>
        <w:spacing w:after="0" w:line="144" w:lineRule="exact"/>
        <w:rPr>
          <w:sz w:val="20"/>
          <w:szCs w:val="20"/>
          <w:color w:val="auto"/>
        </w:rPr>
      </w:pPr>
    </w:p>
    <w:p>
      <w:pPr>
        <w:jc w:val="both"/>
        <w:ind w:right="20" w:firstLine="392"/>
        <w:spacing w:after="0" w:line="261" w:lineRule="auto"/>
        <w:rPr>
          <w:sz w:val="20"/>
          <w:szCs w:val="20"/>
          <w:color w:val="auto"/>
        </w:rPr>
      </w:pPr>
      <w:r>
        <w:rPr>
          <w:rFonts w:ascii="Times New Roman" w:cs="Times New Roman" w:eastAsia="Times New Roman" w:hAnsi="Times New Roman"/>
          <w:sz w:val="16"/>
          <w:szCs w:val="16"/>
          <w:color w:val="auto"/>
        </w:rPr>
        <w:t>During the six months ended September 30, 2024, the Company maintained assets and liabilities at levels it believed were commensurate with operations. Changes in balance sheet amounts occurred in the ordinary course of business. Cash and restricted cash decreased due primarily to cash used for the purchase of property, plant and equipment and the reduction of debt. The Company expects to continue to monitor, evaluate and manage balance sheet components depending on changes in market conditions and the Company’s operations.</w:t>
      </w:r>
    </w:p>
    <w:p>
      <w:pPr>
        <w:spacing w:after="0" w:line="161"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6"/>
          <w:szCs w:val="16"/>
          <w:color w:val="auto"/>
        </w:rPr>
        <w:t>The Company has a $150 million asset-based lending facility ("ABL Facility") which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September 30, 2024, the Company had a balance of approximately $35.9 million under the ABL Facility with an applicable interest rate of 7.0%. At September 30, 2024, the Company's applicable borrowing base calculation supported access to approximately $104.7 million of the ABL Facility. As of the filing date of this Form 10-Q, the Company had borrowings of approximately $33.1 million outstanding under the ABL Facility and the Company's most recent borrowing base calculation provided access to approximately $98.8 million of the ABL Facility.</w:t>
      </w:r>
    </w:p>
    <w:p>
      <w:pPr>
        <w:spacing w:after="0" w:line="166"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6"/>
          <w:szCs w:val="16"/>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HEDGING ACTIVITIES</w:t>
      </w:r>
    </w:p>
    <w:p>
      <w:pPr>
        <w:spacing w:after="0" w:line="20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6"/>
          <w:szCs w:val="16"/>
          <w:color w:val="auto"/>
        </w:rPr>
        <w:t>The Company utilizes hot-rolled coil futures to manage price risk on unsold inventory and longer-term fixed price sales agreements. The Company has elected hedge accounting for some of its hedging activities previously but most recently the Company has classified its hedging activities as economic hedges of risk with mark-to-market ("MTM") accounting treatment. Hedging decisions are intended to protect the value of the Company's inventory and produce more consistent financial results over price cycles. The Company recognized gains of approximately $0.2 million and $5.6 million in the three month and six month periods ended September 30, 2024, respectively, related to hedging activities with all of this being classified as economic hedges of risk. With MTM accounting treatment it is possible that hedging related gains or losses might be recognized in a different fiscal quarter or fiscal year than the corresponding improvement or contraction in our physical margins. See Note H for additional information related to the Company's hedging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OUTLOOK</w:t>
      </w:r>
    </w:p>
    <w:p>
      <w:pPr>
        <w:spacing w:after="0" w:line="20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6"/>
          <w:szCs w:val="16"/>
          <w:color w:val="auto"/>
        </w:rPr>
        <w:t>The Company expects sales volume for the third quarter of fiscal 2025 to be slightly lower than the second quarter volume due primarily to the seasonal impact of holidays. HRC price remained stable to start the third quarter resulting in minimal change to the Company’s sales prices and margins. As a result, the Company may experience a generally challenging margin environment in the third quarter.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202"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generally accepted accounting principles may require management to make estimates and assumptions that affect the amounts reported in the consolidated financial statements and accompanying notes. Actual results could differ from any estimates. The Company did not identify any significant estimates or judgements related to the consolidated financial statements and accompanying notes presented in this Form 10-Q filing.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02" w:lineRule="exact"/>
        <w:rPr>
          <w:sz w:val="20"/>
          <w:szCs w:val="20"/>
          <w:color w:val="auto"/>
        </w:rPr>
      </w:pPr>
    </w:p>
    <w:p>
      <w:pPr>
        <w:jc w:val="both"/>
        <w:ind w:firstLine="392"/>
        <w:spacing w:after="0" w:line="252" w:lineRule="auto"/>
        <w:rPr>
          <w:sz w:val="20"/>
          <w:szCs w:val="20"/>
          <w:color w:val="auto"/>
        </w:rPr>
      </w:pPr>
      <w:r>
        <w:rPr>
          <w:rFonts w:ascii="Times New Roman" w:cs="Times New Roman" w:eastAsia="Times New Roman" w:hAnsi="Times New Roman"/>
          <w:sz w:val="16"/>
          <w:szCs w:val="16"/>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Not required.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0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 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on this evaluation, the Company’s CEO and principal financial officer have concluded that the Company’s disclosure controls and procedures were effective as of the end of the fiscal quarter ended September 30, 2024 to ensure that information that is required to be disclosed by the Company in the reports it files or submits under the Exchange Act is (i) recorded, processed, summarized and reported within the time periods specified in the SEC’s rules and forms and (ii) accumulated and communicated to the Company’s management, including the CEO and principal financial officer, as appropriate, to allow timely decisions regarding required disclosure.</w:t>
      </w:r>
    </w:p>
    <w:p>
      <w:pPr>
        <w:spacing w:after="0" w:line="16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6"/>
          <w:szCs w:val="16"/>
          <w:color w:val="auto"/>
        </w:rPr>
        <w:t>There were no changes in the Company’s internal control over financial reporting that occurred during the fiscal quarter ended September 30, 2024 that have materially affected, or are reasonably likely to materially affect, the Company’s internal control over financial reporting.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0" w:name="page21"/>
    <w:bookmarkEnd w:id="20"/>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FRIEDMAN INDUSTRIES, INCORPORATED</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Six Months Ended September 30, 2024</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2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02" w:lineRule="exact"/>
        <w:rPr>
          <w:sz w:val="20"/>
          <w:szCs w:val="20"/>
          <w:color w:val="auto"/>
        </w:rPr>
      </w:pPr>
    </w:p>
    <w:p>
      <w:pPr>
        <w:ind w:left="4" w:firstLine="432"/>
        <w:spacing w:after="0" w:line="282" w:lineRule="auto"/>
        <w:rPr>
          <w:sz w:val="20"/>
          <w:szCs w:val="20"/>
          <w:color w:val="auto"/>
        </w:rPr>
      </w:pPr>
      <w:r>
        <w:rPr>
          <w:rFonts w:ascii="Times New Roman" w:cs="Times New Roman" w:eastAsia="Times New Roman" w:hAnsi="Times New Roman"/>
          <w:sz w:val="16"/>
          <w:szCs w:val="16"/>
          <w:color w:val="auto"/>
        </w:rPr>
        <w:t>During the six months ended September 30, 2024, none of our officers or directors adopted, modified or terminated a “Rule 10b5-1 trading arrangement” or a “non-Rule 10b5-1 trading arrangement,” as each term is defined in Item 408(a) and (c), respectively, of Regulation S-K, for the purchase or sale of our securities.</w:t>
      </w:r>
    </w:p>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8"/>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80" w:type="dxa"/>
            <w:vAlign w:val="bottom"/>
            <w:gridSpan w:val="9"/>
          </w:tcPr>
          <w:p>
            <w:pPr>
              <w:spacing w:after="0"/>
              <w:rPr>
                <w:rFonts w:ascii="Times New Roman" w:cs="Times New Roman" w:eastAsia="Times New Roman" w:hAnsi="Times New Roman"/>
                <w:sz w:val="16"/>
                <w:szCs w:val="16"/>
                <w:color w:val="0000EE"/>
              </w:rPr>
            </w:pPr>
            <w:hyperlink r:id="rId33">
              <w:r>
                <w:rPr>
                  <w:rFonts w:ascii="Times New Roman" w:cs="Times New Roman" w:eastAsia="Times New Roman" w:hAnsi="Times New Roman"/>
                  <w:sz w:val="16"/>
                  <w:szCs w:val="16"/>
                  <w:color w:val="0000EE"/>
                </w:rPr>
                <w:t>Articles of Incorporation of the Company, as amended (incorporated by reference from Exhibit 3.1 to the Company’s Form S-8 filed on December 21,</w:t>
              </w:r>
            </w:hyperlink>
          </w:p>
        </w:tc>
      </w:tr>
      <w:tr>
        <w:trPr>
          <w:trHeight w:val="172"/>
        </w:trPr>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72" w:lineRule="exact"/>
              <w:rPr>
                <w:rFonts w:ascii="Times New Roman" w:cs="Times New Roman" w:eastAsia="Times New Roman" w:hAnsi="Times New Roman"/>
                <w:sz w:val="16"/>
                <w:szCs w:val="16"/>
                <w:color w:val="0000EE"/>
                <w:w w:val="96"/>
              </w:rPr>
            </w:pPr>
            <w:hyperlink r:id="rId33">
              <w:r>
                <w:rPr>
                  <w:rFonts w:ascii="Times New Roman" w:cs="Times New Roman" w:eastAsia="Times New Roman" w:hAnsi="Times New Roman"/>
                  <w:sz w:val="16"/>
                  <w:szCs w:val="16"/>
                  <w:color w:val="0000EE"/>
                  <w:w w:val="96"/>
                </w:rPr>
                <w:t>2016).</w:t>
              </w:r>
            </w:hyperlink>
          </w:p>
        </w:tc>
        <w:tc>
          <w:tcPr>
            <w:tcW w:w="2240" w:type="dxa"/>
            <w:vAlign w:val="bottom"/>
            <w:tcBorders>
              <w:top w:val="single" w:sz="8" w:color="0000EE"/>
            </w:tcBorders>
          </w:tcPr>
          <w:p>
            <w:pPr>
              <w:spacing w:after="0"/>
              <w:rPr>
                <w:sz w:val="14"/>
                <w:szCs w:val="14"/>
                <w:color w:val="auto"/>
              </w:rPr>
            </w:pPr>
          </w:p>
        </w:tc>
        <w:tc>
          <w:tcPr>
            <w:tcW w:w="2820" w:type="dxa"/>
            <w:vAlign w:val="bottom"/>
            <w:tcBorders>
              <w:top w:val="single" w:sz="8" w:color="0000EE"/>
            </w:tcBorders>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7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364"/>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8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rPr>
            </w:pPr>
            <w:hyperlink r:id="rId33">
              <w:r>
                <w:rPr>
                  <w:rFonts w:ascii="Times New Roman" w:cs="Times New Roman" w:eastAsia="Times New Roman" w:hAnsi="Times New Roman"/>
                  <w:sz w:val="16"/>
                  <w:szCs w:val="16"/>
                  <w:color w:val="0000EE"/>
                </w:rPr>
                <w:t>Articles of Amendment to the Articles of Incorporation of the Company, as filed with the Texas Secretary of State on September 22, 1987</w:t>
              </w:r>
            </w:hyperlink>
          </w:p>
        </w:tc>
      </w:tr>
      <w:tr>
        <w:trPr>
          <w:trHeight w:val="172"/>
        </w:trPr>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560" w:type="dxa"/>
            <w:vAlign w:val="bottom"/>
            <w:tcBorders>
              <w:bottom w:val="single" w:sz="8" w:color="0000EE"/>
            </w:tcBorders>
            <w:gridSpan w:val="6"/>
          </w:tcPr>
          <w:p>
            <w:pPr>
              <w:spacing w:after="0" w:line="172" w:lineRule="exact"/>
              <w:rPr>
                <w:rFonts w:ascii="Times New Roman" w:cs="Times New Roman" w:eastAsia="Times New Roman" w:hAnsi="Times New Roman"/>
                <w:sz w:val="16"/>
                <w:szCs w:val="16"/>
                <w:color w:val="0000EE"/>
                <w:w w:val="99"/>
              </w:rPr>
            </w:pPr>
            <w:hyperlink r:id="rId33">
              <w:r>
                <w:rPr>
                  <w:rFonts w:ascii="Times New Roman" w:cs="Times New Roman" w:eastAsia="Times New Roman" w:hAnsi="Times New Roman"/>
                  <w:sz w:val="16"/>
                  <w:szCs w:val="16"/>
                  <w:color w:val="0000EE"/>
                  <w:w w:val="99"/>
                </w:rPr>
                <w:t>(incorporated by reference from Exhibit 3.1 to the Company’s Form S-8 filed on December 21, 2016).</w:t>
              </w:r>
            </w:hyperlink>
          </w:p>
        </w:tc>
        <w:tc>
          <w:tcPr>
            <w:tcW w:w="3120" w:type="dxa"/>
            <w:vAlign w:val="bottom"/>
            <w:gridSpan w:val="3"/>
          </w:tcPr>
          <w:p>
            <w:pPr>
              <w:spacing w:after="0"/>
              <w:rPr>
                <w:sz w:val="14"/>
                <w:szCs w:val="14"/>
                <w:color w:val="auto"/>
              </w:rPr>
            </w:pPr>
          </w:p>
        </w:tc>
      </w:tr>
      <w:tr>
        <w:trPr>
          <w:trHeight w:val="364"/>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3.3</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8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rPr>
            </w:pPr>
            <w:hyperlink r:id="rId34">
              <w:r>
                <w:rPr>
                  <w:rFonts w:ascii="Times New Roman" w:cs="Times New Roman" w:eastAsia="Times New Roman" w:hAnsi="Times New Roman"/>
                  <w:sz w:val="16"/>
                  <w:szCs w:val="16"/>
                  <w:color w:val="0000EE"/>
                </w:rPr>
                <w:t>Amended and Restated Bylaws of the Company, as amended on November 8, 2021. (incorporated by reference from Exhibit 3.3 to the Company's</w:t>
              </w:r>
            </w:hyperlink>
          </w:p>
        </w:tc>
      </w:tr>
      <w:tr>
        <w:trPr>
          <w:trHeight w:val="172"/>
        </w:trPr>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80" w:type="dxa"/>
            <w:vAlign w:val="bottom"/>
            <w:gridSpan w:val="9"/>
          </w:tcPr>
          <w:p>
            <w:pPr>
              <w:spacing w:after="0" w:line="172" w:lineRule="exact"/>
              <w:rPr>
                <w:rFonts w:ascii="Times New Roman" w:cs="Times New Roman" w:eastAsia="Times New Roman" w:hAnsi="Times New Roman"/>
                <w:sz w:val="16"/>
                <w:szCs w:val="16"/>
                <w:color w:val="0000EE"/>
              </w:rPr>
            </w:pPr>
            <w:hyperlink r:id="rId34">
              <w:r>
                <w:rPr>
                  <w:rFonts w:ascii="Times New Roman" w:cs="Times New Roman" w:eastAsia="Times New Roman" w:hAnsi="Times New Roman"/>
                  <w:sz w:val="16"/>
                  <w:szCs w:val="16"/>
                  <w:color w:val="0000EE"/>
                </w:rPr>
                <w:t>Form 10-Q filed on November 19, 2021).</w:t>
              </w:r>
            </w:hyperlink>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4"/>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10.1</w:t>
            </w:r>
          </w:p>
        </w:tc>
        <w:tc>
          <w:tcPr>
            <w:tcW w:w="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9"/>
              </w:rPr>
              <w:t>Friedman Industries, Incorporated Key Employee Change In Control Severance Plan.</w:t>
            </w:r>
          </w:p>
        </w:tc>
        <w:tc>
          <w:tcPr>
            <w:tcW w:w="4200" w:type="dxa"/>
            <w:vAlign w:val="bottom"/>
            <w:gridSpan w:val="6"/>
          </w:tcPr>
          <w:p>
            <w:pPr>
              <w:spacing w:after="0"/>
              <w:rPr>
                <w:sz w:val="24"/>
                <w:szCs w:val="24"/>
                <w:color w:val="auto"/>
              </w:rPr>
            </w:pPr>
          </w:p>
        </w:tc>
      </w:tr>
      <w:tr>
        <w:trPr>
          <w:trHeight w:val="364"/>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31.1</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8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Certification Pursuant to Section 302 of the Sarbanes-Oxley Act of 2002, signed by Michael J. Taylor.</w:t>
            </w:r>
          </w:p>
        </w:tc>
      </w:tr>
      <w:tr>
        <w:trPr>
          <w:trHeight w:val="364"/>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31.2</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5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Certification Pursuant to Section 302 of the Sarbanes-Oxley Act of 2002, signed by Alex LaRue.</w:t>
            </w:r>
          </w:p>
        </w:tc>
        <w:tc>
          <w:tcPr>
            <w:tcW w:w="3140" w:type="dxa"/>
            <w:vAlign w:val="bottom"/>
            <w:gridSpan w:val="4"/>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0" w:type="dxa"/>
            <w:vAlign w:val="bottom"/>
            <w:gridSpan w:val="4"/>
            <w:shd w:val="clear" w:color="auto" w:fill="0000EE"/>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4"/>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32.1</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80" w:type="dxa"/>
            <w:vAlign w:val="bottom"/>
            <w:gridSpan w:val="9"/>
          </w:tcPr>
          <w:p>
            <w:pPr>
              <w:spacing w:after="0"/>
              <w:rPr>
                <w:sz w:val="20"/>
                <w:szCs w:val="20"/>
                <w:color w:val="auto"/>
              </w:rPr>
            </w:pPr>
            <w:r>
              <w:rPr>
                <w:rFonts w:ascii="Times New Roman" w:cs="Times New Roman" w:eastAsia="Times New Roman" w:hAnsi="Times New Roman"/>
                <w:sz w:val="16"/>
                <w:szCs w:val="16"/>
                <w:color w:val="0000EE"/>
                <w:w w:val="99"/>
              </w:rPr>
              <w:t>Certification Pursuant to 18 U.S.C. Section 1350, as Adopted Pursuant to Section 906 of the Sarbanes-Oxley Act of 2002, signed by Michael J. Taylor.</w:t>
            </w:r>
          </w:p>
        </w:tc>
      </w:tr>
      <w:tr>
        <w:trPr>
          <w:trHeight w:val="364"/>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32.2</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3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9"/>
              </w:rPr>
              <w:t>Certification Pursuant to 18 U.S.C. Section 1350, as Adopted Pursuant to Section 906 of the Sarbanes-Oxley Act of 2002, signed by Alex LaRue.</w:t>
            </w:r>
          </w:p>
        </w:tc>
        <w:tc>
          <w:tcPr>
            <w:tcW w:w="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0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38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Schema Document.</w:t>
            </w:r>
          </w:p>
        </w:tc>
      </w:tr>
      <w:tr>
        <w:trPr>
          <w:trHeight w:val="38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Calculation Linkbase Document.</w:t>
            </w:r>
          </w:p>
        </w:tc>
      </w:tr>
      <w:tr>
        <w:trPr>
          <w:trHeight w:val="38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Definition Linkbase Document.</w:t>
            </w:r>
          </w:p>
        </w:tc>
      </w:tr>
      <w:tr>
        <w:trPr>
          <w:trHeight w:val="38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Label Linkbase Document.</w:t>
            </w:r>
          </w:p>
        </w:tc>
      </w:tr>
      <w:tr>
        <w:trPr>
          <w:trHeight w:val="38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6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Presentation Linkbase Document.</w:t>
            </w:r>
          </w:p>
        </w:tc>
      </w:tr>
    </w:tbl>
    <w:p>
      <w:pPr>
        <w:spacing w:after="0" w:line="176" w:lineRule="exact"/>
        <w:rPr>
          <w:sz w:val="20"/>
          <w:szCs w:val="20"/>
          <w:color w:val="auto"/>
        </w:rPr>
      </w:pPr>
    </w:p>
    <w:p>
      <w:pPr>
        <w:ind w:left="1584" w:right="4200" w:hanging="1584"/>
        <w:spacing w:after="0" w:line="533" w:lineRule="auto"/>
        <w:tabs>
          <w:tab w:leader="none" w:pos="-284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File (formatted as Inline XBRL and contained in Exhibit 101)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4756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2"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6"/>
          <w:szCs w:val="16"/>
          <w:color w:val="auto"/>
        </w:rPr>
        <w:t>FRIEDMAN INDUSTRIES, INCORPORATED</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November 12, 2024</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2220"/>
        <w:spacing w:after="0"/>
        <w:tabs>
          <w:tab w:leader="none" w:pos="140" w:val="left"/>
        </w:tabs>
        <w:rPr>
          <w:sz w:val="20"/>
          <w:szCs w:val="20"/>
          <w:color w:val="auto"/>
        </w:rPr>
      </w:pPr>
      <w:r>
        <w:rPr>
          <w:rFonts w:ascii="Times New Roman" w:cs="Times New Roman" w:eastAsia="Times New Roman" w:hAnsi="Times New Roman"/>
          <w:sz w:val="16"/>
          <w:szCs w:val="16"/>
          <w:color w:val="auto"/>
        </w:rPr>
        <w:t>/s/</w:t>
      </w:r>
      <w:r>
        <w:rPr>
          <w:sz w:val="20"/>
          <w:szCs w:val="20"/>
          <w:color w:val="auto"/>
        </w:rPr>
        <w:tab/>
      </w:r>
      <w:r>
        <w:rPr>
          <w:rFonts w:ascii="Times New Roman" w:cs="Times New Roman" w:eastAsia="Times New Roman" w:hAnsi="Times New Roman"/>
          <w:sz w:val="15"/>
          <w:szCs w:val="15"/>
          <w:color w:val="auto"/>
        </w:rPr>
        <w:t>ALEX LARUE</w:t>
      </w:r>
    </w:p>
    <w:p>
      <w:pPr>
        <w:spacing w:after="0" w:line="25" w:lineRule="exact"/>
        <w:rPr>
          <w:sz w:val="20"/>
          <w:szCs w:val="20"/>
          <w:color w:val="auto"/>
        </w:rPr>
      </w:pPr>
    </w:p>
    <w:p>
      <w:pPr>
        <w:sectPr>
          <w:pgSz w:w="11900" w:h="16838" w:orient="portrait"/>
          <w:cols w:equalWidth="0" w:num="3">
            <w:col w:w="4640" w:space="720"/>
            <w:col w:w="1620" w:space="720"/>
            <w:col w:w="3540"/>
          </w:cols>
          <w:pgMar w:left="320" w:top="123" w:right="339" w:bottom="1440" w:gutter="0" w:footer="0" w:header="0"/>
          <w:type w:val="continuous"/>
        </w:sectPr>
      </w:pPr>
    </w:p>
    <w:p>
      <w:pPr>
        <w:jc w:val="center"/>
        <w:ind w:left="5780"/>
        <w:spacing w:after="0"/>
        <w:rPr>
          <w:sz w:val="20"/>
          <w:szCs w:val="20"/>
          <w:color w:val="auto"/>
        </w:rPr>
      </w:pPr>
      <w:r>
        <w:rPr>
          <w:rFonts w:ascii="Times New Roman" w:cs="Times New Roman" w:eastAsia="Times New Roman" w:hAnsi="Times New Roman"/>
          <w:sz w:val="16"/>
          <w:szCs w:val="16"/>
          <w:color w:val="auto"/>
        </w:rPr>
        <w:t>Alex LaRue, Chief Financial Officer – Secretary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-116205</wp:posOffset>
            </wp:positionV>
            <wp:extent cx="34709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470910" cy="7620"/>
                    </a:xfrm>
                    <a:prstGeom prst="rect">
                      <a:avLst/>
                    </a:prstGeom>
                    <a:noFill/>
                  </pic:spPr>
                </pic:pic>
              </a:graphicData>
            </a:graphic>
          </wp:anchor>
        </w:drawing>
      </w:r>
    </w:p>
    <w:p>
      <w:pPr>
        <w:jc w:val="center"/>
        <w:ind w:left="5780"/>
        <w:spacing w:after="0"/>
        <w:rPr>
          <w:sz w:val="20"/>
          <w:szCs w:val="20"/>
          <w:color w:val="auto"/>
        </w:rPr>
      </w:pPr>
      <w:r>
        <w:rPr>
          <w:rFonts w:ascii="Times New Roman" w:cs="Times New Roman" w:eastAsia="Times New Roman" w:hAnsi="Times New Roman"/>
          <w:sz w:val="16"/>
          <w:szCs w:val="16"/>
          <w:color w:val="auto"/>
        </w:rPr>
        <w:t>Treasurer (Principal Financial Officer)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40"/>
          </w:cols>
          <w:pgMar w:left="320" w:top="123" w:right="339"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FRIEDMAN INDUSTRIES, INCORPORATED</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KEY EMPLOYEE CHANGE IN CONTROL SEVERANCE PLAN</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As Adopted Effective September 18, 2024)</w:t>
      </w:r>
    </w:p>
    <w:p>
      <w:pPr>
        <w:spacing w:after="0" w:line="200" w:lineRule="exact"/>
        <w:rPr>
          <w:sz w:val="20"/>
          <w:szCs w:val="20"/>
          <w:color w:val="auto"/>
        </w:rPr>
      </w:pPr>
    </w:p>
    <w:p>
      <w:pPr>
        <w:spacing w:after="0" w:line="219" w:lineRule="exact"/>
        <w:rPr>
          <w:sz w:val="20"/>
          <w:szCs w:val="20"/>
          <w:color w:val="auto"/>
        </w:rPr>
      </w:pPr>
    </w:p>
    <w:p>
      <w:pPr>
        <w:jc w:val="both"/>
        <w:ind w:left="4" w:right="20" w:firstLine="577"/>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Friedman Industries, Incorporated desires to adopt a Change In Control Severance Plan to provide severance benefits to certain officers and other key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management employees as a result of a termination of employment in connection with a qualifying Change in Control transaction; and</w:t>
      </w:r>
    </w:p>
    <w:p>
      <w:pPr>
        <w:spacing w:after="0" w:line="140" w:lineRule="exact"/>
        <w:rPr>
          <w:sz w:val="20"/>
          <w:szCs w:val="20"/>
          <w:color w:val="auto"/>
        </w:rPr>
      </w:pPr>
    </w:p>
    <w:p>
      <w:pPr>
        <w:jc w:val="both"/>
        <w:ind w:left="4" w:firstLine="577"/>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the Plan is intended to provide unfunded welfare benefits for a select group of management or highly compensated employees so as to qualify as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 welfare benefit plan as defined in Section 3(1) of ERISA and meet the requirements of the exemption for welfare plans for certain selected employees in Department of Labor Regulation §2520.104-24 that is exempt from certain reporting and disclosure requirements under ERISA.</w:t>
      </w:r>
    </w:p>
    <w:p>
      <w:pPr>
        <w:spacing w:after="0" w:line="152" w:lineRule="exact"/>
        <w:rPr>
          <w:sz w:val="20"/>
          <w:szCs w:val="20"/>
          <w:color w:val="auto"/>
        </w:rPr>
      </w:pPr>
    </w:p>
    <w:p>
      <w:pPr>
        <w:jc w:val="both"/>
        <w:ind w:left="4" w:right="20" w:firstLine="577"/>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NOW, THEREFORE, </w:t>
      </w:r>
      <w:r>
        <w:rPr>
          <w:rFonts w:ascii="Times New Roman" w:cs="Times New Roman" w:eastAsia="Times New Roman" w:hAnsi="Times New Roman"/>
          <w:sz w:val="16"/>
          <w:szCs w:val="16"/>
          <w:color w:val="auto"/>
        </w:rPr>
        <w:t>Friedman Industries, Incorporated hereby adopts the Friedman Industries, Incorporated Key Employee Change In Control Severance Plan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set forth below, effective September 18, 2024.</w:t>
      </w:r>
    </w:p>
    <w:p>
      <w:pPr>
        <w:spacing w:after="0" w:line="140" w:lineRule="exact"/>
        <w:rPr>
          <w:sz w:val="20"/>
          <w:szCs w:val="20"/>
          <w:color w:val="auto"/>
        </w:rPr>
      </w:pPr>
    </w:p>
    <w:p>
      <w:pPr>
        <w:ind w:left="584" w:hanging="584"/>
        <w:spacing w:after="0"/>
        <w:tabs>
          <w:tab w:leader="none" w:pos="584"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ESTABLISHMENT AND OBJECTIVE</w:t>
      </w:r>
    </w:p>
    <w:p>
      <w:pPr>
        <w:spacing w:after="0" w:line="200" w:lineRule="exact"/>
        <w:rPr>
          <w:sz w:val="20"/>
          <w:szCs w:val="20"/>
          <w:color w:val="auto"/>
        </w:rPr>
      </w:pPr>
    </w:p>
    <w:p>
      <w:pPr>
        <w:jc w:val="both"/>
        <w:ind w:left="4" w:right="20" w:firstLine="577"/>
        <w:spacing w:after="0" w:line="285" w:lineRule="auto"/>
        <w:rPr>
          <w:sz w:val="20"/>
          <w:szCs w:val="20"/>
          <w:color w:val="auto"/>
        </w:rPr>
      </w:pPr>
      <w:r>
        <w:rPr>
          <w:rFonts w:ascii="Times New Roman" w:cs="Times New Roman" w:eastAsia="Times New Roman" w:hAnsi="Times New Roman"/>
          <w:sz w:val="16"/>
          <w:szCs w:val="16"/>
          <w:b w:val="1"/>
          <w:bCs w:val="1"/>
          <w:color w:val="auto"/>
        </w:rPr>
        <w:t>1.1 Establishment</w:t>
      </w:r>
      <w:r>
        <w:rPr>
          <w:rFonts w:ascii="Times New Roman" w:cs="Times New Roman" w:eastAsia="Times New Roman" w:hAnsi="Times New Roman"/>
          <w:sz w:val="16"/>
          <w:szCs w:val="16"/>
          <w:color w:val="auto"/>
        </w:rPr>
        <w:t>. Friedman Industries, Incorporated adopts the plan set forth herein which will be known as “Friedman Industries, Incorporated Key Employee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Change in Control Severance Plan”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left="4" w:right="20" w:firstLine="577"/>
        <w:spacing w:after="0" w:line="268" w:lineRule="auto"/>
        <w:rPr>
          <w:sz w:val="20"/>
          <w:szCs w:val="20"/>
          <w:color w:val="auto"/>
        </w:rPr>
      </w:pPr>
      <w:r>
        <w:rPr>
          <w:rFonts w:ascii="Times New Roman" w:cs="Times New Roman" w:eastAsia="Times New Roman" w:hAnsi="Times New Roman"/>
          <w:sz w:val="16"/>
          <w:szCs w:val="16"/>
          <w:b w:val="1"/>
          <w:bCs w:val="1"/>
          <w:color w:val="auto"/>
        </w:rPr>
        <w:t>1.2 Objective</w:t>
      </w:r>
      <w:r>
        <w:rPr>
          <w:rFonts w:ascii="Times New Roman" w:cs="Times New Roman" w:eastAsia="Times New Roman" w:hAnsi="Times New Roman"/>
          <w:sz w:val="16"/>
          <w:szCs w:val="16"/>
          <w:color w:val="auto"/>
        </w:rPr>
        <w:t>. The Plan is intended to enable the Company to attract and retain designated officers and other key management employees and maintain a stable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work environment and provide economic security to those individuals by providing replacement income and certain benefits in the event of certain terminations of employment in connection with a qualifying Change in Control transaction.</w:t>
      </w:r>
    </w:p>
    <w:p>
      <w:pPr>
        <w:spacing w:after="0" w:line="152" w:lineRule="exact"/>
        <w:rPr>
          <w:sz w:val="20"/>
          <w:szCs w:val="20"/>
          <w:color w:val="auto"/>
        </w:rPr>
      </w:pPr>
    </w:p>
    <w:p>
      <w:pPr>
        <w:ind w:left="584" w:hanging="584"/>
        <w:spacing w:after="0"/>
        <w:tabs>
          <w:tab w:leader="none" w:pos="584"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DEFINITIONS</w:t>
      </w:r>
    </w:p>
    <w:p>
      <w:pPr>
        <w:spacing w:after="0" w:line="202" w:lineRule="exact"/>
        <w:rPr>
          <w:sz w:val="20"/>
          <w:szCs w:val="20"/>
          <w:color w:val="auto"/>
        </w:rPr>
      </w:pPr>
    </w:p>
    <w:p>
      <w:pPr>
        <w:jc w:val="both"/>
        <w:ind w:left="4" w:right="20" w:firstLine="577"/>
        <w:spacing w:after="0" w:line="282" w:lineRule="auto"/>
        <w:rPr>
          <w:sz w:val="20"/>
          <w:szCs w:val="20"/>
          <w:color w:val="auto"/>
        </w:rPr>
      </w:pPr>
      <w:r>
        <w:rPr>
          <w:rFonts w:ascii="Times New Roman" w:cs="Times New Roman" w:eastAsia="Times New Roman" w:hAnsi="Times New Roman"/>
          <w:sz w:val="16"/>
          <w:szCs w:val="16"/>
          <w:color w:val="auto"/>
        </w:rPr>
        <w:t>Each word or phrase set forth below in this Section 2 shall have the meaning set forth in the applicable definition provided below for such word or phrase unless the context in which the word or phrase appears reasonably requires a broader, narrower or different meaning:</w:t>
      </w:r>
    </w:p>
    <w:p>
      <w:pPr>
        <w:spacing w:after="0" w:line="140" w:lineRule="exact"/>
        <w:rPr>
          <w:sz w:val="20"/>
          <w:szCs w:val="20"/>
          <w:color w:val="auto"/>
        </w:rPr>
      </w:pPr>
    </w:p>
    <w:p>
      <w:pPr>
        <w:jc w:val="both"/>
        <w:ind w:left="4" w:right="20" w:firstLine="577"/>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2.1 </w:t>
      </w:r>
      <w:r>
        <w:rPr>
          <w:rFonts w:ascii="Times New Roman" w:cs="Times New Roman" w:eastAsia="Times New Roman" w:hAnsi="Times New Roman"/>
          <w:sz w:val="16"/>
          <w:szCs w:val="16"/>
          <w:b w:val="1"/>
          <w:bCs w:val="1"/>
          <w:i w:val="1"/>
          <w:iCs w:val="1"/>
          <w:color w:val="auto"/>
        </w:rPr>
        <w:t>“Administrator</w:t>
      </w:r>
      <w:r>
        <w:rPr>
          <w:rFonts w:ascii="Times New Roman" w:cs="Times New Roman" w:eastAsia="Times New Roman" w:hAnsi="Times New Roman"/>
          <w:sz w:val="16"/>
          <w:szCs w:val="16"/>
          <w:color w:val="auto"/>
        </w:rPr>
        <w:t>” means, prior to a Change in Control, the Company, acting through the Board, or any person to whom the Administrator has delegated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authority or responsibility with respect to the Plan pursuant to Section 7, but only to the extent of such delegation. After a Change in Control, “</w:t>
      </w:r>
      <w:r>
        <w:rPr>
          <w:rFonts w:ascii="Times New Roman" w:cs="Times New Roman" w:eastAsia="Times New Roman" w:hAnsi="Times New Roman"/>
          <w:sz w:val="16"/>
          <w:szCs w:val="16"/>
          <w:b w:val="1"/>
          <w:bCs w:val="1"/>
          <w:i w:val="1"/>
          <w:iCs w:val="1"/>
          <w:color w:val="auto"/>
        </w:rPr>
        <w:t>Administrator</w:t>
      </w:r>
      <w:r>
        <w:rPr>
          <w:rFonts w:ascii="Times New Roman" w:cs="Times New Roman" w:eastAsia="Times New Roman" w:hAnsi="Times New Roman"/>
          <w:sz w:val="16"/>
          <w:szCs w:val="16"/>
          <w:color w:val="auto"/>
        </w:rPr>
        <w:t xml:space="preserve">” means (a) the individuals (not fewer than three (3) in number) who, on the date six months prior to the Change in Control constitute the Board, plus, (b) in the event that fewer than three (3) individuals are available from the group specified in clause (a) above for any reason, such individuals as may be appointed by the individual or individuals so available (including for this purpose any individual or individuals previously so appointed under this clause (b));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maximum number of individuals constituting the Administrator after a Change in Control shall not exceed seven (7).</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756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23" w:name="page24"/>
    <w:bookmarkEnd w:id="23"/>
    <w:p>
      <w:pPr>
        <w:jc w:val="both"/>
        <w:ind w:left="4" w:firstLine="577"/>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2.2 </w:t>
      </w:r>
      <w:r>
        <w:rPr>
          <w:rFonts w:ascii="Times New Roman" w:cs="Times New Roman" w:eastAsia="Times New Roman" w:hAnsi="Times New Roman"/>
          <w:sz w:val="16"/>
          <w:szCs w:val="16"/>
          <w:b w:val="1"/>
          <w:bCs w:val="1"/>
          <w:i w:val="1"/>
          <w:iCs w:val="1"/>
          <w:color w:val="auto"/>
        </w:rPr>
        <w:t>“Affiliate</w:t>
      </w:r>
      <w:r>
        <w:rPr>
          <w:rFonts w:ascii="Times New Roman" w:cs="Times New Roman" w:eastAsia="Times New Roman" w:hAnsi="Times New Roman"/>
          <w:sz w:val="16"/>
          <w:szCs w:val="16"/>
          <w:color w:val="auto"/>
        </w:rPr>
        <w:t>” means any corporation, partnership, limited liability company or association, trust or other entity or organization which, directly or indirectly,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(a) to vote more than fifty percent (50%) of the securities having ordinary voting power for the election of directors or comparable individuals of the controlled entity or organization, or</w:t>
      </w:r>
    </w:p>
    <w:p>
      <w:pPr>
        <w:spacing w:after="0" w:line="1" w:lineRule="exact"/>
        <w:rPr>
          <w:sz w:val="20"/>
          <w:szCs w:val="20"/>
          <w:color w:val="auto"/>
        </w:rPr>
      </w:pPr>
    </w:p>
    <w:p>
      <w:pPr>
        <w:ind w:left="4" w:right="20" w:hanging="4"/>
        <w:spacing w:after="0" w:line="261" w:lineRule="auto"/>
        <w:tabs>
          <w:tab w:leader="none" w:pos="23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direct or cause the direction of the management and policies of the controlled entity or organization, whether through the ownership of voting securities or by contract or otherwise.</w:t>
      </w:r>
    </w:p>
    <w:p>
      <w:pPr>
        <w:spacing w:after="0" w:line="156" w:lineRule="exact"/>
        <w:rPr>
          <w:sz w:val="20"/>
          <w:szCs w:val="20"/>
          <w:color w:val="auto"/>
        </w:rPr>
      </w:pPr>
    </w:p>
    <w:p>
      <w:pPr>
        <w:jc w:val="both"/>
        <w:ind w:left="4" w:right="20" w:firstLine="577"/>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2.3 </w:t>
      </w:r>
      <w:r>
        <w:rPr>
          <w:rFonts w:ascii="Times New Roman" w:cs="Times New Roman" w:eastAsia="Times New Roman" w:hAnsi="Times New Roman"/>
          <w:sz w:val="16"/>
          <w:szCs w:val="16"/>
          <w:b w:val="1"/>
          <w:bCs w:val="1"/>
          <w:i w:val="1"/>
          <w:iCs w:val="1"/>
          <w:color w:val="auto"/>
        </w:rPr>
        <w:t>“Assets</w:t>
      </w:r>
      <w:r>
        <w:rPr>
          <w:rFonts w:ascii="Times New Roman" w:cs="Times New Roman" w:eastAsia="Times New Roman" w:hAnsi="Times New Roman"/>
          <w:sz w:val="16"/>
          <w:szCs w:val="16"/>
          <w:color w:val="auto"/>
        </w:rPr>
        <w:t>” means assets of any kind owned by the Company, including but not limited to securities of the Company’s direct and indirect subsidiaries and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Affiliates.</w:t>
      </w:r>
    </w:p>
    <w:p>
      <w:pPr>
        <w:spacing w:after="0" w:line="135" w:lineRule="exact"/>
        <w:rPr>
          <w:sz w:val="20"/>
          <w:szCs w:val="20"/>
          <w:color w:val="auto"/>
        </w:rPr>
      </w:pPr>
    </w:p>
    <w:p>
      <w:pPr>
        <w:jc w:val="both"/>
        <w:ind w:left="4" w:right="20" w:firstLine="577"/>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2.4 </w:t>
      </w:r>
      <w:r>
        <w:rPr>
          <w:rFonts w:ascii="Times New Roman" w:cs="Times New Roman" w:eastAsia="Times New Roman" w:hAnsi="Times New Roman"/>
          <w:sz w:val="16"/>
          <w:szCs w:val="16"/>
          <w:b w:val="1"/>
          <w:bCs w:val="1"/>
          <w:i w:val="1"/>
          <w:iCs w:val="1"/>
          <w:color w:val="auto"/>
        </w:rPr>
        <w:t>“Average Annual Bonus</w:t>
      </w:r>
      <w:r>
        <w:rPr>
          <w:rFonts w:ascii="Times New Roman" w:cs="Times New Roman" w:eastAsia="Times New Roman" w:hAnsi="Times New Roman"/>
          <w:sz w:val="16"/>
          <w:szCs w:val="16"/>
          <w:color w:val="auto"/>
        </w:rPr>
        <w:t>” means the average of the aggregate incentive bonuses (including both incentive bonuses paid on an annual basis and any paid on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quarterly basis) paid by the Company to the Participant during each of the three (3) years immediately prior to the date on which the Change in Control occurs; provided, however, that if a Participant’s Involuntary Termination occurs prior to consummation of a Change in Control, “Average Annual Bonus” shall mean the average of the aggregate incentive bonuses (including both incentive bonuses paid on an annual basis and any paid on a quarterly basis) paid by the Company to the Participant during each of the three (3) years immediately prior to the date on which the Participant’s Involuntary Termination occurs. If the Participant was not employed by the Company for a period long enough to qualify to be paid incentive bonuses during the three (3) year period referenced in the preceding sentence then such reference to three (3) shall be reduced to that number of years that the Participant was eligible to be paid such bonuses by the Company.</w:t>
      </w:r>
    </w:p>
    <w:p>
      <w:pPr>
        <w:spacing w:after="0" w:line="164" w:lineRule="exact"/>
        <w:rPr>
          <w:sz w:val="20"/>
          <w:szCs w:val="20"/>
          <w:color w:val="auto"/>
        </w:rPr>
      </w:pPr>
    </w:p>
    <w:p>
      <w:pPr>
        <w:jc w:val="both"/>
        <w:ind w:left="4" w:firstLine="577"/>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2.5 </w:t>
      </w:r>
      <w:r>
        <w:rPr>
          <w:rFonts w:ascii="Times New Roman" w:cs="Times New Roman" w:eastAsia="Times New Roman" w:hAnsi="Times New Roman"/>
          <w:sz w:val="16"/>
          <w:szCs w:val="16"/>
          <w:b w:val="1"/>
          <w:bCs w:val="1"/>
          <w:i w:val="1"/>
          <w:iCs w:val="1"/>
          <w:color w:val="auto"/>
        </w:rPr>
        <w:t>“Base Salary</w:t>
      </w:r>
      <w:r>
        <w:rPr>
          <w:rFonts w:ascii="Times New Roman" w:cs="Times New Roman" w:eastAsia="Times New Roman" w:hAnsi="Times New Roman"/>
          <w:sz w:val="16"/>
          <w:szCs w:val="16"/>
          <w:color w:val="auto"/>
        </w:rPr>
        <w:t>” means a Participant’s annual base salary from the Company in effect immediately preceding the Participant’s Involuntary Termination or,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greater, in effect immediately preceding the consummation of the Change in Control, and shall be determined without taking into account any reductions made without the Participant’s consent, and without taking into account any reduction for any employee-elected salary reduction contributions made to a qualified cash or deferred arrangement (within the meaning of section 401(k) of the Code) or for the purchase of benefits pursuant to a cafeteria plan (within the meaning of section 125(d) of the Code) maintained by the Company. For the avoidance of doubt, “Base Salary” does not include incentive pay, premium pay, commissions, overtime, bonuses or any other form of variable compensation.</w:t>
      </w:r>
    </w:p>
    <w:p>
      <w:pPr>
        <w:spacing w:after="0" w:line="159" w:lineRule="exact"/>
        <w:rPr>
          <w:sz w:val="20"/>
          <w:szCs w:val="20"/>
          <w:color w:val="auto"/>
        </w:rPr>
      </w:pPr>
    </w:p>
    <w:p>
      <w:pPr>
        <w:jc w:val="both"/>
        <w:ind w:left="4" w:right="20" w:firstLine="577"/>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2.6 </w:t>
      </w:r>
      <w:r>
        <w:rPr>
          <w:rFonts w:ascii="Times New Roman" w:cs="Times New Roman" w:eastAsia="Times New Roman" w:hAnsi="Times New Roman"/>
          <w:sz w:val="16"/>
          <w:szCs w:val="16"/>
          <w:b w:val="1"/>
          <w:bCs w:val="1"/>
          <w:i w:val="1"/>
          <w:iCs w:val="1"/>
          <w:color w:val="auto"/>
        </w:rPr>
        <w:t>“Beneficial Owner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Beneficial Ownership</w:t>
      </w:r>
      <w:r>
        <w:rPr>
          <w:rFonts w:ascii="Times New Roman" w:cs="Times New Roman" w:eastAsia="Times New Roman" w:hAnsi="Times New Roman"/>
          <w:sz w:val="16"/>
          <w:szCs w:val="16"/>
          <w:color w:val="auto"/>
        </w:rPr>
        <w:t>” shall have the meaning ascribed to those terms in Rule 13d-3 of the General Rules and Regulations under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Exchange Act.</w:t>
      </w:r>
    </w:p>
    <w:p>
      <w:pPr>
        <w:spacing w:after="0" w:line="135" w:lineRule="exact"/>
        <w:rPr>
          <w:sz w:val="20"/>
          <w:szCs w:val="20"/>
          <w:color w:val="auto"/>
        </w:rPr>
      </w:pPr>
    </w:p>
    <w:p>
      <w:pPr>
        <w:ind w:left="584"/>
        <w:spacing w:after="0"/>
        <w:tabs>
          <w:tab w:leader="none" w:pos="923" w:val="left"/>
        </w:tabs>
        <w:rPr>
          <w:sz w:val="20"/>
          <w:szCs w:val="20"/>
          <w:color w:val="auto"/>
        </w:rPr>
      </w:pPr>
      <w:r>
        <w:rPr>
          <w:rFonts w:ascii="Times New Roman" w:cs="Times New Roman" w:eastAsia="Times New Roman" w:hAnsi="Times New Roman"/>
          <w:sz w:val="16"/>
          <w:szCs w:val="16"/>
          <w:b w:val="1"/>
          <w:bCs w:val="1"/>
          <w:color w:val="auto"/>
        </w:rPr>
        <w:t>2.7</w:t>
      </w:r>
      <w:r>
        <w:rPr>
          <w:sz w:val="20"/>
          <w:szCs w:val="20"/>
          <w:color w:val="auto"/>
        </w:rPr>
        <w:tab/>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means the Board of Directors of the Company.</w:t>
      </w:r>
    </w:p>
    <w:p>
      <w:pPr>
        <w:spacing w:after="0" w:line="200" w:lineRule="exact"/>
        <w:rPr>
          <w:sz w:val="20"/>
          <w:szCs w:val="20"/>
          <w:color w:val="auto"/>
        </w:rPr>
      </w:pPr>
    </w:p>
    <w:p>
      <w:pPr>
        <w:ind w:left="584"/>
        <w:spacing w:after="0"/>
        <w:tabs>
          <w:tab w:leader="none" w:pos="923" w:val="left"/>
        </w:tabs>
        <w:rPr>
          <w:sz w:val="20"/>
          <w:szCs w:val="20"/>
          <w:color w:val="auto"/>
        </w:rPr>
      </w:pPr>
      <w:r>
        <w:rPr>
          <w:rFonts w:ascii="Times New Roman" w:cs="Times New Roman" w:eastAsia="Times New Roman" w:hAnsi="Times New Roman"/>
          <w:sz w:val="16"/>
          <w:szCs w:val="16"/>
          <w:b w:val="1"/>
          <w:bCs w:val="1"/>
          <w:color w:val="auto"/>
        </w:rPr>
        <w:t>2.8</w:t>
      </w:r>
      <w:r>
        <w:rPr>
          <w:sz w:val="20"/>
          <w:szCs w:val="20"/>
          <w:color w:val="auto"/>
        </w:rPr>
        <w:tab/>
      </w:r>
      <w:r>
        <w:rPr>
          <w:rFonts w:ascii="Times New Roman" w:cs="Times New Roman" w:eastAsia="Times New Roman" w:hAnsi="Times New Roman"/>
          <w:sz w:val="15"/>
          <w:szCs w:val="15"/>
          <w:b w:val="1"/>
          <w:bCs w:val="1"/>
          <w:i w:val="1"/>
          <w:iCs w:val="1"/>
          <w:color w:val="auto"/>
        </w:rPr>
        <w:t>“Cause</w:t>
      </w:r>
      <w:r>
        <w:rPr>
          <w:rFonts w:ascii="Times New Roman" w:cs="Times New Roman" w:eastAsia="Times New Roman" w:hAnsi="Times New Roman"/>
          <w:sz w:val="15"/>
          <w:szCs w:val="15"/>
          <w:color w:val="auto"/>
        </w:rPr>
        <w:t>” shall mean:</w:t>
      </w:r>
    </w:p>
    <w:p>
      <w:pPr>
        <w:spacing w:after="0" w:line="204" w:lineRule="exact"/>
        <w:rPr>
          <w:sz w:val="20"/>
          <w:szCs w:val="20"/>
          <w:color w:val="auto"/>
        </w:rPr>
      </w:pPr>
    </w:p>
    <w:p>
      <w:pPr>
        <w:ind w:left="584" w:right="20" w:firstLine="569"/>
        <w:spacing w:after="0" w:line="282" w:lineRule="auto"/>
        <w:tabs>
          <w:tab w:leader="none" w:pos="150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willful failure by the Participant to substantially perform the Participant’s duties with the Company or the acquirer in a Change in Control transaction or the Affiliate of either the Company or the acquirer (other than any such failure resulting from the Participant’s incapacity due to physical or mental illness);</w:t>
      </w:r>
    </w:p>
    <w:p>
      <w:pPr>
        <w:spacing w:after="0" w:line="144" w:lineRule="exact"/>
        <w:rPr>
          <w:rFonts w:ascii="Times New Roman" w:cs="Times New Roman" w:eastAsia="Times New Roman" w:hAnsi="Times New Roman"/>
          <w:sz w:val="16"/>
          <w:szCs w:val="16"/>
          <w:color w:val="auto"/>
        </w:rPr>
      </w:pPr>
    </w:p>
    <w:p>
      <w:pPr>
        <w:ind w:left="5584" w:hanging="89"/>
        <w:spacing w:after="0"/>
        <w:tabs>
          <w:tab w:leader="none" w:pos="5584"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756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527" w:right="319" w:bottom="1440" w:gutter="0" w:footer="0" w:header="0"/>
        </w:sectPr>
      </w:pPr>
    </w:p>
    <w:bookmarkStart w:id="24" w:name="page25"/>
    <w:bookmarkEnd w:id="24"/>
    <w:p>
      <w:pPr>
        <w:ind w:left="580" w:right="20" w:firstLine="569"/>
        <w:spacing w:after="0" w:line="282" w:lineRule="auto"/>
        <w:tabs>
          <w:tab w:leader="none" w:pos="157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willfully engaging in conduct which is injurious, whether monetarily or otherwise, to the Company or the acquirer in a Change in Control transaction or the Affiliate of either the Company or the acquirer;</w:t>
      </w:r>
    </w:p>
    <w:p>
      <w:pPr>
        <w:spacing w:after="0" w:line="144" w:lineRule="exact"/>
        <w:rPr>
          <w:rFonts w:ascii="Times New Roman" w:cs="Times New Roman" w:eastAsia="Times New Roman" w:hAnsi="Times New Roman"/>
          <w:sz w:val="16"/>
          <w:szCs w:val="16"/>
          <w:color w:val="auto"/>
        </w:rPr>
      </w:pPr>
    </w:p>
    <w:p>
      <w:pPr>
        <w:jc w:val="both"/>
        <w:ind w:left="580" w:right="20" w:firstLine="569"/>
        <w:spacing w:after="0" w:line="266" w:lineRule="auto"/>
        <w:tabs>
          <w:tab w:leader="none" w:pos="154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Participant’s commission of, or plea of guilty or no contest to, a felony or a crime involving moral turpitude or the commission of any other act involving willful malfeasance or material fiduciary breach with respect to the Company or the acquirer in a Change in Control transaction or the Affiliate of either the Company or the acquirer;</w:t>
      </w:r>
    </w:p>
    <w:p>
      <w:pPr>
        <w:spacing w:after="0" w:line="157" w:lineRule="exact"/>
        <w:rPr>
          <w:rFonts w:ascii="Times New Roman" w:cs="Times New Roman" w:eastAsia="Times New Roman" w:hAnsi="Times New Roman"/>
          <w:sz w:val="16"/>
          <w:szCs w:val="16"/>
          <w:color w:val="auto"/>
        </w:rPr>
      </w:pPr>
    </w:p>
    <w:p>
      <w:pPr>
        <w:ind w:left="580" w:right="20" w:firstLine="569"/>
        <w:spacing w:after="0" w:line="282" w:lineRule="auto"/>
        <w:tabs>
          <w:tab w:leader="none" w:pos="152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Participant’s material and continued willful violation of any agreement with the Company or the acquirer in a Change in Control transaction or the Affiliate of either the Company or the acquirer; or</w:t>
      </w:r>
    </w:p>
    <w:p>
      <w:pPr>
        <w:spacing w:after="0" w:line="144" w:lineRule="exact"/>
        <w:rPr>
          <w:rFonts w:ascii="Times New Roman" w:cs="Times New Roman" w:eastAsia="Times New Roman" w:hAnsi="Times New Roman"/>
          <w:sz w:val="16"/>
          <w:szCs w:val="16"/>
          <w:color w:val="auto"/>
        </w:rPr>
      </w:pPr>
    </w:p>
    <w:p>
      <w:pPr>
        <w:ind w:left="1480" w:hanging="331"/>
        <w:spacing w:after="0"/>
        <w:tabs>
          <w:tab w:leader="none" w:pos="1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Participant’s willful violation of state or federal securities laws.</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For purposes of this definition, no act, or failure to act, on the Participant’s part shall be deemed “willful” if done, or omitted to be done, by the Participant in good faith and with reasonable belief that the act, or failure to act, was in the best interest of the Company or the acquirer in a Change in Control transaction or the Affiliate of either the Company or such acquirer.</w:t>
      </w:r>
    </w:p>
    <w:p>
      <w:pPr>
        <w:spacing w:after="0" w:line="153"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2.9</w:t>
      </w:r>
      <w:r>
        <w:rPr>
          <w:sz w:val="20"/>
          <w:szCs w:val="20"/>
          <w:color w:val="auto"/>
        </w:rPr>
        <w:tab/>
      </w:r>
      <w:r>
        <w:rPr>
          <w:rFonts w:ascii="Times New Roman" w:cs="Times New Roman" w:eastAsia="Times New Roman" w:hAnsi="Times New Roman"/>
          <w:sz w:val="15"/>
          <w:szCs w:val="15"/>
          <w:b w:val="1"/>
          <w:bCs w:val="1"/>
          <w:i w:val="1"/>
          <w:iCs w:val="1"/>
          <w:color w:val="auto"/>
        </w:rPr>
        <w:t>“Change in Control</w:t>
      </w:r>
      <w:r>
        <w:rPr>
          <w:rFonts w:ascii="Times New Roman" w:cs="Times New Roman" w:eastAsia="Times New Roman" w:hAnsi="Times New Roman"/>
          <w:sz w:val="15"/>
          <w:szCs w:val="15"/>
          <w:color w:val="auto"/>
        </w:rPr>
        <w:t>” means the occurrence of any of the following events:</w:t>
      </w:r>
    </w:p>
    <w:p>
      <w:pPr>
        <w:spacing w:after="0" w:line="202" w:lineRule="exact"/>
        <w:rPr>
          <w:sz w:val="20"/>
          <w:szCs w:val="20"/>
          <w:color w:val="auto"/>
        </w:rPr>
      </w:pPr>
    </w:p>
    <w:p>
      <w:pPr>
        <w:jc w:val="both"/>
        <w:ind w:left="580" w:right="20" w:firstLine="569"/>
        <w:spacing w:after="0" w:line="268" w:lineRule="auto"/>
        <w:tabs>
          <w:tab w:leader="none" w:pos="15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consummation of a Merger of the Company with another Entity, </w:t>
      </w:r>
      <w:r>
        <w:rPr>
          <w:rFonts w:ascii="Times New Roman" w:cs="Times New Roman" w:eastAsia="Times New Roman" w:hAnsi="Times New Roman"/>
          <w:sz w:val="16"/>
          <w:szCs w:val="16"/>
          <w:i w:val="1"/>
          <w:iCs w:val="1"/>
          <w:color w:val="auto"/>
        </w:rPr>
        <w:t>unless</w:t>
      </w:r>
      <w:r>
        <w:rPr>
          <w:rFonts w:ascii="Times New Roman" w:cs="Times New Roman" w:eastAsia="Times New Roman" w:hAnsi="Times New Roman"/>
          <w:sz w:val="16"/>
          <w:szCs w:val="16"/>
          <w:color w:val="auto"/>
        </w:rPr>
        <w:t xml:space="preserve"> the individuals and Entities who were the Beneficial Owners of the Voting Securities of the Company outstanding immediately prior to such Merger own, directly or indirectly, at least 50 percent of the combined voting power of the Voting Securities of any of the Company, the surviving Entity or the parent of the surviving Entity outstanding immediately after such Merger;</w:t>
      </w:r>
    </w:p>
    <w:p>
      <w:pPr>
        <w:spacing w:after="0" w:line="154" w:lineRule="exact"/>
        <w:rPr>
          <w:rFonts w:ascii="Times New Roman" w:cs="Times New Roman" w:eastAsia="Times New Roman" w:hAnsi="Times New Roman"/>
          <w:sz w:val="16"/>
          <w:szCs w:val="16"/>
          <w:color w:val="auto"/>
        </w:rPr>
      </w:pPr>
    </w:p>
    <w:p>
      <w:pPr>
        <w:ind w:left="580" w:right="20" w:firstLine="569"/>
        <w:spacing w:after="0" w:line="282" w:lineRule="auto"/>
        <w:tabs>
          <w:tab w:leader="none" w:pos="152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other than a Specified Owner, becomes a Beneficial Owner, directly or indirectly, of securities of the Company representing 30 percent or more of the combined voting power of the Company’s then outstanding Voting Securities;</w:t>
      </w:r>
    </w:p>
    <w:p>
      <w:pPr>
        <w:spacing w:after="0" w:line="144" w:lineRule="exact"/>
        <w:rPr>
          <w:rFonts w:ascii="Times New Roman" w:cs="Times New Roman" w:eastAsia="Times New Roman" w:hAnsi="Times New Roman"/>
          <w:sz w:val="16"/>
          <w:szCs w:val="16"/>
          <w:color w:val="auto"/>
        </w:rPr>
      </w:pPr>
    </w:p>
    <w:p>
      <w:pPr>
        <w:ind w:left="1480" w:hanging="331"/>
        <w:spacing w:after="0"/>
        <w:tabs>
          <w:tab w:leader="none" w:pos="1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individuals who are Incumbent Directors cease for any reason to constitute a majority of the members of the Board;</w:t>
      </w:r>
    </w:p>
    <w:p>
      <w:pPr>
        <w:spacing w:after="0" w:line="196" w:lineRule="exact"/>
        <w:rPr>
          <w:rFonts w:ascii="Times New Roman" w:cs="Times New Roman" w:eastAsia="Times New Roman" w:hAnsi="Times New Roman"/>
          <w:sz w:val="16"/>
          <w:szCs w:val="16"/>
          <w:color w:val="auto"/>
        </w:rPr>
      </w:pPr>
    </w:p>
    <w:p>
      <w:pPr>
        <w:ind w:left="1500" w:hanging="351"/>
        <w:spacing w:after="0"/>
        <w:tabs>
          <w:tab w:leader="none" w:pos="1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sale, transfer, lease or other disposition of all or substantially all of the Company’s Assets is consummated (an “</w:t>
      </w:r>
      <w:r>
        <w:rPr>
          <w:rFonts w:ascii="Times New Roman" w:cs="Times New Roman" w:eastAsia="Times New Roman" w:hAnsi="Times New Roman"/>
          <w:sz w:val="16"/>
          <w:szCs w:val="16"/>
          <w:b w:val="1"/>
          <w:bCs w:val="1"/>
          <w:i w:val="1"/>
          <w:iCs w:val="1"/>
          <w:color w:val="auto"/>
        </w:rPr>
        <w:t>Asset Sale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unless</w:t>
      </w:r>
      <w:r>
        <w:rPr>
          <w:rFonts w:ascii="Times New Roman" w:cs="Times New Roman" w:eastAsia="Times New Roman" w:hAnsi="Times New Roman"/>
          <w:sz w:val="16"/>
          <w:szCs w:val="16"/>
          <w:color w:val="auto"/>
        </w:rPr>
        <w:t>:</w:t>
      </w:r>
    </w:p>
    <w:p>
      <w:pPr>
        <w:spacing w:after="0" w:line="204" w:lineRule="exact"/>
        <w:rPr>
          <w:rFonts w:ascii="Times New Roman" w:cs="Times New Roman" w:eastAsia="Times New Roman" w:hAnsi="Times New Roman"/>
          <w:sz w:val="16"/>
          <w:szCs w:val="16"/>
          <w:color w:val="auto"/>
        </w:rPr>
      </w:pPr>
    </w:p>
    <w:p>
      <w:pPr>
        <w:jc w:val="both"/>
        <w:ind w:left="1140" w:firstLine="586"/>
        <w:spacing w:after="0" w:line="261" w:lineRule="auto"/>
        <w:tabs>
          <w:tab w:leader="none" w:pos="2106"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individuals and Entities who were the Beneficial Owners of the Voting Securities of the Company immediately prior to such Asset Sale own, directly or indirectly, 50 percent or more of the combined voting power of the Voting Securities of the Entity that acquires such Assets in such Asset Sale or its parent immediately after such Asset Sale in substantially the same proportions as their ownership of the Company’s Voting Securities immediately prior to such Asset Sale; or</w:t>
      </w:r>
    </w:p>
    <w:p>
      <w:pPr>
        <w:spacing w:after="0" w:line="160" w:lineRule="exact"/>
        <w:rPr>
          <w:rFonts w:ascii="Times New Roman" w:cs="Times New Roman" w:eastAsia="Times New Roman" w:hAnsi="Times New Roman"/>
          <w:sz w:val="16"/>
          <w:szCs w:val="16"/>
          <w:color w:val="auto"/>
        </w:rPr>
      </w:pPr>
    </w:p>
    <w:p>
      <w:pPr>
        <w:ind w:left="5580" w:hanging="89"/>
        <w:spacing w:after="0"/>
        <w:tabs>
          <w:tab w:leader="none" w:pos="5580" w:val="left"/>
        </w:tabs>
        <w:numPr>
          <w:ilvl w:val="2"/>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25" w:name="page26"/>
    <w:bookmarkEnd w:id="25"/>
    <w:p>
      <w:pPr>
        <w:jc w:val="both"/>
        <w:ind w:left="1140" w:firstLine="586"/>
        <w:spacing w:after="0" w:line="266" w:lineRule="auto"/>
        <w:tabs>
          <w:tab w:leader="none" w:pos="2069"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individuals who comprise the board of directors or other governing body of the Company immediately prior to such Asset Sale constitute a majority of the board of directors or other governing body of either the Entity that acquired such Assets in such Asset Sale or its parent (or a majority plus one member where such board or other governing body is comprised of an odd number of directors); or</w:t>
      </w:r>
    </w:p>
    <w:p>
      <w:pPr>
        <w:spacing w:after="0" w:line="157" w:lineRule="exact"/>
        <w:rPr>
          <w:rFonts w:ascii="Times New Roman" w:cs="Times New Roman" w:eastAsia="Times New Roman" w:hAnsi="Times New Roman"/>
          <w:sz w:val="16"/>
          <w:szCs w:val="16"/>
          <w:color w:val="auto"/>
        </w:rPr>
      </w:pPr>
    </w:p>
    <w:p>
      <w:pPr>
        <w:ind w:left="1480" w:hanging="331"/>
        <w:spacing w:after="0"/>
        <w:tabs>
          <w:tab w:leader="none" w:pos="1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or members of the Company approve a plan of complete liquidation or dissolution of the Company.</w:t>
      </w:r>
    </w:p>
    <w:p>
      <w:pPr>
        <w:spacing w:after="0" w:line="200" w:lineRule="exact"/>
        <w:rPr>
          <w:sz w:val="20"/>
          <w:szCs w:val="20"/>
          <w:color w:val="auto"/>
        </w:rPr>
      </w:pPr>
    </w:p>
    <w:p>
      <w:pPr>
        <w:jc w:val="both"/>
        <w:ind w:right="20" w:firstLine="577"/>
        <w:spacing w:after="0" w:line="282" w:lineRule="auto"/>
        <w:rPr>
          <w:sz w:val="20"/>
          <w:szCs w:val="20"/>
          <w:color w:val="auto"/>
        </w:rPr>
      </w:pPr>
      <w:r>
        <w:rPr>
          <w:rFonts w:ascii="Times New Roman" w:cs="Times New Roman" w:eastAsia="Times New Roman" w:hAnsi="Times New Roman"/>
          <w:sz w:val="16"/>
          <w:szCs w:val="16"/>
          <w:color w:val="auto"/>
        </w:rPr>
        <w:t>For the avoidance of doubt, a transaction will not constitute a Change in Control if its sole purpose is to (i) change the state of the Company’s incorporation, or (ii) create a holding company that will be owned in substantially the same proportions by the Persons who held the Company’s securities immediately before such transaction.</w:t>
      </w:r>
    </w:p>
    <w:p>
      <w:pPr>
        <w:spacing w:after="0" w:line="140" w:lineRule="exact"/>
        <w:rPr>
          <w:sz w:val="20"/>
          <w:szCs w:val="20"/>
          <w:color w:val="auto"/>
        </w:rPr>
      </w:pPr>
    </w:p>
    <w:p>
      <w:pPr>
        <w:jc w:val="both"/>
        <w:ind w:firstLine="577"/>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2.10 </w:t>
      </w:r>
      <w:r>
        <w:rPr>
          <w:rFonts w:ascii="Times New Roman" w:cs="Times New Roman" w:eastAsia="Times New Roman" w:hAnsi="Times New Roman"/>
          <w:sz w:val="16"/>
          <w:szCs w:val="16"/>
          <w:b w:val="1"/>
          <w:bCs w:val="1"/>
          <w:i w:val="1"/>
          <w:iCs w:val="1"/>
          <w:color w:val="auto"/>
        </w:rPr>
        <w:t>“Change in Control Period</w:t>
      </w:r>
      <w:r>
        <w:rPr>
          <w:rFonts w:ascii="Times New Roman" w:cs="Times New Roman" w:eastAsia="Times New Roman" w:hAnsi="Times New Roman"/>
          <w:sz w:val="16"/>
          <w:szCs w:val="16"/>
          <w:color w:val="auto"/>
        </w:rPr>
        <w:t>” means the period beginning on the date three (3) months prior to, and ending on the date that is eighteen (18) months following,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occurrence of a Change in Control.</w:t>
      </w:r>
    </w:p>
    <w:p>
      <w:pPr>
        <w:spacing w:after="0" w:line="135" w:lineRule="exact"/>
        <w:rPr>
          <w:sz w:val="20"/>
          <w:szCs w:val="20"/>
          <w:color w:val="auto"/>
        </w:rPr>
      </w:pPr>
    </w:p>
    <w:p>
      <w:pPr>
        <w:ind w:left="580"/>
        <w:spacing w:after="0"/>
        <w:tabs>
          <w:tab w:leader="none" w:pos="980" w:val="left"/>
        </w:tabs>
        <w:rPr>
          <w:sz w:val="20"/>
          <w:szCs w:val="20"/>
          <w:color w:val="auto"/>
        </w:rPr>
      </w:pPr>
      <w:r>
        <w:rPr>
          <w:rFonts w:ascii="Times New Roman" w:cs="Times New Roman" w:eastAsia="Times New Roman" w:hAnsi="Times New Roman"/>
          <w:sz w:val="16"/>
          <w:szCs w:val="16"/>
          <w:b w:val="1"/>
          <w:bCs w:val="1"/>
          <w:color w:val="auto"/>
        </w:rPr>
        <w:t>2.11</w:t>
      </w:r>
      <w:r>
        <w:rPr>
          <w:sz w:val="20"/>
          <w:szCs w:val="20"/>
          <w:color w:val="auto"/>
        </w:rPr>
        <w:tab/>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means the Internal Revenue Code of 1986, as amended, or any successor act.</w:t>
      </w:r>
    </w:p>
    <w:p>
      <w:pPr>
        <w:spacing w:after="0" w:line="200"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2.12</w:t>
      </w:r>
      <w:r>
        <w:rPr>
          <w:sz w:val="20"/>
          <w:szCs w:val="20"/>
          <w:color w:val="auto"/>
        </w:rPr>
        <w:tab/>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means Friedman Industries, Incorporated, a Texas corporation.</w:t>
      </w:r>
    </w:p>
    <w:p>
      <w:pPr>
        <w:spacing w:after="0" w:line="200"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2.13</w:t>
      </w:r>
      <w:r>
        <w:rPr>
          <w:sz w:val="20"/>
          <w:szCs w:val="20"/>
          <w:color w:val="auto"/>
        </w:rPr>
        <w:tab/>
      </w:r>
      <w:r>
        <w:rPr>
          <w:rFonts w:ascii="Times New Roman" w:cs="Times New Roman" w:eastAsia="Times New Roman" w:hAnsi="Times New Roman"/>
          <w:sz w:val="15"/>
          <w:szCs w:val="15"/>
          <w:b w:val="1"/>
          <w:bCs w:val="1"/>
          <w:i w:val="1"/>
          <w:iCs w:val="1"/>
          <w:color w:val="auto"/>
        </w:rPr>
        <w:t>“Company Group</w:t>
      </w:r>
      <w:r>
        <w:rPr>
          <w:rFonts w:ascii="Times New Roman" w:cs="Times New Roman" w:eastAsia="Times New Roman" w:hAnsi="Times New Roman"/>
          <w:sz w:val="15"/>
          <w:szCs w:val="15"/>
          <w:color w:val="auto"/>
        </w:rPr>
        <w:t>” means the Company and its subsidiaries.</w:t>
      </w:r>
    </w:p>
    <w:p>
      <w:pPr>
        <w:spacing w:after="0" w:line="200"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2.14</w:t>
      </w:r>
      <w:r>
        <w:rPr>
          <w:sz w:val="20"/>
          <w:szCs w:val="20"/>
          <w:color w:val="auto"/>
        </w:rPr>
        <w:tab/>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means September 18, 2024, the date on which the Plan was adopted.</w:t>
      </w:r>
    </w:p>
    <w:p>
      <w:pPr>
        <w:spacing w:after="0" w:line="200" w:lineRule="exact"/>
        <w:rPr>
          <w:sz w:val="20"/>
          <w:szCs w:val="20"/>
          <w:color w:val="auto"/>
        </w:rPr>
      </w:pPr>
    </w:p>
    <w:p>
      <w:pPr>
        <w:ind w:left="58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2.15</w:t>
      </w:r>
      <w:r>
        <w:rPr>
          <w:sz w:val="20"/>
          <w:szCs w:val="20"/>
          <w:color w:val="auto"/>
        </w:rPr>
        <w:tab/>
      </w:r>
      <w:r>
        <w:rPr>
          <w:rFonts w:ascii="Times New Roman" w:cs="Times New Roman" w:eastAsia="Times New Roman" w:hAnsi="Times New Roman"/>
          <w:sz w:val="16"/>
          <w:szCs w:val="16"/>
          <w:b w:val="1"/>
          <w:bCs w:val="1"/>
          <w:i w:val="1"/>
          <w:iCs w:val="1"/>
          <w:color w:val="auto"/>
        </w:rPr>
        <w:t>“Entity</w:t>
      </w:r>
      <w:r>
        <w:rPr>
          <w:rFonts w:ascii="Times New Roman" w:cs="Times New Roman" w:eastAsia="Times New Roman" w:hAnsi="Times New Roman"/>
          <w:sz w:val="16"/>
          <w:szCs w:val="16"/>
          <w:color w:val="auto"/>
        </w:rPr>
        <w:t>” means any corporation, partnership, association, joint-stock company, limited liability company, trust, unincorporated organization or other business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entity.</w:t>
      </w:r>
    </w:p>
    <w:p>
      <w:pPr>
        <w:spacing w:after="0" w:line="180"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2.16</w:t>
      </w:r>
      <w:r>
        <w:rPr>
          <w:sz w:val="20"/>
          <w:szCs w:val="20"/>
          <w:color w:val="auto"/>
        </w:rPr>
        <w:tab/>
      </w:r>
      <w:r>
        <w:rPr>
          <w:rFonts w:ascii="Times New Roman" w:cs="Times New Roman" w:eastAsia="Times New Roman" w:hAnsi="Times New Roman"/>
          <w:sz w:val="16"/>
          <w:szCs w:val="16"/>
          <w:b w:val="1"/>
          <w:bCs w:val="1"/>
          <w:i w:val="1"/>
          <w:iCs w:val="1"/>
          <w:color w:val="auto"/>
        </w:rPr>
        <w:t>“ERISA</w:t>
      </w:r>
      <w:r>
        <w:rPr>
          <w:rFonts w:ascii="Times New Roman" w:cs="Times New Roman" w:eastAsia="Times New Roman" w:hAnsi="Times New Roman"/>
          <w:sz w:val="16"/>
          <w:szCs w:val="16"/>
          <w:color w:val="auto"/>
        </w:rPr>
        <w:t>” means the Employee Retirement Income Security Act of 1974, as amended, or any successor act.</w:t>
      </w:r>
    </w:p>
    <w:p>
      <w:pPr>
        <w:spacing w:after="0" w:line="200"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2.17</w:t>
      </w:r>
      <w:r>
        <w:rPr>
          <w:sz w:val="20"/>
          <w:szCs w:val="20"/>
          <w:color w:val="auto"/>
        </w:rPr>
        <w:tab/>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Securities Exchange Act of 1934, as amended, or any successor act.</w:t>
      </w:r>
    </w:p>
    <w:p>
      <w:pPr>
        <w:spacing w:after="0" w:line="200" w:lineRule="exact"/>
        <w:rPr>
          <w:sz w:val="20"/>
          <w:szCs w:val="20"/>
          <w:color w:val="auto"/>
        </w:rPr>
      </w:pPr>
    </w:p>
    <w:p>
      <w:pPr>
        <w:jc w:val="both"/>
        <w:ind w:firstLine="577"/>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2.18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shall mean the occurrence (without the Participant’s express written consent) after any Change in Control and before the end of the Change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Control Period of any one of the following acts by the Company or an Affiliate employing the Participant, or failures by the Company or an Affiliate employing the Participant to act, unless, in the case of any act or failure to act described below which can be corrected by the Company or an Affiliate, such act or failure to act is corrected prior to the effective date of the Participant’s termination of employment for Good Reason:</w:t>
      </w:r>
    </w:p>
    <w:p>
      <w:pPr>
        <w:spacing w:after="0" w:line="159" w:lineRule="exact"/>
        <w:rPr>
          <w:sz w:val="20"/>
          <w:szCs w:val="20"/>
          <w:color w:val="auto"/>
        </w:rPr>
      </w:pPr>
    </w:p>
    <w:p>
      <w:pPr>
        <w:jc w:val="both"/>
        <w:ind w:left="580" w:firstLine="569"/>
        <w:spacing w:after="0" w:line="266" w:lineRule="auto"/>
        <w:tabs>
          <w:tab w:leader="none" w:pos="159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to the Participant of any duties or responsibilities which are substantially diminished as compared to the Participant’s duties and responsibilities immediately prior to a Change in Control or a material change in the Participant’s reporting responsibilities, titles or offices as a key management employee of the Company and as in effect immediately prior to the Change in Control;</w:t>
      </w:r>
    </w:p>
    <w:p>
      <w:pPr>
        <w:spacing w:after="0" w:line="157" w:lineRule="exact"/>
        <w:rPr>
          <w:rFonts w:ascii="Times New Roman" w:cs="Times New Roman" w:eastAsia="Times New Roman" w:hAnsi="Times New Roman"/>
          <w:sz w:val="16"/>
          <w:szCs w:val="16"/>
          <w:color w:val="auto"/>
        </w:rPr>
      </w:pPr>
    </w:p>
    <w:p>
      <w:pPr>
        <w:ind w:left="5580" w:hanging="89"/>
        <w:spacing w:after="0"/>
        <w:tabs>
          <w:tab w:leader="none" w:pos="558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31" w:right="319" w:bottom="1440" w:gutter="0" w:footer="0" w:header="0"/>
        </w:sectPr>
      </w:pPr>
    </w:p>
    <w:bookmarkStart w:id="26" w:name="page27"/>
    <w:bookmarkEnd w:id="26"/>
    <w:p>
      <w:pPr>
        <w:ind w:left="380" w:hanging="351"/>
        <w:spacing w:after="0"/>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reduction in the Participant’s Base Salary as in effect immediately prior to a Change in Control;</w:t>
      </w:r>
    </w:p>
    <w:p>
      <w:pPr>
        <w:spacing w:after="0" w:line="200" w:lineRule="exact"/>
        <w:rPr>
          <w:rFonts w:ascii="Times New Roman" w:cs="Times New Roman" w:eastAsia="Times New Roman" w:hAnsi="Times New Roman"/>
          <w:sz w:val="16"/>
          <w:szCs w:val="16"/>
          <w:color w:val="auto"/>
        </w:rPr>
      </w:pPr>
    </w:p>
    <w:p>
      <w:pPr>
        <w:jc w:val="both"/>
        <w:ind w:left="-540" w:right="20" w:firstLine="569"/>
        <w:spacing w:after="0" w:line="266" w:lineRule="auto"/>
        <w:tabs>
          <w:tab w:leader="none" w:pos="38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reduction in the Participant’s aggregate annual bonus compensation (except for across the board reductions similarly affecting all individuals having a similar level of authority and responsibility with the Company and its Affiliates and all individuals having a similar level of authority and responsibility with any Person in control of the Company);</w:t>
      </w:r>
    </w:p>
    <w:p>
      <w:pPr>
        <w:spacing w:after="0" w:line="157" w:lineRule="exact"/>
        <w:rPr>
          <w:rFonts w:ascii="Times New Roman" w:cs="Times New Roman" w:eastAsia="Times New Roman" w:hAnsi="Times New Roman"/>
          <w:sz w:val="16"/>
          <w:szCs w:val="16"/>
          <w:color w:val="auto"/>
        </w:rPr>
      </w:pPr>
    </w:p>
    <w:p>
      <w:pPr>
        <w:ind w:left="380" w:hanging="351"/>
        <w:spacing w:after="0"/>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reduction in the employee benefits provided to the Participant immediately prior to the Change in Control;</w:t>
      </w:r>
    </w:p>
    <w:p>
      <w:pPr>
        <w:spacing w:after="0" w:line="200" w:lineRule="exact"/>
        <w:rPr>
          <w:rFonts w:ascii="Times New Roman" w:cs="Times New Roman" w:eastAsia="Times New Roman" w:hAnsi="Times New Roman"/>
          <w:sz w:val="16"/>
          <w:szCs w:val="16"/>
          <w:color w:val="auto"/>
        </w:rPr>
      </w:pPr>
    </w:p>
    <w:p>
      <w:pPr>
        <w:jc w:val="both"/>
        <w:ind w:left="-540" w:right="20" w:firstLine="569"/>
        <w:spacing w:after="0" w:line="258" w:lineRule="auto"/>
        <w:tabs>
          <w:tab w:leader="none" w:pos="41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by the Company or an Affiliate to continue in effect any compensation plan in which the Participant participates immediately prior to the Change in Control which is material to the Participant’s total compensation, unless an equitable arrangement (embodied in an ongoing substitute or alternative plan) has been made with respect to such plan, or the failure by the Company or an Affiliate to continue the Participant’s participation therein (or in such substitute or alternative plan) on a basis not materially less favorable, both in terms of the amount or timing of payment of benefits provided and the level of the Participant’s participation relative to other participants, as existed immediately prior to the Change in Control;</w:t>
      </w:r>
    </w:p>
    <w:p>
      <w:pPr>
        <w:spacing w:after="0" w:line="164" w:lineRule="exact"/>
        <w:rPr>
          <w:rFonts w:ascii="Times New Roman" w:cs="Times New Roman" w:eastAsia="Times New Roman" w:hAnsi="Times New Roman"/>
          <w:sz w:val="16"/>
          <w:szCs w:val="16"/>
          <w:color w:val="auto"/>
        </w:rPr>
      </w:pPr>
    </w:p>
    <w:p>
      <w:pPr>
        <w:jc w:val="both"/>
        <w:ind w:left="-540" w:right="20" w:firstLine="569"/>
        <w:spacing w:after="0" w:line="255" w:lineRule="auto"/>
        <w:tabs>
          <w:tab w:leader="none" w:pos="38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by the Company or an Affiliate to continue to provide the Participant with benefits substantially similar to those enjoyed by the Participant under any of the Company’s pension, savings, retirement, stock ownership, life insurance, medical, health and accident, or disability plans in which the Participant was participating immediately prior to the Change in Control (except for across the board changes similarly affecting all individuals having a similar level of authority and responsibility with the Company and its Affiliates and all individuals having a similar level of authority and responsibility with any Person in control of the Company), the taking of any other action by the Company or an Affiliate which would directly or indirectly materially reduce any of such benefits or deprive the Participant of any material fringe benefit enjoyed by the Participant at the time of the Change in Control, or the failure by the Company or an Affiliate to provide the Participant with the number of paid vacation days to which the Participant is entitled on the basis of years of service with the Company in accordance with the Company’s normal vacation policy in effect immediately prior to the time of the Change in Control;</w:t>
      </w:r>
    </w:p>
    <w:p>
      <w:pPr>
        <w:spacing w:after="0" w:line="165" w:lineRule="exact"/>
        <w:rPr>
          <w:rFonts w:ascii="Times New Roman" w:cs="Times New Roman" w:eastAsia="Times New Roman" w:hAnsi="Times New Roman"/>
          <w:sz w:val="16"/>
          <w:szCs w:val="16"/>
          <w:color w:val="auto"/>
        </w:rPr>
      </w:pPr>
    </w:p>
    <w:p>
      <w:pPr>
        <w:ind w:left="-540" w:firstLine="569"/>
        <w:spacing w:after="0" w:line="282" w:lineRule="auto"/>
        <w:tabs>
          <w:tab w:leader="none" w:pos="40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relocation of the Participant’s principal place of employment by more than 25 miles from the Participant’s then current principal place of employment (provided that such relocation results in an increase to the Participant’s daily commute); or</w:t>
      </w:r>
    </w:p>
    <w:p>
      <w:pPr>
        <w:spacing w:after="0" w:line="144" w:lineRule="exact"/>
        <w:rPr>
          <w:rFonts w:ascii="Times New Roman" w:cs="Times New Roman" w:eastAsia="Times New Roman" w:hAnsi="Times New Roman"/>
          <w:sz w:val="16"/>
          <w:szCs w:val="16"/>
          <w:color w:val="auto"/>
        </w:rPr>
      </w:pPr>
    </w:p>
    <w:p>
      <w:pPr>
        <w:ind w:left="4460" w:hanging="89"/>
        <w:spacing w:after="0"/>
        <w:tabs>
          <w:tab w:leader="none" w:pos="446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76835</wp:posOffset>
            </wp:positionV>
            <wp:extent cx="714756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140"/>
          </w:cols>
          <w:pgMar w:left="1440" w:top="531" w:right="319" w:bottom="1440" w:gutter="0" w:footer="0" w:header="0"/>
        </w:sectPr>
      </w:pPr>
    </w:p>
    <w:bookmarkStart w:id="27" w:name="page28"/>
    <w:bookmarkEnd w:id="27"/>
    <w:p>
      <w:pPr>
        <w:ind w:left="580" w:firstLine="569"/>
        <w:spacing w:after="0" w:line="282" w:lineRule="auto"/>
        <w:tabs>
          <w:tab w:leader="none" w:pos="155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purported termination of the Participant’s employment which is not effected pursuant to a Notice of Termination satisfying the requirements of Section 4.2 hereof;</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provided that (i) the Participant provides written notice of any such change, reduction or requirement upon which the Participant intends to rely as the basis for a Good Reason termination to the Company, or its successor, within 90 days of the occurrence of such change, reduction or requirement, (ii) the Company, or its successor, fails to remedy the condition constituting such change, reduction or requirement within 30 days following receipt of the Participant’s notice, and (iii) the Participant terminates his or her employment within 120 days following the occurrence of such change, reduction or requirement.</w:t>
      </w:r>
    </w:p>
    <w:p>
      <w:pPr>
        <w:spacing w:after="0" w:line="157"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2.19</w:t>
      </w:r>
      <w:r>
        <w:rPr>
          <w:sz w:val="20"/>
          <w:szCs w:val="20"/>
          <w:color w:val="auto"/>
        </w:rPr>
        <w:tab/>
      </w:r>
      <w:r>
        <w:rPr>
          <w:rFonts w:ascii="Times New Roman" w:cs="Times New Roman" w:eastAsia="Times New Roman" w:hAnsi="Times New Roman"/>
          <w:sz w:val="15"/>
          <w:szCs w:val="15"/>
          <w:b w:val="1"/>
          <w:bCs w:val="1"/>
          <w:i w:val="1"/>
          <w:iCs w:val="1"/>
          <w:color w:val="auto"/>
        </w:rPr>
        <w:t>“Incumbent Director</w:t>
      </w:r>
      <w:r>
        <w:rPr>
          <w:rFonts w:ascii="Times New Roman" w:cs="Times New Roman" w:eastAsia="Times New Roman" w:hAnsi="Times New Roman"/>
          <w:sz w:val="15"/>
          <w:szCs w:val="15"/>
          <w:color w:val="auto"/>
        </w:rPr>
        <w:t>” means:</w:t>
      </w:r>
    </w:p>
    <w:p>
      <w:pPr>
        <w:spacing w:after="0" w:line="204" w:lineRule="exact"/>
        <w:rPr>
          <w:sz w:val="20"/>
          <w:szCs w:val="20"/>
          <w:color w:val="auto"/>
        </w:rPr>
      </w:pPr>
    </w:p>
    <w:p>
      <w:pPr>
        <w:ind w:left="1480" w:hanging="331"/>
        <w:spacing w:after="0"/>
        <w:tabs>
          <w:tab w:leader="none" w:pos="1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member of the Board on the Effective Date; or</w:t>
      </w:r>
    </w:p>
    <w:p>
      <w:pPr>
        <w:spacing w:after="0" w:line="200" w:lineRule="exact"/>
        <w:rPr>
          <w:rFonts w:ascii="Times New Roman" w:cs="Times New Roman" w:eastAsia="Times New Roman" w:hAnsi="Times New Roman"/>
          <w:sz w:val="16"/>
          <w:szCs w:val="16"/>
          <w:color w:val="auto"/>
        </w:rPr>
      </w:pPr>
    </w:p>
    <w:p>
      <w:pPr>
        <w:ind w:left="1500" w:hanging="351"/>
        <w:spacing w:after="0"/>
        <w:tabs>
          <w:tab w:leader="none" w:pos="1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w:t>
      </w:r>
    </w:p>
    <w:p>
      <w:pPr>
        <w:spacing w:after="0" w:line="200" w:lineRule="exact"/>
        <w:rPr>
          <w:rFonts w:ascii="Times New Roman" w:cs="Times New Roman" w:eastAsia="Times New Roman" w:hAnsi="Times New Roman"/>
          <w:sz w:val="16"/>
          <w:szCs w:val="16"/>
          <w:color w:val="auto"/>
        </w:rPr>
      </w:pPr>
    </w:p>
    <w:p>
      <w:pPr>
        <w:ind w:left="2040" w:hanging="314"/>
        <w:spacing w:after="0"/>
        <w:tabs>
          <w:tab w:leader="none" w:pos="204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 becomes a member of the Board after the Effective Date;</w:t>
      </w:r>
    </w:p>
    <w:p>
      <w:pPr>
        <w:spacing w:after="0" w:line="200" w:lineRule="exact"/>
        <w:rPr>
          <w:rFonts w:ascii="Times New Roman" w:cs="Times New Roman" w:eastAsia="Times New Roman" w:hAnsi="Times New Roman"/>
          <w:sz w:val="16"/>
          <w:szCs w:val="16"/>
          <w:color w:val="auto"/>
        </w:rPr>
      </w:pPr>
    </w:p>
    <w:p>
      <w:pPr>
        <w:ind w:left="1140" w:firstLine="586"/>
        <w:spacing w:after="0" w:line="282" w:lineRule="auto"/>
        <w:tabs>
          <w:tab w:leader="none" w:pos="2076"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whose appointment or election by the Board or nomination for election by the Company’s stockholders is approved or recommended by a vote of at least two-thirds of the then serving Incumbent Directors (as defined herein); and</w:t>
      </w:r>
    </w:p>
    <w:p>
      <w:pPr>
        <w:spacing w:after="0" w:line="144" w:lineRule="exact"/>
        <w:rPr>
          <w:rFonts w:ascii="Times New Roman" w:cs="Times New Roman" w:eastAsia="Times New Roman" w:hAnsi="Times New Roman"/>
          <w:sz w:val="16"/>
          <w:szCs w:val="16"/>
          <w:color w:val="auto"/>
        </w:rPr>
      </w:pPr>
    </w:p>
    <w:p>
      <w:pPr>
        <w:ind w:left="2120" w:hanging="394"/>
        <w:spacing w:after="0"/>
        <w:tabs>
          <w:tab w:leader="none" w:pos="21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whose initial assumption of service on the Board is not in connection with an actual or threatened election contest.</w:t>
      </w:r>
    </w:p>
    <w:p>
      <w:pPr>
        <w:spacing w:after="0" w:line="196"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2.20</w:t>
      </w:r>
      <w:r>
        <w:rPr>
          <w:sz w:val="20"/>
          <w:szCs w:val="20"/>
          <w:color w:val="auto"/>
        </w:rPr>
        <w:tab/>
      </w:r>
      <w:r>
        <w:rPr>
          <w:rFonts w:ascii="Times New Roman" w:cs="Times New Roman" w:eastAsia="Times New Roman" w:hAnsi="Times New Roman"/>
          <w:sz w:val="15"/>
          <w:szCs w:val="15"/>
          <w:b w:val="1"/>
          <w:bCs w:val="1"/>
          <w:i w:val="1"/>
          <w:iCs w:val="1"/>
          <w:color w:val="auto"/>
        </w:rPr>
        <w:t>“Involuntary Termination</w:t>
      </w:r>
      <w:r>
        <w:rPr>
          <w:rFonts w:ascii="Times New Roman" w:cs="Times New Roman" w:eastAsia="Times New Roman" w:hAnsi="Times New Roman"/>
          <w:sz w:val="15"/>
          <w:szCs w:val="15"/>
          <w:color w:val="auto"/>
        </w:rPr>
        <w:t>” shall have the meaning set forth in Section 4.1,</w:t>
      </w:r>
    </w:p>
    <w:p>
      <w:pPr>
        <w:spacing w:after="0" w:line="200"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2.21</w:t>
      </w:r>
      <w:r>
        <w:rPr>
          <w:sz w:val="20"/>
          <w:szCs w:val="20"/>
          <w:color w:val="auto"/>
        </w:rPr>
        <w:tab/>
      </w:r>
      <w:r>
        <w:rPr>
          <w:rFonts w:ascii="Times New Roman" w:cs="Times New Roman" w:eastAsia="Times New Roman" w:hAnsi="Times New Roman"/>
          <w:sz w:val="15"/>
          <w:szCs w:val="15"/>
          <w:b w:val="1"/>
          <w:bCs w:val="1"/>
          <w:i w:val="1"/>
          <w:iCs w:val="1"/>
          <w:color w:val="auto"/>
        </w:rPr>
        <w:t>“Merger</w:t>
      </w:r>
      <w:r>
        <w:rPr>
          <w:rFonts w:ascii="Times New Roman" w:cs="Times New Roman" w:eastAsia="Times New Roman" w:hAnsi="Times New Roman"/>
          <w:sz w:val="15"/>
          <w:szCs w:val="15"/>
          <w:color w:val="auto"/>
        </w:rPr>
        <w:t>” means a merger, consolidation or similar transaction.</w:t>
      </w:r>
    </w:p>
    <w:p>
      <w:pPr>
        <w:spacing w:after="0" w:line="200" w:lineRule="exact"/>
        <w:rPr>
          <w:sz w:val="20"/>
          <w:szCs w:val="20"/>
          <w:color w:val="auto"/>
        </w:rPr>
      </w:pPr>
    </w:p>
    <w:p>
      <w:pPr>
        <w:jc w:val="both"/>
        <w:ind w:firstLine="577"/>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2.22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means an officer or key management employee of the Company who is and remains eligible to participate in the Plan under the provisions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Section 3, has been designated by the Administrator to participate in the Plan and has timely and properly executed and delivered a Participation Agreement to the Company.</w:t>
      </w:r>
    </w:p>
    <w:p>
      <w:pPr>
        <w:spacing w:after="0" w:line="135" w:lineRule="exact"/>
        <w:rPr>
          <w:sz w:val="20"/>
          <w:szCs w:val="20"/>
          <w:color w:val="auto"/>
        </w:rPr>
      </w:pPr>
    </w:p>
    <w:p>
      <w:pPr>
        <w:jc w:val="both"/>
        <w:ind w:firstLine="577"/>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2.23 </w:t>
      </w:r>
      <w:r>
        <w:rPr>
          <w:rFonts w:ascii="Times New Roman" w:cs="Times New Roman" w:eastAsia="Times New Roman" w:hAnsi="Times New Roman"/>
          <w:sz w:val="16"/>
          <w:szCs w:val="16"/>
          <w:b w:val="1"/>
          <w:bCs w:val="1"/>
          <w:i w:val="1"/>
          <w:iCs w:val="1"/>
          <w:color w:val="auto"/>
        </w:rPr>
        <w:t>“Participation Agreement</w:t>
      </w:r>
      <w:r>
        <w:rPr>
          <w:rFonts w:ascii="Times New Roman" w:cs="Times New Roman" w:eastAsia="Times New Roman" w:hAnsi="Times New Roman"/>
          <w:sz w:val="16"/>
          <w:szCs w:val="16"/>
          <w:color w:val="auto"/>
        </w:rPr>
        <w:t>” means an agreement in the form prescribed by the Administrator designating the Participant as eligible to participate in the Plan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under which the Participant accepts the terms and conditions of the Plan.</w:t>
      </w:r>
    </w:p>
    <w:p>
      <w:pPr>
        <w:spacing w:after="0" w:line="135" w:lineRule="exact"/>
        <w:rPr>
          <w:sz w:val="20"/>
          <w:szCs w:val="20"/>
          <w:color w:val="auto"/>
        </w:rPr>
      </w:pPr>
    </w:p>
    <w:p>
      <w:pPr>
        <w:jc w:val="both"/>
        <w:ind w:firstLine="577"/>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2.24 </w:t>
      </w:r>
      <w:r>
        <w:rPr>
          <w:rFonts w:ascii="Times New Roman" w:cs="Times New Roman" w:eastAsia="Times New Roman" w:hAnsi="Times New Roman"/>
          <w:sz w:val="16"/>
          <w:szCs w:val="16"/>
          <w:b w:val="1"/>
          <w:bCs w:val="1"/>
          <w:i w:val="1"/>
          <w:iCs w:val="1"/>
          <w:color w:val="auto"/>
        </w:rPr>
        <w:t>“Person</w:t>
      </w:r>
      <w:r>
        <w:rPr>
          <w:rFonts w:ascii="Times New Roman" w:cs="Times New Roman" w:eastAsia="Times New Roman" w:hAnsi="Times New Roman"/>
          <w:sz w:val="16"/>
          <w:szCs w:val="16"/>
          <w:color w:val="auto"/>
        </w:rPr>
        <w:t>” shall have the meaning ascribed to the term in Section 3(a)(9) of the Exchange Act and used in Sections 13(d) and 14(d) thereof, including a “group”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defined in Section 13(d) thereof, except that the term shall not include (a) the Company or any of its Affiliates, (b) a trustee or other fiduciary holding Company securities under an employee benefit plan of the Company or any of its Affiliates, (c) an underwriter temporarily holding securities pursuant to an offering of those securities or (d) a corporation owned, directly or indirectly, by the stockholders of the Company in substantially the same proportions as their ownership of stock of the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8" w:name="page29"/>
    <w:bookmarkEnd w:id="28"/>
    <w:p>
      <w:pPr>
        <w:jc w:val="both"/>
        <w:ind w:firstLine="577"/>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2.25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means the Friedman Industries, Incorporated Key Employee Change in Control Severance Plan, as set forth herein and as it may hereafter be amended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time to time.</w:t>
      </w:r>
    </w:p>
    <w:p>
      <w:pPr>
        <w:spacing w:after="0" w:line="135" w:lineRule="exact"/>
        <w:rPr>
          <w:sz w:val="20"/>
          <w:szCs w:val="20"/>
          <w:color w:val="auto"/>
        </w:rPr>
      </w:pPr>
    </w:p>
    <w:p>
      <w:pPr>
        <w:jc w:val="both"/>
        <w:ind w:right="20" w:firstLine="577"/>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2.26 </w:t>
      </w:r>
      <w:r>
        <w:rPr>
          <w:rFonts w:ascii="Times New Roman" w:cs="Times New Roman" w:eastAsia="Times New Roman" w:hAnsi="Times New Roman"/>
          <w:sz w:val="16"/>
          <w:szCs w:val="16"/>
          <w:b w:val="1"/>
          <w:bCs w:val="1"/>
          <w:i w:val="1"/>
          <w:iCs w:val="1"/>
          <w:color w:val="auto"/>
        </w:rPr>
        <w:t>“Pro-Rata Bonus</w:t>
      </w:r>
      <w:r>
        <w:rPr>
          <w:rFonts w:ascii="Times New Roman" w:cs="Times New Roman" w:eastAsia="Times New Roman" w:hAnsi="Times New Roman"/>
          <w:sz w:val="16"/>
          <w:szCs w:val="16"/>
          <w:color w:val="auto"/>
        </w:rPr>
        <w:t>” means a pro rata bonus equal to the amount of the Participant’s Average Annual Bonus described in Section 2.4 multiplied by a fraction,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numerator of which is the number of calendar days, in the year with respect to which such pro rata bonus is to be determined, that the Participant was employed by the Company Group and the denominator of which is three hundred sixty-five (365).</w:t>
      </w:r>
    </w:p>
    <w:p>
      <w:pPr>
        <w:spacing w:after="0" w:line="150"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2.27</w:t>
      </w:r>
      <w:r>
        <w:rPr>
          <w:sz w:val="20"/>
          <w:szCs w:val="20"/>
          <w:color w:val="auto"/>
        </w:rPr>
        <w:tab/>
      </w:r>
      <w:r>
        <w:rPr>
          <w:rFonts w:ascii="Times New Roman" w:cs="Times New Roman" w:eastAsia="Times New Roman" w:hAnsi="Times New Roman"/>
          <w:sz w:val="15"/>
          <w:szCs w:val="15"/>
          <w:b w:val="1"/>
          <w:bCs w:val="1"/>
          <w:i w:val="1"/>
          <w:iCs w:val="1"/>
          <w:color w:val="auto"/>
        </w:rPr>
        <w:t>“Section 409A</w:t>
      </w:r>
      <w:r>
        <w:rPr>
          <w:rFonts w:ascii="Times New Roman" w:cs="Times New Roman" w:eastAsia="Times New Roman" w:hAnsi="Times New Roman"/>
          <w:sz w:val="15"/>
          <w:szCs w:val="15"/>
          <w:color w:val="auto"/>
        </w:rPr>
        <w:t>” means section 409A of the Code and the Department of Treasury rules and regulations issued thereunder.</w:t>
      </w:r>
    </w:p>
    <w:p>
      <w:pPr>
        <w:spacing w:after="0" w:line="200" w:lineRule="exact"/>
        <w:rPr>
          <w:sz w:val="20"/>
          <w:szCs w:val="20"/>
          <w:color w:val="auto"/>
        </w:rPr>
      </w:pPr>
    </w:p>
    <w:p>
      <w:pPr>
        <w:jc w:val="both"/>
        <w:ind w:right="20" w:firstLine="577"/>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2.28 </w:t>
      </w:r>
      <w:r>
        <w:rPr>
          <w:rFonts w:ascii="Times New Roman" w:cs="Times New Roman" w:eastAsia="Times New Roman" w:hAnsi="Times New Roman"/>
          <w:sz w:val="16"/>
          <w:szCs w:val="16"/>
          <w:b w:val="1"/>
          <w:bCs w:val="1"/>
          <w:i w:val="1"/>
          <w:iCs w:val="1"/>
          <w:color w:val="auto"/>
        </w:rPr>
        <w:t>“Severance Benefits</w:t>
      </w:r>
      <w:r>
        <w:rPr>
          <w:rFonts w:ascii="Times New Roman" w:cs="Times New Roman" w:eastAsia="Times New Roman" w:hAnsi="Times New Roman"/>
          <w:sz w:val="16"/>
          <w:szCs w:val="16"/>
          <w:color w:val="auto"/>
        </w:rPr>
        <w:t>” means the compensation and other benefits that the Participant will be provided in the circumstances described in Section 4 or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set forth in the Participant’s Participation Agreement.</w:t>
      </w:r>
    </w:p>
    <w:p>
      <w:pPr>
        <w:spacing w:after="0" w:line="135"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2.29</w:t>
      </w:r>
      <w:r>
        <w:rPr>
          <w:sz w:val="20"/>
          <w:szCs w:val="20"/>
          <w:color w:val="auto"/>
        </w:rPr>
        <w:tab/>
      </w:r>
      <w:r>
        <w:rPr>
          <w:rFonts w:ascii="Times New Roman" w:cs="Times New Roman" w:eastAsia="Times New Roman" w:hAnsi="Times New Roman"/>
          <w:sz w:val="15"/>
          <w:szCs w:val="15"/>
          <w:b w:val="1"/>
          <w:bCs w:val="1"/>
          <w:i w:val="1"/>
          <w:iCs w:val="1"/>
          <w:color w:val="auto"/>
        </w:rPr>
        <w:t>“Severance Multiplier</w:t>
      </w:r>
      <w:r>
        <w:rPr>
          <w:rFonts w:ascii="Times New Roman" w:cs="Times New Roman" w:eastAsia="Times New Roman" w:hAnsi="Times New Roman"/>
          <w:sz w:val="15"/>
          <w:szCs w:val="15"/>
          <w:color w:val="auto"/>
        </w:rPr>
        <w:t>” means, for a Participant, the amount set forth in the last column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next to such Participant’s name and position.</w:t>
      </w:r>
    </w:p>
    <w:p>
      <w:pPr>
        <w:spacing w:after="0" w:line="200"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2.30</w:t>
      </w:r>
      <w:r>
        <w:rPr>
          <w:sz w:val="20"/>
          <w:szCs w:val="20"/>
          <w:color w:val="auto"/>
        </w:rPr>
        <w:tab/>
      </w:r>
      <w:r>
        <w:rPr>
          <w:rFonts w:ascii="Times New Roman" w:cs="Times New Roman" w:eastAsia="Times New Roman" w:hAnsi="Times New Roman"/>
          <w:sz w:val="15"/>
          <w:szCs w:val="15"/>
          <w:b w:val="1"/>
          <w:bCs w:val="1"/>
          <w:i w:val="1"/>
          <w:iCs w:val="1"/>
          <w:color w:val="auto"/>
        </w:rPr>
        <w:t>“Specified Owner</w:t>
      </w:r>
      <w:r>
        <w:rPr>
          <w:rFonts w:ascii="Times New Roman" w:cs="Times New Roman" w:eastAsia="Times New Roman" w:hAnsi="Times New Roman"/>
          <w:sz w:val="15"/>
          <w:szCs w:val="15"/>
          <w:color w:val="auto"/>
        </w:rPr>
        <w:t>” means any of the following:</w:t>
      </w:r>
    </w:p>
    <w:p>
      <w:pPr>
        <w:spacing w:after="0" w:line="204" w:lineRule="exact"/>
        <w:rPr>
          <w:sz w:val="20"/>
          <w:szCs w:val="20"/>
          <w:color w:val="auto"/>
        </w:rPr>
      </w:pPr>
    </w:p>
    <w:p>
      <w:pPr>
        <w:ind w:left="1480" w:hanging="331"/>
        <w:spacing w:after="0"/>
        <w:tabs>
          <w:tab w:leader="none" w:pos="1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w:t>
      </w:r>
    </w:p>
    <w:p>
      <w:pPr>
        <w:spacing w:after="0" w:line="200" w:lineRule="exact"/>
        <w:rPr>
          <w:rFonts w:ascii="Times New Roman" w:cs="Times New Roman" w:eastAsia="Times New Roman" w:hAnsi="Times New Roman"/>
          <w:sz w:val="16"/>
          <w:szCs w:val="16"/>
          <w:color w:val="auto"/>
        </w:rPr>
      </w:pPr>
    </w:p>
    <w:p>
      <w:pPr>
        <w:ind w:left="1500" w:hanging="351"/>
        <w:spacing w:after="0"/>
        <w:tabs>
          <w:tab w:leader="none" w:pos="15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Affiliate of the Company;</w:t>
      </w:r>
    </w:p>
    <w:p>
      <w:pPr>
        <w:spacing w:after="0" w:line="200" w:lineRule="exact"/>
        <w:rPr>
          <w:rFonts w:ascii="Times New Roman" w:cs="Times New Roman" w:eastAsia="Times New Roman" w:hAnsi="Times New Roman"/>
          <w:sz w:val="16"/>
          <w:szCs w:val="16"/>
          <w:color w:val="auto"/>
        </w:rPr>
      </w:pPr>
    </w:p>
    <w:p>
      <w:pPr>
        <w:ind w:left="1480" w:hanging="331"/>
        <w:spacing w:after="0"/>
        <w:tabs>
          <w:tab w:leader="none" w:pos="1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employee benefit plan (or related trust) sponsored or maintained by the Company or any Affiliate of the Company;</w:t>
      </w:r>
    </w:p>
    <w:p>
      <w:pPr>
        <w:spacing w:after="0" w:line="200" w:lineRule="exact"/>
        <w:rPr>
          <w:rFonts w:ascii="Times New Roman" w:cs="Times New Roman" w:eastAsia="Times New Roman" w:hAnsi="Times New Roman"/>
          <w:sz w:val="16"/>
          <w:szCs w:val="16"/>
          <w:color w:val="auto"/>
        </w:rPr>
      </w:pPr>
    </w:p>
    <w:p>
      <w:pPr>
        <w:ind w:left="580" w:right="20" w:firstLine="569"/>
        <w:spacing w:after="0" w:line="282" w:lineRule="auto"/>
        <w:tabs>
          <w:tab w:leader="none" w:pos="155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that becomes a Beneficial Owner of the Company’s outstanding Voting Securities representing 30 percent or more of the combined voting power of the Company’s then outstanding Voting Securities as a result of the acquisition of securities directly from the Company and/or its Affiliates; or</w:t>
      </w:r>
    </w:p>
    <w:p>
      <w:pPr>
        <w:spacing w:after="0" w:line="144" w:lineRule="exact"/>
        <w:rPr>
          <w:rFonts w:ascii="Times New Roman" w:cs="Times New Roman" w:eastAsia="Times New Roman" w:hAnsi="Times New Roman"/>
          <w:sz w:val="16"/>
          <w:szCs w:val="16"/>
          <w:color w:val="auto"/>
        </w:rPr>
      </w:pPr>
    </w:p>
    <w:p>
      <w:pPr>
        <w:jc w:val="both"/>
        <w:ind w:left="580" w:firstLine="569"/>
        <w:spacing w:after="0" w:line="258" w:lineRule="auto"/>
        <w:tabs>
          <w:tab w:leader="none" w:pos="154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that becomes a Beneficial Owner of the Company’s outstanding Voting Securities representing 30 percent or more of the combined voting power of the Company’s then outstanding Voting Securities as a result of a Merger if the individuals and Entities who were the Beneficial Owners of the Voting Securities of the Company outstanding immediately prior to such Merger own, directly or indirectly, at least 50 percent of the combined voting power of the Voting Securities of any of the Company, the surviving Entity or the Company of the surviving Entity outstanding immediately after such Merger in substantially the same proportions as their ownership of the Voting Securities of the Company outstanding immediately prior to such Merger.</w:t>
      </w:r>
    </w:p>
    <w:p>
      <w:pPr>
        <w:spacing w:after="0" w:line="160"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2.31</w:t>
      </w:r>
      <w:r>
        <w:rPr>
          <w:sz w:val="20"/>
          <w:szCs w:val="20"/>
          <w:color w:val="auto"/>
        </w:rPr>
        <w:tab/>
      </w:r>
      <w:r>
        <w:rPr>
          <w:rFonts w:ascii="Times New Roman" w:cs="Times New Roman" w:eastAsia="Times New Roman" w:hAnsi="Times New Roman"/>
          <w:sz w:val="15"/>
          <w:szCs w:val="15"/>
          <w:b w:val="1"/>
          <w:bCs w:val="1"/>
          <w:i w:val="1"/>
          <w:iCs w:val="1"/>
          <w:color w:val="auto"/>
        </w:rPr>
        <w:t>“Voting Securities</w:t>
      </w:r>
      <w:r>
        <w:rPr>
          <w:rFonts w:ascii="Times New Roman" w:cs="Times New Roman" w:eastAsia="Times New Roman" w:hAnsi="Times New Roman"/>
          <w:sz w:val="15"/>
          <w:szCs w:val="15"/>
          <w:color w:val="auto"/>
        </w:rPr>
        <w:t>” means the outstanding securities entitled to vote generally in the election of directors or other governing body.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27" w:right="319" w:bottom="1440" w:gutter="0" w:footer="0" w:header="0"/>
        </w:sectPr>
      </w:pPr>
    </w:p>
    <w:bookmarkStart w:id="29" w:name="page30"/>
    <w:bookmarkEnd w:id="29"/>
    <w:p>
      <w:pPr>
        <w:ind w:left="584" w:hanging="584"/>
        <w:spacing w:after="0"/>
        <w:tabs>
          <w:tab w:leader="none" w:pos="584"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ELIGIBILITY</w:t>
      </w:r>
    </w:p>
    <w:p>
      <w:pPr>
        <w:spacing w:after="0" w:line="200" w:lineRule="exact"/>
        <w:rPr>
          <w:sz w:val="20"/>
          <w:szCs w:val="20"/>
          <w:color w:val="auto"/>
        </w:rPr>
      </w:pPr>
    </w:p>
    <w:p>
      <w:pPr>
        <w:jc w:val="both"/>
        <w:ind w:left="4" w:firstLine="577"/>
        <w:spacing w:after="0" w:line="256" w:lineRule="auto"/>
        <w:rPr>
          <w:sz w:val="20"/>
          <w:szCs w:val="20"/>
          <w:color w:val="auto"/>
        </w:rPr>
      </w:pPr>
      <w:r>
        <w:rPr>
          <w:rFonts w:ascii="Times New Roman" w:cs="Times New Roman" w:eastAsia="Times New Roman" w:hAnsi="Times New Roman"/>
          <w:sz w:val="16"/>
          <w:szCs w:val="16"/>
          <w:b w:val="1"/>
          <w:bCs w:val="1"/>
          <w:color w:val="auto"/>
        </w:rPr>
        <w:t>3.1 Eligibility to Participate in the Plan</w:t>
      </w:r>
      <w:r>
        <w:rPr>
          <w:rFonts w:ascii="Times New Roman" w:cs="Times New Roman" w:eastAsia="Times New Roman" w:hAnsi="Times New Roman"/>
          <w:sz w:val="16"/>
          <w:szCs w:val="16"/>
          <w:color w:val="auto"/>
        </w:rPr>
        <w:t>. An officer or other key management employee of the Company is eligible to participate in the Plan if such individual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designated by the Administrator to participate in the Plan and is included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as a Participant, as such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may be amended from time to time by the Administrator. The Participants shall be limited to a select group of management or highly compensated employees within the meaning of Sections 201, 301, and 404 of ERISA. Notwithstanding any other provision of the Plan, an employee of the Company shall not be eligible to participate in the Plan if there is in effect an individual severance agreement (including but not limited to any employment agreement that provides for severance benefits) or change in control agreement between the employee and the Company. A Participant shall cease to be a Participant if his or her employment terminates in any manner that does not qualify as an Involuntary Termination or as provided in Section 3.3.</w:t>
      </w:r>
    </w:p>
    <w:p>
      <w:pPr>
        <w:spacing w:after="0" w:line="164" w:lineRule="exact"/>
        <w:rPr>
          <w:sz w:val="20"/>
          <w:szCs w:val="20"/>
          <w:color w:val="auto"/>
        </w:rPr>
      </w:pPr>
    </w:p>
    <w:p>
      <w:pPr>
        <w:jc w:val="both"/>
        <w:ind w:left="4" w:firstLine="577"/>
        <w:spacing w:after="0" w:line="285" w:lineRule="auto"/>
        <w:rPr>
          <w:sz w:val="20"/>
          <w:szCs w:val="20"/>
          <w:color w:val="auto"/>
        </w:rPr>
      </w:pPr>
      <w:r>
        <w:rPr>
          <w:rFonts w:ascii="Times New Roman" w:cs="Times New Roman" w:eastAsia="Times New Roman" w:hAnsi="Times New Roman"/>
          <w:sz w:val="16"/>
          <w:szCs w:val="16"/>
          <w:b w:val="1"/>
          <w:bCs w:val="1"/>
          <w:color w:val="auto"/>
        </w:rPr>
        <w:t>3.2 Eligibility for Severance Benefits</w:t>
      </w:r>
      <w:r>
        <w:rPr>
          <w:rFonts w:ascii="Times New Roman" w:cs="Times New Roman" w:eastAsia="Times New Roman" w:hAnsi="Times New Roman"/>
          <w:sz w:val="16"/>
          <w:szCs w:val="16"/>
          <w:color w:val="auto"/>
        </w:rPr>
        <w:t>. A Participant is eligible to receive Severance Benefits under the Plan, as described in Section 5, only if he or she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experiences an Involuntary Termination described in Section 4.</w:t>
      </w:r>
    </w:p>
    <w:p>
      <w:pPr>
        <w:spacing w:after="0" w:line="140" w:lineRule="exact"/>
        <w:rPr>
          <w:sz w:val="20"/>
          <w:szCs w:val="20"/>
          <w:color w:val="auto"/>
        </w:rPr>
      </w:pPr>
    </w:p>
    <w:p>
      <w:pPr>
        <w:jc w:val="both"/>
        <w:ind w:left="4" w:firstLine="577"/>
        <w:spacing w:after="0" w:line="259" w:lineRule="auto"/>
        <w:rPr>
          <w:sz w:val="20"/>
          <w:szCs w:val="20"/>
          <w:color w:val="auto"/>
        </w:rPr>
      </w:pPr>
      <w:r>
        <w:rPr>
          <w:rFonts w:ascii="Times New Roman" w:cs="Times New Roman" w:eastAsia="Times New Roman" w:hAnsi="Times New Roman"/>
          <w:sz w:val="16"/>
          <w:szCs w:val="16"/>
          <w:b w:val="1"/>
          <w:bCs w:val="1"/>
          <w:color w:val="auto"/>
        </w:rPr>
        <w:t>3.3 Discontinuance of Participation</w:t>
      </w:r>
      <w:r>
        <w:rPr>
          <w:rFonts w:ascii="Times New Roman" w:cs="Times New Roman" w:eastAsia="Times New Roman" w:hAnsi="Times New Roman"/>
          <w:sz w:val="16"/>
          <w:szCs w:val="16"/>
          <w:color w:val="auto"/>
        </w:rPr>
        <w:t>. Notwithstanding any other provision of the Plan, the Administrator may discontinue an individual’s participation in the Plan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 any time by providing him or her written notice (the “</w:t>
      </w:r>
      <w:r>
        <w:rPr>
          <w:rFonts w:ascii="Times New Roman" w:cs="Times New Roman" w:eastAsia="Times New Roman" w:hAnsi="Times New Roman"/>
          <w:sz w:val="16"/>
          <w:szCs w:val="16"/>
          <w:b w:val="1"/>
          <w:bCs w:val="1"/>
          <w:i w:val="1"/>
          <w:iCs w:val="1"/>
          <w:color w:val="auto"/>
        </w:rPr>
        <w:t>Notice</w:t>
      </w:r>
      <w:r>
        <w:rPr>
          <w:rFonts w:ascii="Times New Roman" w:cs="Times New Roman" w:eastAsia="Times New Roman" w:hAnsi="Times New Roman"/>
          <w:sz w:val="16"/>
          <w:szCs w:val="16"/>
          <w:color w:val="auto"/>
        </w:rPr>
        <w:t>”) that he shall no longer participate in the Plan, provided, however, that a Change in Control has not occurred and the discontinuation of the individual’s participation in the Plan is not taken in anticipation of a Change in Control. If a Change in Control occurs within 12 months after the date the Notice is provided then there shall be a rebuttable presumption that the discontinuation of the individual’s participation in the Plan was taken in anticipation of a Change in Control unless the Administrator rebuts such presumption by clear and convincing evidence.</w:t>
      </w:r>
    </w:p>
    <w:p>
      <w:pPr>
        <w:spacing w:after="0" w:line="160" w:lineRule="exact"/>
        <w:rPr>
          <w:sz w:val="20"/>
          <w:szCs w:val="20"/>
          <w:color w:val="auto"/>
        </w:rPr>
      </w:pPr>
    </w:p>
    <w:p>
      <w:pPr>
        <w:ind w:left="584" w:hanging="584"/>
        <w:spacing w:after="0"/>
        <w:tabs>
          <w:tab w:leader="none" w:pos="584"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INVOLUNTARY TERMINATION</w:t>
      </w:r>
    </w:p>
    <w:p>
      <w:pPr>
        <w:spacing w:after="0" w:line="200" w:lineRule="exact"/>
        <w:rPr>
          <w:sz w:val="20"/>
          <w:szCs w:val="20"/>
          <w:color w:val="auto"/>
        </w:rPr>
      </w:pPr>
    </w:p>
    <w:p>
      <w:pPr>
        <w:jc w:val="both"/>
        <w:ind w:left="4" w:firstLine="577"/>
        <w:spacing w:after="0" w:line="255" w:lineRule="auto"/>
        <w:rPr>
          <w:sz w:val="20"/>
          <w:szCs w:val="20"/>
          <w:color w:val="auto"/>
        </w:rPr>
      </w:pPr>
      <w:r>
        <w:rPr>
          <w:rFonts w:ascii="Times New Roman" w:cs="Times New Roman" w:eastAsia="Times New Roman" w:hAnsi="Times New Roman"/>
          <w:sz w:val="16"/>
          <w:szCs w:val="16"/>
          <w:b w:val="1"/>
          <w:bCs w:val="1"/>
          <w:color w:val="auto"/>
        </w:rPr>
        <w:t>4.1 Termination Without Cause or Good Reason Termination During the Change in Control Period</w:t>
      </w:r>
      <w:r>
        <w:rPr>
          <w:rFonts w:ascii="Times New Roman" w:cs="Times New Roman" w:eastAsia="Times New Roman" w:hAnsi="Times New Roman"/>
          <w:sz w:val="16"/>
          <w:szCs w:val="16"/>
          <w:color w:val="auto"/>
        </w:rPr>
        <w:t>. If during the Change in Control Period, (a) a Participant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terminates his or her employment with the Company (or any Affiliate of the Company) for Good Reason, or (b) the Company (or any Affiliate of the Company) terminates the Participant’s employment for a reason other than Cause and other than due to the Participant’s death or long-term disability (such termination of employment described in (a) and (b) is referred to herein as an “</w:t>
      </w:r>
      <w:r>
        <w:rPr>
          <w:rFonts w:ascii="Times New Roman" w:cs="Times New Roman" w:eastAsia="Times New Roman" w:hAnsi="Times New Roman"/>
          <w:sz w:val="16"/>
          <w:szCs w:val="16"/>
          <w:b w:val="1"/>
          <w:bCs w:val="1"/>
          <w:i w:val="1"/>
          <w:iCs w:val="1"/>
          <w:color w:val="auto"/>
        </w:rPr>
        <w:t>Involuntary Termination</w:t>
      </w:r>
      <w:r>
        <w:rPr>
          <w:rFonts w:ascii="Times New Roman" w:cs="Times New Roman" w:eastAsia="Times New Roman" w:hAnsi="Times New Roman"/>
          <w:sz w:val="16"/>
          <w:szCs w:val="16"/>
          <w:color w:val="auto"/>
        </w:rPr>
        <w:t>”), then, subject to the Participant’s compliance with Section 4.3, the Participant will receive the Severance Benefits from the Company as provided in Section 5. For purposes of any determination regarding the existence of Good Reason, any claim by the Participant that Good Reason exists shall be presumed to be correct unless the Company establishes to the Administrator by clear and convincing evidence that Good Reason does not exist. The Administrator’s determination regarding the existence of Good Reason shall be conclusive and binding upon all parties unless the Administrator’s determination is arbitrary and capricious.</w:t>
      </w:r>
    </w:p>
    <w:p>
      <w:pPr>
        <w:spacing w:after="0" w:line="1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756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529" w:right="319" w:bottom="1440" w:gutter="0" w:footer="0" w:header="0"/>
        </w:sectPr>
      </w:pPr>
    </w:p>
    <w:bookmarkStart w:id="30" w:name="page31"/>
    <w:bookmarkEnd w:id="30"/>
    <w:p>
      <w:pPr>
        <w:jc w:val="both"/>
        <w:ind w:firstLine="577"/>
        <w:spacing w:after="0" w:line="253" w:lineRule="auto"/>
        <w:rPr>
          <w:sz w:val="20"/>
          <w:szCs w:val="20"/>
          <w:color w:val="auto"/>
        </w:rPr>
      </w:pPr>
      <w:r>
        <w:rPr>
          <w:rFonts w:ascii="Times New Roman" w:cs="Times New Roman" w:eastAsia="Times New Roman" w:hAnsi="Times New Roman"/>
          <w:sz w:val="16"/>
          <w:szCs w:val="16"/>
          <w:b w:val="1"/>
          <w:bCs w:val="1"/>
          <w:color w:val="auto"/>
        </w:rPr>
        <w:t>4.2 Notice of Termination</w:t>
      </w:r>
      <w:r>
        <w:rPr>
          <w:rFonts w:ascii="Times New Roman" w:cs="Times New Roman" w:eastAsia="Times New Roman" w:hAnsi="Times New Roman"/>
          <w:sz w:val="16"/>
          <w:szCs w:val="16"/>
          <w:color w:val="auto"/>
        </w:rPr>
        <w:t>. After a Change in Control, any purported termination of the Participant’s employment by the Company or an Affiliate or the Participant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communicated by a written Notice of Termination sent in accordance with Section 12.7 hereof. A “</w:t>
      </w:r>
      <w:r>
        <w:rPr>
          <w:rFonts w:ascii="Times New Roman" w:cs="Times New Roman" w:eastAsia="Times New Roman" w:hAnsi="Times New Roman"/>
          <w:sz w:val="16"/>
          <w:szCs w:val="16"/>
          <w:b w:val="1"/>
          <w:bCs w:val="1"/>
          <w:i w:val="1"/>
          <w:iCs w:val="1"/>
          <w:color w:val="auto"/>
        </w:rPr>
        <w:t>Notice of Termination</w:t>
      </w:r>
      <w:r>
        <w:rPr>
          <w:rFonts w:ascii="Times New Roman" w:cs="Times New Roman" w:eastAsia="Times New Roman" w:hAnsi="Times New Roman"/>
          <w:sz w:val="16"/>
          <w:szCs w:val="16"/>
          <w:color w:val="auto"/>
        </w:rPr>
        <w:t>” shall mean a notice which shall indicate the specific termination provision in the Plan relied upon for such termination and shall set forth in reasonable detail the facts and circumstances claimed to provide a basis for termination of the Participant’s employment under the provision so indicated. The Notice of Termination shall set forth the date of any purported termination of the Participant’s employment after the occurrence of a Change in Control (and, in the case of a termination by the Company or an acquirer, shall not be less than thirty (30) days after the date the Notice of Termination is delivered to the Participant). Further, a Notice of Termination for Cause is required to include a copy of a resolution duly adopted by the affirmative vote of not less than three-quarters of the entire membership of the board of directors (or comparable individuals) of the acquirer in the Change in Control transaction at a meeting of such board of directors (or comparable individuals) which was called and held for the purpose of considering such termination (after reasonable notice to the Participant and an opportunity for the Participant, together with the Participant’s counsel, to be heard before such board of directors (or comparable individuals)) finding that, in the good faith opinion of the body, the Participant was guilty of conduct set forth in the definition of Cause, and specifying the particulars thereof in detail. No purported termination of the Participant’s employment by the Company or its successor or an Affiliate of the Company or its successor after a Change in Control shall be effective unless the Company complies with the procedures set forth in this Section 4.2.</w:t>
      </w:r>
    </w:p>
    <w:p>
      <w:pPr>
        <w:spacing w:after="0" w:line="171" w:lineRule="exact"/>
        <w:rPr>
          <w:sz w:val="20"/>
          <w:szCs w:val="20"/>
          <w:color w:val="auto"/>
        </w:rPr>
      </w:pPr>
    </w:p>
    <w:p>
      <w:pPr>
        <w:jc w:val="both"/>
        <w:ind w:firstLine="577"/>
        <w:spacing w:after="0" w:line="233" w:lineRule="auto"/>
        <w:rPr>
          <w:sz w:val="20"/>
          <w:szCs w:val="20"/>
          <w:color w:val="auto"/>
        </w:rPr>
      </w:pPr>
      <w:r>
        <w:rPr>
          <w:rFonts w:ascii="Times New Roman" w:cs="Times New Roman" w:eastAsia="Times New Roman" w:hAnsi="Times New Roman"/>
          <w:sz w:val="16"/>
          <w:szCs w:val="16"/>
          <w:b w:val="1"/>
          <w:bCs w:val="1"/>
          <w:color w:val="auto"/>
        </w:rPr>
        <w:t>4.3 Separation Agreement and Release</w:t>
      </w:r>
      <w:r>
        <w:rPr>
          <w:rFonts w:ascii="Times New Roman" w:cs="Times New Roman" w:eastAsia="Times New Roman" w:hAnsi="Times New Roman"/>
          <w:sz w:val="16"/>
          <w:szCs w:val="16"/>
          <w:color w:val="auto"/>
        </w:rPr>
        <w:t>. As a condition to receiving Severance Benefits under the Plan, a Participant who incurs an Involuntary Termination must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properly execute and deliver to the Administrator, and not revoke, a separation agreement and release of all claims in favor of the Company Group in the form provided by the Administrator to the Participant not later than five (5) business days following the date the Participant incurs an Involuntary Termination (a “</w:t>
      </w:r>
      <w:r>
        <w:rPr>
          <w:rFonts w:ascii="Times New Roman" w:cs="Times New Roman" w:eastAsia="Times New Roman" w:hAnsi="Times New Roman"/>
          <w:sz w:val="16"/>
          <w:szCs w:val="16"/>
          <w:b w:val="1"/>
          <w:bCs w:val="1"/>
          <w:i w:val="1"/>
          <w:iCs w:val="1"/>
          <w:color w:val="auto"/>
        </w:rPr>
        <w:t>Release</w:t>
      </w:r>
      <w:r>
        <w:rPr>
          <w:rFonts w:ascii="Times New Roman" w:cs="Times New Roman" w:eastAsia="Times New Roman" w:hAnsi="Times New Roman"/>
          <w:sz w:val="16"/>
          <w:szCs w:val="16"/>
          <w:color w:val="auto"/>
        </w:rPr>
        <w:t>”), and such Release must become effective and irrevocable no later than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day following the date on which the Participant incurred an Involuntary Termination (such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day is referred to as the “</w:t>
      </w:r>
      <w:r>
        <w:rPr>
          <w:rFonts w:ascii="Times New Roman" w:cs="Times New Roman" w:eastAsia="Times New Roman" w:hAnsi="Times New Roman"/>
          <w:sz w:val="16"/>
          <w:szCs w:val="16"/>
          <w:b w:val="1"/>
          <w:bCs w:val="1"/>
          <w:i w:val="1"/>
          <w:iCs w:val="1"/>
          <w:color w:val="auto"/>
        </w:rPr>
        <w:t>Release Deadline Date</w:t>
      </w:r>
      <w:r>
        <w:rPr>
          <w:rFonts w:ascii="Times New Roman" w:cs="Times New Roman" w:eastAsia="Times New Roman" w:hAnsi="Times New Roman"/>
          <w:sz w:val="16"/>
          <w:szCs w:val="16"/>
          <w:color w:val="auto"/>
        </w:rPr>
        <w:t>”). If the Participant’s Release does not become effective and irrevocable by the Release Deadline Date, the Participant will cease to be a Participant in the Plan and will forfeit all rights and benefits under the Plan including, without limitation, any right to the Severance Benefits that otherwise would be payable under the Plan. In no event will any Severance Benefits be paid or provided to a Participant until the Release from the Participant becomes effective and irrevocable.</w:t>
      </w:r>
    </w:p>
    <w:p>
      <w:pPr>
        <w:spacing w:after="0" w:line="176" w:lineRule="exact"/>
        <w:rPr>
          <w:sz w:val="20"/>
          <w:szCs w:val="20"/>
          <w:color w:val="auto"/>
        </w:rPr>
      </w:pPr>
    </w:p>
    <w:p>
      <w:pPr>
        <w:jc w:val="both"/>
        <w:ind w:firstLine="577"/>
        <w:spacing w:after="0" w:line="262" w:lineRule="auto"/>
        <w:rPr>
          <w:sz w:val="20"/>
          <w:szCs w:val="20"/>
          <w:color w:val="auto"/>
        </w:rPr>
      </w:pPr>
      <w:r>
        <w:rPr>
          <w:rFonts w:ascii="Times New Roman" w:cs="Times New Roman" w:eastAsia="Times New Roman" w:hAnsi="Times New Roman"/>
          <w:sz w:val="16"/>
          <w:szCs w:val="16"/>
          <w:b w:val="1"/>
          <w:bCs w:val="1"/>
          <w:color w:val="auto"/>
        </w:rPr>
        <w:t>4.4 Other Requirements</w:t>
      </w:r>
      <w:r>
        <w:rPr>
          <w:rFonts w:ascii="Times New Roman" w:cs="Times New Roman" w:eastAsia="Times New Roman" w:hAnsi="Times New Roman"/>
          <w:sz w:val="16"/>
          <w:szCs w:val="16"/>
          <w:color w:val="auto"/>
        </w:rPr>
        <w:t>. A Participant’s receipt of Severance Benefits will be subject to the Participant continuing to comply with the provisions of the Plan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Release and the terms of any confidentiality, proprietary information and invention agreements and such other appropriate agreements between the Participant and the Company Group (or any member thereof). Severance Benefits under this Plan will terminate immediately for a Participant if the Participant, at any time, materially violates any such agreement and/or the provisions of the Release.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31" w:name="page32"/>
    <w:bookmarkEnd w:id="31"/>
    <w:p>
      <w:pPr>
        <w:ind w:left="584" w:hanging="584"/>
        <w:spacing w:after="0"/>
        <w:tabs>
          <w:tab w:leader="none" w:pos="584"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BENEFITS</w:t>
      </w:r>
    </w:p>
    <w:p>
      <w:pPr>
        <w:spacing w:after="0" w:line="200" w:lineRule="exact"/>
        <w:rPr>
          <w:sz w:val="20"/>
          <w:szCs w:val="20"/>
          <w:color w:val="auto"/>
        </w:rPr>
      </w:pPr>
    </w:p>
    <w:p>
      <w:pPr>
        <w:ind w:left="4" w:right="20" w:firstLine="577"/>
        <w:spacing w:after="0" w:line="285" w:lineRule="auto"/>
        <w:rPr>
          <w:sz w:val="20"/>
          <w:szCs w:val="20"/>
          <w:color w:val="auto"/>
        </w:rPr>
      </w:pPr>
      <w:r>
        <w:rPr>
          <w:rFonts w:ascii="Times New Roman" w:cs="Times New Roman" w:eastAsia="Times New Roman" w:hAnsi="Times New Roman"/>
          <w:sz w:val="16"/>
          <w:szCs w:val="16"/>
          <w:b w:val="1"/>
          <w:bCs w:val="1"/>
          <w:color w:val="auto"/>
        </w:rPr>
        <w:t>5.1 Severance Benefits</w:t>
      </w:r>
      <w:r>
        <w:rPr>
          <w:rFonts w:ascii="Times New Roman" w:cs="Times New Roman" w:eastAsia="Times New Roman" w:hAnsi="Times New Roman"/>
          <w:sz w:val="16"/>
          <w:szCs w:val="16"/>
          <w:color w:val="auto"/>
        </w:rPr>
        <w:t>. If a Participant incurs an Involuntary Termination and the Participant’s Release is effective and irrevocable by the Release Deadline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will pay or provide the Participant the Severance Benefits set forth below:</w:t>
      </w:r>
    </w:p>
    <w:p>
      <w:pPr>
        <w:spacing w:after="0" w:line="140" w:lineRule="exact"/>
        <w:rPr>
          <w:sz w:val="20"/>
          <w:szCs w:val="20"/>
          <w:color w:val="auto"/>
        </w:rPr>
      </w:pPr>
    </w:p>
    <w:p>
      <w:pPr>
        <w:ind w:left="584" w:right="20" w:firstLine="569"/>
        <w:spacing w:after="0" w:line="285" w:lineRule="auto"/>
        <w:tabs>
          <w:tab w:leader="none" w:pos="156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Cash Severance</w:t>
      </w:r>
      <w:r>
        <w:rPr>
          <w:rFonts w:ascii="Times New Roman" w:cs="Times New Roman" w:eastAsia="Times New Roman" w:hAnsi="Times New Roman"/>
          <w:sz w:val="16"/>
          <w:szCs w:val="16"/>
          <w:color w:val="auto"/>
        </w:rPr>
        <w:t>. A lump sum payment in cash equal to the sum of: (i) the product of the Participant’s Severance Multiplier times the sum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Participant’s (A) Base Salary and (B) Average Annual Bonus, plus (ii) the Participant’s Pro-Rata Bonus.</w:t>
      </w:r>
    </w:p>
    <w:p>
      <w:pPr>
        <w:spacing w:after="0" w:line="139" w:lineRule="exact"/>
        <w:rPr>
          <w:rFonts w:ascii="Times New Roman" w:cs="Times New Roman" w:eastAsia="Times New Roman" w:hAnsi="Times New Roman"/>
          <w:sz w:val="16"/>
          <w:szCs w:val="16"/>
          <w:color w:val="auto"/>
        </w:rPr>
      </w:pPr>
    </w:p>
    <w:p>
      <w:pPr>
        <w:jc w:val="both"/>
        <w:ind w:left="584" w:firstLine="569"/>
        <w:spacing w:after="0" w:line="262" w:lineRule="auto"/>
        <w:tabs>
          <w:tab w:leader="none" w:pos="152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Group Health Plan Payment</w:t>
      </w:r>
      <w:r>
        <w:rPr>
          <w:rFonts w:ascii="Times New Roman" w:cs="Times New Roman" w:eastAsia="Times New Roman" w:hAnsi="Times New Roman"/>
          <w:sz w:val="16"/>
          <w:szCs w:val="16"/>
          <w:color w:val="auto"/>
        </w:rPr>
        <w:t>. A cash payment equal to the product of the Participant’s Severance Multiplier times 12 times the monthly contribution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makes to the cost for the Participant and, where applicable, the Participant’s spouse and dependents, to participate in the Company Group’s medical, dental and vision coverage, calculated based on the Company Group’s contribution cost for such coverage for the month immediately preceding the date the employee incurs an Involuntary Termination.</w:t>
      </w:r>
    </w:p>
    <w:p>
      <w:pPr>
        <w:spacing w:after="0" w:line="157" w:lineRule="exact"/>
        <w:rPr>
          <w:rFonts w:ascii="Times New Roman" w:cs="Times New Roman" w:eastAsia="Times New Roman" w:hAnsi="Times New Roman"/>
          <w:sz w:val="16"/>
          <w:szCs w:val="16"/>
          <w:color w:val="auto"/>
        </w:rPr>
      </w:pPr>
    </w:p>
    <w:p>
      <w:pPr>
        <w:jc w:val="both"/>
        <w:ind w:left="584" w:right="20" w:firstLine="569"/>
        <w:spacing w:after="0" w:line="262" w:lineRule="auto"/>
        <w:tabs>
          <w:tab w:leader="none" w:pos="151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Outplacement Services</w:t>
      </w:r>
      <w:r>
        <w:rPr>
          <w:rFonts w:ascii="Times New Roman" w:cs="Times New Roman" w:eastAsia="Times New Roman" w:hAnsi="Times New Roman"/>
          <w:sz w:val="16"/>
          <w:szCs w:val="16"/>
          <w:color w:val="auto"/>
        </w:rPr>
        <w:t>. The Company shall, at its sole cost and expense, provide the Participant with outplacement services with the person or entity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Participant’s choosing from among the Company’s preferred outplacement providers suitable to the Participant’s position for a period of one year or, if earlier, until the first acceptance by the Participant of an offer of employment; provided, however, that in no event shall the value of the outplacement services provided hereunder to any Participant exceed $10,000.</w:t>
      </w:r>
    </w:p>
    <w:p>
      <w:pPr>
        <w:spacing w:after="0" w:line="158" w:lineRule="exact"/>
        <w:rPr>
          <w:sz w:val="20"/>
          <w:szCs w:val="20"/>
          <w:color w:val="auto"/>
        </w:rPr>
      </w:pPr>
    </w:p>
    <w:p>
      <w:pPr>
        <w:jc w:val="both"/>
        <w:ind w:left="4" w:firstLine="577"/>
        <w:spacing w:after="0" w:line="255" w:lineRule="auto"/>
        <w:rPr>
          <w:sz w:val="20"/>
          <w:szCs w:val="20"/>
          <w:color w:val="auto"/>
        </w:rPr>
      </w:pPr>
      <w:r>
        <w:rPr>
          <w:rFonts w:ascii="Times New Roman" w:cs="Times New Roman" w:eastAsia="Times New Roman" w:hAnsi="Times New Roman"/>
          <w:sz w:val="16"/>
          <w:szCs w:val="16"/>
          <w:b w:val="1"/>
          <w:bCs w:val="1"/>
          <w:color w:val="auto"/>
        </w:rPr>
        <w:t>5.2 Effect on Other Plans, Agreements and Benefits</w:t>
      </w:r>
      <w:r>
        <w:rPr>
          <w:rFonts w:ascii="Times New Roman" w:cs="Times New Roman" w:eastAsia="Times New Roman" w:hAnsi="Times New Roman"/>
          <w:sz w:val="16"/>
          <w:szCs w:val="16"/>
          <w:color w:val="auto"/>
        </w:rPr>
        <w:t>. Any severance benefits payable to a Participant under the Plan will be reduced by and not in addition to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severance benefits to which the Participant would otherwise be entitled under any general severance policy or severance plan maintained by any member of the Company Group or any agreement between the Participant and any member of the Company Group that provides for severance benefits (unless the policy, plan or agreement expressly provides for severance benefits to be in addition to those provided under this Plan), and any severance benefits payable to a Participant under the Plan will be reduced by any severance benefits to which the Participant is entitled by operation of a statute or government regulations. Notwithstanding anything herein to the contrary, the Plan does not affect the terms of any outstanding equity or other incentive-based compensation awards, including, without limitation and without limiting the generality of this Section 5.2, under the Friedman Industries, Incorporated 2016 Restricted Stock Plan. The treatment of any such awards will be determined in accordance with the terms of the plans under which they were granted and any applicable award agreements.</w:t>
      </w:r>
    </w:p>
    <w:p>
      <w:pPr>
        <w:spacing w:after="0" w:line="166" w:lineRule="exact"/>
        <w:rPr>
          <w:sz w:val="20"/>
          <w:szCs w:val="20"/>
          <w:color w:val="auto"/>
        </w:rPr>
      </w:pPr>
    </w:p>
    <w:p>
      <w:pPr>
        <w:jc w:val="both"/>
        <w:ind w:left="4" w:firstLine="577"/>
        <w:spacing w:after="0" w:line="262" w:lineRule="auto"/>
        <w:rPr>
          <w:sz w:val="20"/>
          <w:szCs w:val="20"/>
          <w:color w:val="auto"/>
        </w:rPr>
      </w:pPr>
      <w:r>
        <w:rPr>
          <w:rFonts w:ascii="Times New Roman" w:cs="Times New Roman" w:eastAsia="Times New Roman" w:hAnsi="Times New Roman"/>
          <w:sz w:val="16"/>
          <w:szCs w:val="16"/>
          <w:b w:val="1"/>
          <w:bCs w:val="1"/>
          <w:color w:val="auto"/>
        </w:rPr>
        <w:t>5.3 Timing of Severance Benefits</w:t>
      </w:r>
      <w:r>
        <w:rPr>
          <w:rFonts w:ascii="Times New Roman" w:cs="Times New Roman" w:eastAsia="Times New Roman" w:hAnsi="Times New Roman"/>
          <w:sz w:val="16"/>
          <w:szCs w:val="16"/>
          <w:color w:val="auto"/>
        </w:rPr>
        <w:t>. The cash Severance Benefits described in Sections 5.1(a) and 5.1(b) that are payable to the Participant shall be paid in a lump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sum on the Company’s first regularly scheduled payroll date following the Release Deadline Date subject to any delay in payment to the Specified Employee Payment Date required by Section 12.9. If a Participant dies after the date he provides the Release but before the Participant receives full payment of the benefits to which he is entitled, any unpaid benefits will be paid to the Participant’s surviving spouse, or if the Participant does not have a surviving spouse, to the Participant’s estate.</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756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529" w:right="319" w:bottom="1440" w:gutter="0" w:footer="0" w:header="0"/>
        </w:sectPr>
      </w:pPr>
    </w:p>
    <w:bookmarkStart w:id="32" w:name="page33"/>
    <w:bookmarkEnd w:id="32"/>
    <w:p>
      <w:pPr>
        <w:ind w:left="584" w:hanging="584"/>
        <w:spacing w:after="0"/>
        <w:tabs>
          <w:tab w:leader="none" w:pos="584"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WITHHOLDING</w:t>
      </w:r>
    </w:p>
    <w:p>
      <w:pPr>
        <w:spacing w:after="0" w:line="202" w:lineRule="exact"/>
        <w:rPr>
          <w:sz w:val="20"/>
          <w:szCs w:val="20"/>
          <w:color w:val="auto"/>
        </w:rPr>
      </w:pPr>
    </w:p>
    <w:p>
      <w:pPr>
        <w:ind w:left="4" w:right="20" w:firstLine="577"/>
        <w:spacing w:after="0" w:line="282" w:lineRule="auto"/>
        <w:rPr>
          <w:sz w:val="20"/>
          <w:szCs w:val="20"/>
          <w:color w:val="auto"/>
        </w:rPr>
      </w:pPr>
      <w:r>
        <w:rPr>
          <w:rFonts w:ascii="Times New Roman" w:cs="Times New Roman" w:eastAsia="Times New Roman" w:hAnsi="Times New Roman"/>
          <w:sz w:val="16"/>
          <w:szCs w:val="16"/>
          <w:color w:val="auto"/>
        </w:rPr>
        <w:t>The Company or any Affiliate employing the Participant may withhold from any Severance Benefits paid under the Plan all income, employment, and other taxes required to be withheld under applicable law.</w:t>
      </w:r>
    </w:p>
    <w:p>
      <w:pPr>
        <w:spacing w:after="0" w:line="142" w:lineRule="exact"/>
        <w:rPr>
          <w:sz w:val="20"/>
          <w:szCs w:val="20"/>
          <w:color w:val="auto"/>
        </w:rPr>
      </w:pPr>
    </w:p>
    <w:p>
      <w:pPr>
        <w:ind w:left="584" w:hanging="584"/>
        <w:spacing w:after="0"/>
        <w:tabs>
          <w:tab w:leader="none" w:pos="584"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PLAN ADMINISTRATION</w:t>
      </w:r>
    </w:p>
    <w:p>
      <w:pPr>
        <w:spacing w:after="0" w:line="200" w:lineRule="exact"/>
        <w:rPr>
          <w:sz w:val="20"/>
          <w:szCs w:val="20"/>
          <w:color w:val="auto"/>
        </w:rPr>
      </w:pPr>
    </w:p>
    <w:p>
      <w:pPr>
        <w:jc w:val="both"/>
        <w:ind w:left="4" w:firstLine="577"/>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7.1 Powers. </w:t>
      </w:r>
      <w:r>
        <w:rPr>
          <w:rFonts w:ascii="Times New Roman" w:cs="Times New Roman" w:eastAsia="Times New Roman" w:hAnsi="Times New Roman"/>
          <w:sz w:val="16"/>
          <w:szCs w:val="16"/>
          <w:color w:val="auto"/>
        </w:rPr>
        <w:t>The Administrator shall administer the Plan and has all powers reasonably necessary to carry out its responsibilities under the Plan including (but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limited to) the sole and absolute discretionary authority to interpret the Plan, prescribe, amend and rescind rules and regulations under the Plan and make all other determinations necessary or advisable for the administration of the Plan, subject to all of the provisions of the Plan. Any reasonable determination made in good faith by the Administrator in carrying out, administering or construing the Plan shall be final and binding for all purposes and upon all interested persons and their respective heirs, successors, and legal representatives.</w:t>
      </w:r>
    </w:p>
    <w:p>
      <w:pPr>
        <w:spacing w:after="0" w:line="160" w:lineRule="exact"/>
        <w:rPr>
          <w:sz w:val="20"/>
          <w:szCs w:val="20"/>
          <w:color w:val="auto"/>
        </w:rPr>
      </w:pPr>
    </w:p>
    <w:p>
      <w:pPr>
        <w:ind w:left="584"/>
        <w:spacing w:after="0"/>
        <w:tabs>
          <w:tab w:leader="none" w:pos="923" w:val="left"/>
        </w:tabs>
        <w:rPr>
          <w:sz w:val="20"/>
          <w:szCs w:val="20"/>
          <w:color w:val="auto"/>
        </w:rPr>
      </w:pPr>
      <w:r>
        <w:rPr>
          <w:rFonts w:ascii="Times New Roman" w:cs="Times New Roman" w:eastAsia="Times New Roman" w:hAnsi="Times New Roman"/>
          <w:sz w:val="16"/>
          <w:szCs w:val="16"/>
          <w:b w:val="1"/>
          <w:bCs w:val="1"/>
          <w:color w:val="auto"/>
        </w:rPr>
        <w:t>7.2</w:t>
        <w:tab/>
        <w:t xml:space="preserve">Delegation. </w:t>
      </w:r>
      <w:r>
        <w:rPr>
          <w:rFonts w:ascii="Times New Roman" w:cs="Times New Roman" w:eastAsia="Times New Roman" w:hAnsi="Times New Roman"/>
          <w:sz w:val="16"/>
          <w:szCs w:val="16"/>
          <w:color w:val="auto"/>
        </w:rPr>
        <w:t>The Administrator may delegate any of its duties hereunder to such person or persons from time to time as it may designate.</w:t>
      </w:r>
    </w:p>
    <w:p>
      <w:pPr>
        <w:spacing w:after="0" w:line="200" w:lineRule="exact"/>
        <w:rPr>
          <w:sz w:val="20"/>
          <w:szCs w:val="20"/>
          <w:color w:val="auto"/>
        </w:rPr>
      </w:pPr>
    </w:p>
    <w:p>
      <w:pPr>
        <w:jc w:val="both"/>
        <w:ind w:left="4" w:firstLine="577"/>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7.3 Employment of Third Parties. </w:t>
      </w:r>
      <w:r>
        <w:rPr>
          <w:rFonts w:ascii="Times New Roman" w:cs="Times New Roman" w:eastAsia="Times New Roman" w:hAnsi="Times New Roman"/>
          <w:sz w:val="16"/>
          <w:szCs w:val="16"/>
          <w:color w:val="auto"/>
        </w:rPr>
        <w:t>The Administrator is empowered, on behalf of the Plan, to engage accountants, legal counsel and such other personnel as 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deems necessary or advisable to assist it in the performance of its duties under the Plan. The functions of any such persons engaged by the Administrator shall be limited to the specified services and duties for which they are engaged, and such persons shall have no other duties, obligations or responsibilities under the Plan. Such persons shall exercise no discretionary authority or discretionary control respecting the management of the Plan. All reasonable expenses thereof shall be borne by the Company or its successor.</w:t>
      </w:r>
    </w:p>
    <w:p>
      <w:pPr>
        <w:spacing w:after="0" w:line="158" w:lineRule="exact"/>
        <w:rPr>
          <w:sz w:val="20"/>
          <w:szCs w:val="20"/>
          <w:color w:val="auto"/>
        </w:rPr>
      </w:pPr>
    </w:p>
    <w:p>
      <w:pPr>
        <w:jc w:val="both"/>
        <w:ind w:left="4" w:firstLine="577"/>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7.4 Limitation of Liability. </w:t>
      </w:r>
      <w:r>
        <w:rPr>
          <w:rFonts w:ascii="Times New Roman" w:cs="Times New Roman" w:eastAsia="Times New Roman" w:hAnsi="Times New Roman"/>
          <w:sz w:val="16"/>
          <w:szCs w:val="16"/>
          <w:color w:val="auto"/>
        </w:rPr>
        <w:t>In no event shall the Administrator be personally liable for any action, determination or interpretation made in good faith with respect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Plan. The Administrator shall be indemnified and held harmless by the Company against any cost or expense (including counsel fees) reasonably incurred by the Administrator or liability (including any sum paid in settlement of a claim with the approval of the Company) arising out of any act or omission to act in connection with the Plan, unless arising out of the Administrator’s own fraud or bad faith. Such indemnification shall be in addition to any rights of indemnification the Administrator may have as an officer or director or otherwise under the bylaws of the Company.</w:t>
      </w:r>
    </w:p>
    <w:p>
      <w:pPr>
        <w:spacing w:after="0" w:line="160" w:lineRule="exact"/>
        <w:rPr>
          <w:sz w:val="20"/>
          <w:szCs w:val="20"/>
          <w:color w:val="auto"/>
        </w:rPr>
      </w:pPr>
    </w:p>
    <w:p>
      <w:pPr>
        <w:ind w:left="584" w:hanging="584"/>
        <w:spacing w:after="0"/>
        <w:tabs>
          <w:tab w:leader="none" w:pos="584"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AMENDMENT AND TERMINATION</w:t>
      </w:r>
    </w:p>
    <w:p>
      <w:pPr>
        <w:spacing w:after="0" w:line="202" w:lineRule="exact"/>
        <w:rPr>
          <w:sz w:val="20"/>
          <w:szCs w:val="20"/>
          <w:color w:val="auto"/>
        </w:rPr>
      </w:pPr>
    </w:p>
    <w:p>
      <w:pPr>
        <w:jc w:val="both"/>
        <w:ind w:left="4" w:firstLine="577"/>
        <w:spacing w:after="0" w:line="257" w:lineRule="auto"/>
        <w:rPr>
          <w:sz w:val="20"/>
          <w:szCs w:val="20"/>
          <w:color w:val="auto"/>
        </w:rPr>
      </w:pPr>
      <w:r>
        <w:rPr>
          <w:rFonts w:ascii="Times New Roman" w:cs="Times New Roman" w:eastAsia="Times New Roman" w:hAnsi="Times New Roman"/>
          <w:sz w:val="16"/>
          <w:szCs w:val="16"/>
          <w:color w:val="auto"/>
        </w:rPr>
        <w:t>Subject to the restrictions set forth in this Section 8, the Board may amend or terminate the Plan at any time. After a Change in Control occurs, the Plan may not be terminated or amended in any manner that would negatively affect a Participant’s rights under the Plan. Further, the Board may not amend or terminate the Plan in anticipation of a Change in Control in any manner that would negatively affect a Participant’s rights under the Plan. If a Change in Control occurs within 12 months after the date the Board amends or terminates the Plan then there shall be a rebuttable presumption that the amendment or termination of the Plan was made in anticipation of a Change in Control and shall not be effective in any manner that would negatively affect a Participant’s rights under the Plan unless the Administrator rebuts such presumption by clear and convincing evidence.</w:t>
      </w:r>
    </w:p>
    <w:p>
      <w:pPr>
        <w:spacing w:after="0" w:line="1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756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529" w:right="319" w:bottom="1440" w:gutter="0" w:footer="0" w:header="0"/>
        </w:sectPr>
      </w:pPr>
    </w:p>
    <w:bookmarkStart w:id="33" w:name="page34"/>
    <w:bookmarkEnd w:id="33"/>
    <w:p>
      <w:pPr>
        <w:ind w:left="584" w:hanging="584"/>
        <w:spacing w:after="0"/>
        <w:tabs>
          <w:tab w:leader="none" w:pos="584"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SECTION 280G</w:t>
      </w:r>
    </w:p>
    <w:p>
      <w:pPr>
        <w:spacing w:after="0" w:line="200" w:lineRule="exact"/>
        <w:rPr>
          <w:sz w:val="20"/>
          <w:szCs w:val="20"/>
          <w:color w:val="auto"/>
        </w:rPr>
      </w:pPr>
    </w:p>
    <w:p>
      <w:pPr>
        <w:jc w:val="both"/>
        <w:ind w:left="4" w:firstLine="577"/>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9.1 Benefit Reduction. </w:t>
      </w:r>
      <w:r>
        <w:rPr>
          <w:rFonts w:ascii="Times New Roman" w:cs="Times New Roman" w:eastAsia="Times New Roman" w:hAnsi="Times New Roman"/>
          <w:sz w:val="16"/>
          <w:szCs w:val="16"/>
          <w:color w:val="auto"/>
        </w:rPr>
        <w:t>Notwithstanding anything in the Plan or any other plan or agreement to the contrary, in the event that any payment or benefit received or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received by a Participant (whether pursuant to the terms of the Plan or any other plan, arrangement or agreement) (all such payments and benefits, the “</w:t>
      </w:r>
      <w:r>
        <w:rPr>
          <w:rFonts w:ascii="Times New Roman" w:cs="Times New Roman" w:eastAsia="Times New Roman" w:hAnsi="Times New Roman"/>
          <w:sz w:val="16"/>
          <w:szCs w:val="16"/>
          <w:b w:val="1"/>
          <w:bCs w:val="1"/>
          <w:i w:val="1"/>
          <w:iCs w:val="1"/>
          <w:color w:val="auto"/>
        </w:rPr>
        <w:t>Total Payments</w:t>
      </w:r>
      <w:r>
        <w:rPr>
          <w:rFonts w:ascii="Times New Roman" w:cs="Times New Roman" w:eastAsia="Times New Roman" w:hAnsi="Times New Roman"/>
          <w:sz w:val="16"/>
          <w:szCs w:val="16"/>
          <w:color w:val="auto"/>
        </w:rPr>
        <w:t>”) would not be deductible (in whole or in part) by the member of the Company Group making such payment or providing such benefits as a result of section 280G of the Code, then, to the extent necessary to make such portion of the Total Payments deductible, the portion of the Total Payments that do not constitute deferred compensation within the meaning of section 409A shall first be reduced (if necessary, to zero), and all other Total Payments shall thereafter be reduced (if necessary, to zero) with cash payments being reduced before non-cash payments, and payments to be paid last being reduced first,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under Section 4999 of the Code (and any comparable state or local tax) to which the Participant would be subject in respect of such unreduced Total Payments and after taking into account the phase out of itemized deductions and personal exemptions attributable to such unreduced Total Payments).</w:t>
      </w:r>
    </w:p>
    <w:p>
      <w:pPr>
        <w:spacing w:after="0" w:line="165" w:lineRule="exact"/>
        <w:rPr>
          <w:sz w:val="20"/>
          <w:szCs w:val="20"/>
          <w:color w:val="auto"/>
        </w:rPr>
      </w:pPr>
    </w:p>
    <w:p>
      <w:pPr>
        <w:jc w:val="both"/>
        <w:ind w:left="4" w:firstLine="577"/>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9.2 Determination. </w:t>
      </w:r>
      <w:r>
        <w:rPr>
          <w:rFonts w:ascii="Times New Roman" w:cs="Times New Roman" w:eastAsia="Times New Roman" w:hAnsi="Times New Roman"/>
          <w:sz w:val="16"/>
          <w:szCs w:val="16"/>
          <w:color w:val="auto"/>
        </w:rPr>
        <w:t>Any determination required under this Section 9 shall be made in writing in good faith by an accounting firm selected in good faith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(the “</w:t>
      </w:r>
      <w:r>
        <w:rPr>
          <w:rFonts w:ascii="Times New Roman" w:cs="Times New Roman" w:eastAsia="Times New Roman" w:hAnsi="Times New Roman"/>
          <w:sz w:val="16"/>
          <w:szCs w:val="16"/>
          <w:b w:val="1"/>
          <w:bCs w:val="1"/>
          <w:i w:val="1"/>
          <w:iCs w:val="1"/>
          <w:color w:val="auto"/>
        </w:rPr>
        <w:t>Accountants</w:t>
      </w:r>
      <w:r>
        <w:rPr>
          <w:rFonts w:ascii="Times New Roman" w:cs="Times New Roman" w:eastAsia="Times New Roman" w:hAnsi="Times New Roman"/>
          <w:sz w:val="16"/>
          <w:szCs w:val="16"/>
          <w:color w:val="auto"/>
        </w:rPr>
        <w:t>”). The Company and the Participant shall provide the Accountants with such information and documents as the Accountants may reasonably request in order to make a determination under this Section 9. For purposes of making the calculations and determinations required by this Section 9, the Accountants may rely on reasonable, good faith assumptions and approximations concerning the application of section 280G and section 4999 of the Code. The Accountants’ determinations shall be final and binding on the Company and the Participant.</w:t>
      </w:r>
    </w:p>
    <w:p>
      <w:pPr>
        <w:spacing w:after="0" w:line="160" w:lineRule="exact"/>
        <w:rPr>
          <w:sz w:val="20"/>
          <w:szCs w:val="20"/>
          <w:color w:val="auto"/>
        </w:rPr>
      </w:pPr>
    </w:p>
    <w:p>
      <w:pPr>
        <w:ind w:left="584" w:hanging="584"/>
        <w:spacing w:after="0"/>
        <w:tabs>
          <w:tab w:leader="none" w:pos="584"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CLAIM AND APPEAL PROCEDURES</w:t>
      </w:r>
    </w:p>
    <w:p>
      <w:pPr>
        <w:spacing w:after="0" w:line="198" w:lineRule="exact"/>
        <w:rPr>
          <w:sz w:val="20"/>
          <w:szCs w:val="20"/>
          <w:color w:val="auto"/>
        </w:rPr>
      </w:pPr>
    </w:p>
    <w:p>
      <w:pPr>
        <w:jc w:val="both"/>
        <w:ind w:left="4" w:right="20" w:firstLine="577"/>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10.1 Claim for Benefits. </w:t>
      </w:r>
      <w:r>
        <w:rPr>
          <w:rFonts w:ascii="Times New Roman" w:cs="Times New Roman" w:eastAsia="Times New Roman" w:hAnsi="Times New Roman"/>
          <w:sz w:val="16"/>
          <w:szCs w:val="16"/>
          <w:color w:val="auto"/>
        </w:rPr>
        <w:t>An individual who believes that he or she is entitled to, but has not received, benefits under the Plan (the “</w:t>
      </w:r>
      <w:r>
        <w:rPr>
          <w:rFonts w:ascii="Times New Roman" w:cs="Times New Roman" w:eastAsia="Times New Roman" w:hAnsi="Times New Roman"/>
          <w:sz w:val="16"/>
          <w:szCs w:val="16"/>
          <w:b w:val="1"/>
          <w:bCs w:val="1"/>
          <w:i w:val="1"/>
          <w:iCs w:val="1"/>
          <w:color w:val="auto"/>
        </w:rPr>
        <w:t>claimant</w:t>
      </w:r>
      <w:r>
        <w:rPr>
          <w:rFonts w:ascii="Times New Roman" w:cs="Times New Roman" w:eastAsia="Times New Roman" w:hAnsi="Times New Roman"/>
          <w:sz w:val="16"/>
          <w:szCs w:val="16"/>
          <w:color w:val="auto"/>
        </w:rPr>
        <w:t>”), or the claimant’s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authorized representative, may present a claim for benefits to the Administrator at the address set forth in Section 12.7. All claims for benefits under the Plan shall be made in writing to the Administrator within sixty (60) days of the date of the alleged occurrence giving rise to the claim, and shall state the nature of the claim, the facts supporting the claim, the amount claimed, and the address of the claimant. The Administrator shall review the claim, and if the claim is wholly or partially denied, the Administrator shall, within ninety (90) days after receipt of the claim, give written or electronic notice to the claimant of the adverse benefit determination with respect to the claim (unless the Administrator determines that special circumstances require an extension of time for processing the claim, provided the extension does not exceed ninety (90) days and (i) the special circumstances causing the extension and (ii) the date by which the Administrator expects to render the benefit determination are communicated to the claimant in writing within the initial ninety (90) day period). Such notice shall be written in a manner calculated to be understood by the claimant and shall set forth (a) the specific reasons for the adverse determination, (b) references to the specific Plan provisions on which the determination is based, (c) a description of any additional material or information necessary for the claimant to perfect the claim and an explanation of why such material or information is necessary, and (d) a description of the appeal procedures under the Plan and the time limits applicable to such procedures, including a statement of the claimant’s right to bring a civil action under Section 502(a) of ERISA following an adverse benefit determination on appeal.</w:t>
      </w:r>
    </w:p>
    <w:p>
      <w:pPr>
        <w:spacing w:after="0" w:line="1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756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529" w:right="319" w:bottom="1440" w:gutter="0" w:footer="0" w:header="0"/>
        </w:sectPr>
      </w:pPr>
    </w:p>
    <w:bookmarkStart w:id="34" w:name="page35"/>
    <w:bookmarkEnd w:id="34"/>
    <w:p>
      <w:pPr>
        <w:jc w:val="both"/>
        <w:ind w:firstLine="577"/>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10.2 Appeal. </w:t>
      </w:r>
      <w:r>
        <w:rPr>
          <w:rFonts w:ascii="Times New Roman" w:cs="Times New Roman" w:eastAsia="Times New Roman" w:hAnsi="Times New Roman"/>
          <w:sz w:val="16"/>
          <w:szCs w:val="16"/>
          <w:color w:val="auto"/>
        </w:rPr>
        <w:t>If a claim is denied in whole or in part, the claimant may appeal the denial by filing a written request for review with the Administrator at the address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set forth in Section 12.7 within sixty (60) days after the notice of the adverse benefit determination has been received by the claimant. The claimant shall be provided, upon request and free of charge, reasonable access to and copies of all documents, records and other information relevant to the claimant’s claim. The claimant may submit written comments, documents, records and other information relating to the claim to the Administrator within the sixty (60) day period. The review on appeal will take into account all information submitted on appeal, whether or not it was provided for in the initial benefit determination. The Administrator shall review the appeal and, within sixty (60) days after receipt of the appeal, give written or electronic notice to the claimant of the decision with respect to the appeal (unless the Administrator determines that special circumstances require an extension of time for processing the appeal, provided the extension does not exceed sixty (60) days and (i) the special circumstances causing the extension and (ii) the date by which the Administrator expects to render the determination on review are communicated to the claimant in writing within the initial sixty (60) day period). The notice shall be written in a manner calculated to be understood by the claimant, and in the case of an adverse determination, such notice shall include (a) specific reasons for the adverse determination, (b) references to the specific Plan provisions on which the determination is based, and (c) a statement that the claimant is entitled to receive, upon request and free of charge, reasonable access to, and copies of, all documents, records and other information relevant to the claimant’s claim.</w:t>
      </w:r>
    </w:p>
    <w:p>
      <w:pPr>
        <w:spacing w:after="0" w:line="165"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10.3 Arbitration. </w:t>
      </w:r>
      <w:r>
        <w:rPr>
          <w:rFonts w:ascii="Times New Roman" w:cs="Times New Roman" w:eastAsia="Times New Roman" w:hAnsi="Times New Roman"/>
          <w:sz w:val="16"/>
          <w:szCs w:val="16"/>
          <w:color w:val="auto"/>
        </w:rPr>
        <w:t>If a claim is denied on appeal, any further dispute or controversy regarding such claim or appeal arising out of or relating to the Plan,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limitation, any and all disputes, claims (whether in tort, contract, statutory or otherwise) or disagreements concerning the interpretation or application of the provisions of the Plan shall be resolved by arbitration in accordance with the rules of the American Arbitration Association (the “</w:t>
      </w:r>
      <w:r>
        <w:rPr>
          <w:rFonts w:ascii="Times New Roman" w:cs="Times New Roman" w:eastAsia="Times New Roman" w:hAnsi="Times New Roman"/>
          <w:sz w:val="16"/>
          <w:szCs w:val="16"/>
          <w:b w:val="1"/>
          <w:bCs w:val="1"/>
          <w:i w:val="1"/>
          <w:iCs w:val="1"/>
          <w:color w:val="auto"/>
        </w:rPr>
        <w:t>AAA</w:t>
      </w:r>
      <w:r>
        <w:rPr>
          <w:rFonts w:ascii="Times New Roman" w:cs="Times New Roman" w:eastAsia="Times New Roman" w:hAnsi="Times New Roman"/>
          <w:sz w:val="16"/>
          <w:szCs w:val="16"/>
          <w:color w:val="auto"/>
        </w:rPr>
        <w:t>”) then in effect. No arbitration proceeding relating to the Plan may be initiated by the Participant unless the claims review and appeals procedures specified in this Section 10 have been exhausted. Within twenty (20) business days of the initiation of an arbitration hereunder, the Company (or acquirer) and the Participant will each separately designate an arbitrator, and within twenty (20) business days of selection, the appointed arbitrators will appoint a neutral arbitrator from the AAA Panel of Commercial Arbitrators. The arbitrators shall issue their written decision (including a statement of finding of facts) within thirty (30) days from the date of the close of the arbitration hearing. The decision of the arbitrators selected hereunder will be final and binding on all parties. This arbitration provision is expressly made pursuant to and shall be governed by the Federal Arbitration Act, 9 U.S.C. Sections 1-16 (or replacement or successor statute). Pursuant to Section 9 of the Federal Arbitration Act, the Company (or any acquirer) and any Participant agree that a judgment of the United States District Court for the District in which the headquarters of the Company is located at the time of initiation of an arbitration hereunder may be entered upon the award made pursuant to the arbitration.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35" w:name="page36"/>
    <w:bookmarkEnd w:id="35"/>
    <w:p>
      <w:pPr>
        <w:ind w:left="4" w:firstLine="577"/>
        <w:spacing w:after="0" w:line="285" w:lineRule="auto"/>
        <w:rPr>
          <w:sz w:val="20"/>
          <w:szCs w:val="20"/>
          <w:color w:val="auto"/>
        </w:rPr>
      </w:pPr>
      <w:r>
        <w:rPr>
          <w:rFonts w:ascii="Times New Roman" w:cs="Times New Roman" w:eastAsia="Times New Roman" w:hAnsi="Times New Roman"/>
          <w:sz w:val="16"/>
          <w:szCs w:val="16"/>
          <w:b w:val="1"/>
          <w:bCs w:val="1"/>
          <w:color w:val="auto"/>
        </w:rPr>
        <w:t>10.4 Administrator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s Authority. </w:t>
      </w:r>
      <w:r>
        <w:rPr>
          <w:rFonts w:ascii="Times New Roman" w:cs="Times New Roman" w:eastAsia="Times New Roman" w:hAnsi="Times New Roman"/>
          <w:sz w:val="16"/>
          <w:szCs w:val="16"/>
          <w:color w:val="auto"/>
        </w:rPr>
        <w:t>The Administrator shall have sole, absolute discretion over claims and appeals issues and determinations regardless of the timing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such determination or exercise of such discretion.</w:t>
      </w:r>
    </w:p>
    <w:p>
      <w:pPr>
        <w:spacing w:after="0" w:line="140" w:lineRule="exact"/>
        <w:rPr>
          <w:sz w:val="20"/>
          <w:szCs w:val="20"/>
          <w:color w:val="auto"/>
        </w:rPr>
      </w:pPr>
    </w:p>
    <w:p>
      <w:pPr>
        <w:ind w:left="584" w:hanging="584"/>
        <w:spacing w:after="0"/>
        <w:tabs>
          <w:tab w:leader="none" w:pos="584"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UNFUNDED STATUS</w:t>
      </w:r>
    </w:p>
    <w:p>
      <w:pPr>
        <w:spacing w:after="0" w:line="202" w:lineRule="exact"/>
        <w:rPr>
          <w:sz w:val="20"/>
          <w:szCs w:val="20"/>
          <w:color w:val="auto"/>
        </w:rPr>
      </w:pPr>
    </w:p>
    <w:p>
      <w:pPr>
        <w:jc w:val="both"/>
        <w:ind w:left="4" w:firstLine="577"/>
        <w:spacing w:after="0" w:line="266" w:lineRule="auto"/>
        <w:rPr>
          <w:sz w:val="20"/>
          <w:szCs w:val="20"/>
          <w:color w:val="auto"/>
        </w:rPr>
      </w:pPr>
      <w:r>
        <w:rPr>
          <w:rFonts w:ascii="Times New Roman" w:cs="Times New Roman" w:eastAsia="Times New Roman" w:hAnsi="Times New Roman"/>
          <w:sz w:val="16"/>
          <w:szCs w:val="16"/>
          <w:color w:val="auto"/>
        </w:rPr>
        <w:t>The Participant shall have no right, title, or interest whatsoever in or to any assets of the Company or any investments which the Company may make to aid it in meeting its obligations under the Plan. The Participant’s right to receive payments under the Plan shall be no greater than the right of an unsecured general creditor of the Company.</w:t>
      </w:r>
    </w:p>
    <w:p>
      <w:pPr>
        <w:spacing w:after="0" w:line="155" w:lineRule="exact"/>
        <w:rPr>
          <w:sz w:val="20"/>
          <w:szCs w:val="20"/>
          <w:color w:val="auto"/>
        </w:rPr>
      </w:pPr>
    </w:p>
    <w:p>
      <w:pPr>
        <w:ind w:left="584" w:hanging="584"/>
        <w:spacing w:after="0"/>
        <w:tabs>
          <w:tab w:leader="none" w:pos="584"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p>
    <w:p>
      <w:pPr>
        <w:spacing w:after="0" w:line="200" w:lineRule="exact"/>
        <w:rPr>
          <w:sz w:val="20"/>
          <w:szCs w:val="20"/>
          <w:color w:val="auto"/>
        </w:rPr>
      </w:pPr>
    </w:p>
    <w:p>
      <w:pPr>
        <w:jc w:val="both"/>
        <w:ind w:left="4" w:firstLine="577"/>
        <w:spacing w:after="0" w:line="268" w:lineRule="auto"/>
        <w:rPr>
          <w:sz w:val="20"/>
          <w:szCs w:val="20"/>
          <w:color w:val="auto"/>
        </w:rPr>
      </w:pPr>
      <w:r>
        <w:rPr>
          <w:rFonts w:ascii="Times New Roman" w:cs="Times New Roman" w:eastAsia="Times New Roman" w:hAnsi="Times New Roman"/>
          <w:sz w:val="16"/>
          <w:szCs w:val="16"/>
          <w:b w:val="1"/>
          <w:bCs w:val="1"/>
          <w:color w:val="auto"/>
        </w:rPr>
        <w:t>12.1 Plan Not an Employment Contract</w:t>
      </w:r>
      <w:r>
        <w:rPr>
          <w:rFonts w:ascii="Times New Roman" w:cs="Times New Roman" w:eastAsia="Times New Roman" w:hAnsi="Times New Roman"/>
          <w:sz w:val="16"/>
          <w:szCs w:val="16"/>
          <w:color w:val="auto"/>
        </w:rPr>
        <w:t>. The adoption and maintenance of the Plan is not a contract between the Company and its employees that gives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 the right to be retained in its employment. Likewise, it is not intended to interfere with the rights of the Company to terminate an employee’s employment at any time with or without notice and with or without cause or to interfere with an employee's right to terminate his or her employment at any time.</w:t>
      </w:r>
    </w:p>
    <w:p>
      <w:pPr>
        <w:spacing w:after="0" w:line="152" w:lineRule="exact"/>
        <w:rPr>
          <w:sz w:val="20"/>
          <w:szCs w:val="20"/>
          <w:color w:val="auto"/>
        </w:rPr>
      </w:pPr>
    </w:p>
    <w:p>
      <w:pPr>
        <w:jc w:val="both"/>
        <w:ind w:left="4" w:firstLine="577"/>
        <w:spacing w:after="0" w:line="268" w:lineRule="auto"/>
        <w:rPr>
          <w:sz w:val="20"/>
          <w:szCs w:val="20"/>
          <w:color w:val="auto"/>
        </w:rPr>
      </w:pPr>
      <w:r>
        <w:rPr>
          <w:rFonts w:ascii="Times New Roman" w:cs="Times New Roman" w:eastAsia="Times New Roman" w:hAnsi="Times New Roman"/>
          <w:sz w:val="16"/>
          <w:szCs w:val="16"/>
          <w:b w:val="1"/>
          <w:bCs w:val="1"/>
          <w:color w:val="auto"/>
        </w:rPr>
        <w:t>12.2 Alienation Prohibited</w:t>
      </w:r>
      <w:r>
        <w:rPr>
          <w:rFonts w:ascii="Times New Roman" w:cs="Times New Roman" w:eastAsia="Times New Roman" w:hAnsi="Times New Roman"/>
          <w:sz w:val="16"/>
          <w:szCs w:val="16"/>
          <w:color w:val="auto"/>
        </w:rPr>
        <w:t>. No benefits hereunder shall be subject to anticipation or assignment by a Participant, to attachment by, interference with, or control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creditor of a Participant, or to being taken or reached by any legal or equitable process in satisfaction of any debt or liability of a Participant prior to its actual receipt by the Participant. Any attempted conveyance, transfer, assignment, mortgage, pledge, or encumbrance of the benefits hereunder prior to payment thereof shall be void.</w:t>
      </w:r>
    </w:p>
    <w:p>
      <w:pPr>
        <w:spacing w:after="0" w:line="152" w:lineRule="exact"/>
        <w:rPr>
          <w:sz w:val="20"/>
          <w:szCs w:val="20"/>
          <w:color w:val="auto"/>
        </w:rPr>
      </w:pPr>
    </w:p>
    <w:p>
      <w:pPr>
        <w:jc w:val="both"/>
        <w:ind w:left="4" w:firstLine="577"/>
        <w:spacing w:after="0" w:line="285" w:lineRule="auto"/>
        <w:rPr>
          <w:sz w:val="20"/>
          <w:szCs w:val="20"/>
          <w:color w:val="auto"/>
        </w:rPr>
      </w:pPr>
      <w:r>
        <w:rPr>
          <w:rFonts w:ascii="Times New Roman" w:cs="Times New Roman" w:eastAsia="Times New Roman" w:hAnsi="Times New Roman"/>
          <w:sz w:val="16"/>
          <w:szCs w:val="16"/>
          <w:b w:val="1"/>
          <w:bCs w:val="1"/>
          <w:color w:val="auto"/>
        </w:rPr>
        <w:t>12.3 Severability</w:t>
      </w:r>
      <w:r>
        <w:rPr>
          <w:rFonts w:ascii="Times New Roman" w:cs="Times New Roman" w:eastAsia="Times New Roman" w:hAnsi="Times New Roman"/>
          <w:sz w:val="16"/>
          <w:szCs w:val="16"/>
          <w:color w:val="auto"/>
        </w:rPr>
        <w:t>. Each provision of the Plan may be severed. If any provision is determined to be invalid or unenforceable, that determination shall not affect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validity or enforceability of any other provision.</w:t>
      </w:r>
    </w:p>
    <w:p>
      <w:pPr>
        <w:spacing w:after="0" w:line="140" w:lineRule="exact"/>
        <w:rPr>
          <w:sz w:val="20"/>
          <w:szCs w:val="20"/>
          <w:color w:val="auto"/>
        </w:rPr>
      </w:pPr>
    </w:p>
    <w:p>
      <w:pPr>
        <w:jc w:val="both"/>
        <w:ind w:left="4" w:firstLine="577"/>
        <w:spacing w:after="0" w:line="268" w:lineRule="auto"/>
        <w:rPr>
          <w:sz w:val="20"/>
          <w:szCs w:val="20"/>
          <w:color w:val="auto"/>
        </w:rPr>
      </w:pPr>
      <w:r>
        <w:rPr>
          <w:rFonts w:ascii="Times New Roman" w:cs="Times New Roman" w:eastAsia="Times New Roman" w:hAnsi="Times New Roman"/>
          <w:sz w:val="16"/>
          <w:szCs w:val="16"/>
          <w:b w:val="1"/>
          <w:bCs w:val="1"/>
          <w:color w:val="auto"/>
        </w:rPr>
        <w:t>12.4 Binding Effect</w:t>
      </w:r>
      <w:r>
        <w:rPr>
          <w:rFonts w:ascii="Times New Roman" w:cs="Times New Roman" w:eastAsia="Times New Roman" w:hAnsi="Times New Roman"/>
          <w:sz w:val="16"/>
          <w:szCs w:val="16"/>
          <w:color w:val="auto"/>
        </w:rPr>
        <w:t>. The Plan shall be binding upon any successor of the Company. Further, the Company and the Board shall not authorize a Change in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is a Merger or a sale transaction unless the acquirer or the Company’s successor agrees to take such actions as are necessary to cause all Participants to be paid or provided all benefits due under the terms of the Plan as in effect immediately prior to the Change in Control.</w:t>
      </w:r>
    </w:p>
    <w:p>
      <w:pPr>
        <w:spacing w:after="0" w:line="152" w:lineRule="exact"/>
        <w:rPr>
          <w:sz w:val="20"/>
          <w:szCs w:val="20"/>
          <w:color w:val="auto"/>
        </w:rPr>
      </w:pPr>
    </w:p>
    <w:p>
      <w:pPr>
        <w:jc w:val="both"/>
        <w:ind w:left="4" w:firstLine="577"/>
        <w:spacing w:after="0" w:line="262" w:lineRule="auto"/>
        <w:rPr>
          <w:sz w:val="20"/>
          <w:szCs w:val="20"/>
          <w:color w:val="auto"/>
        </w:rPr>
      </w:pPr>
      <w:r>
        <w:rPr>
          <w:rFonts w:ascii="Times New Roman" w:cs="Times New Roman" w:eastAsia="Times New Roman" w:hAnsi="Times New Roman"/>
          <w:sz w:val="16"/>
          <w:szCs w:val="16"/>
          <w:b w:val="1"/>
          <w:bCs w:val="1"/>
          <w:color w:val="auto"/>
        </w:rPr>
        <w:t>12.5 No Mitigation</w:t>
      </w:r>
      <w:r>
        <w:rPr>
          <w:rFonts w:ascii="Times New Roman" w:cs="Times New Roman" w:eastAsia="Times New Roman" w:hAnsi="Times New Roman"/>
          <w:sz w:val="16"/>
          <w:szCs w:val="16"/>
          <w:color w:val="auto"/>
        </w:rPr>
        <w:t>. The Company agrees that if the Participant’s employment with the Company terminates during the term of the Plan, the Participant is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required to seek other employment or to attempt in any way to reduce any amounts payable to the Participant by the Company pursuant to the Plan. Further, except as expressly provided otherwise herein, the amount of any payment or benefit provided for in the Plan shall not be reduced by any compensation earned by the Participant as the result of employment by another employer, by retirement benefits, by offset against any amount claimed to be owed by the Participant to the Company, or otherwise.</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4756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4"/>
          </w:cols>
          <w:pgMar w:left="316" w:top="529" w:right="339" w:bottom="1440" w:gutter="0" w:footer="0" w:header="0"/>
        </w:sectPr>
      </w:pPr>
    </w:p>
    <w:bookmarkStart w:id="36" w:name="page37"/>
    <w:bookmarkEnd w:id="36"/>
    <w:p>
      <w:pPr>
        <w:jc w:val="both"/>
        <w:ind w:firstLine="577"/>
        <w:spacing w:after="0" w:line="257" w:lineRule="auto"/>
        <w:rPr>
          <w:sz w:val="20"/>
          <w:szCs w:val="20"/>
          <w:color w:val="auto"/>
        </w:rPr>
      </w:pPr>
      <w:r>
        <w:rPr>
          <w:rFonts w:ascii="Times New Roman" w:cs="Times New Roman" w:eastAsia="Times New Roman" w:hAnsi="Times New Roman"/>
          <w:sz w:val="16"/>
          <w:szCs w:val="16"/>
          <w:b w:val="1"/>
          <w:bCs w:val="1"/>
          <w:color w:val="auto"/>
        </w:rPr>
        <w:t>12.6 Other Amounts Due</w:t>
      </w:r>
      <w:r>
        <w:rPr>
          <w:rFonts w:ascii="Times New Roman" w:cs="Times New Roman" w:eastAsia="Times New Roman" w:hAnsi="Times New Roman"/>
          <w:sz w:val="16"/>
          <w:szCs w:val="16"/>
          <w:color w:val="auto"/>
        </w:rPr>
        <w:t>. Except as expressly provided otherwise herein, the payments and benefits provided for in the Plan are in addition to and not in lieu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and benefits that are earned by a Participant prior to his Involuntary Termination. The Company shall pay a Participant any compensation earned prior to the date the Participant incurs an Involuntary Termination but not previously paid the Participant. Further the Participant shall be entitled to any other amounts or benefits due the Participant in accordance with any contract, plan, program or policy of the Company or any of its Affiliates. Amounts that the Participant is entitled to receive under any plan, program, contract or policy of the Company or any of its Affiliates at or subsequent to the Participant’s Involuntary Termination shall be payable or otherwise provided in accordance with such plan, program, contract or policy, except as expressly modified herein.</w:t>
      </w:r>
    </w:p>
    <w:p>
      <w:pPr>
        <w:spacing w:after="0" w:line="163" w:lineRule="exact"/>
        <w:rPr>
          <w:sz w:val="20"/>
          <w:szCs w:val="20"/>
          <w:color w:val="auto"/>
        </w:rPr>
      </w:pPr>
    </w:p>
    <w:p>
      <w:pPr>
        <w:jc w:val="both"/>
        <w:ind w:right="20" w:firstLine="577"/>
        <w:spacing w:after="0" w:line="262" w:lineRule="auto"/>
        <w:rPr>
          <w:sz w:val="20"/>
          <w:szCs w:val="20"/>
          <w:color w:val="auto"/>
        </w:rPr>
      </w:pPr>
      <w:r>
        <w:rPr>
          <w:rFonts w:ascii="Times New Roman" w:cs="Times New Roman" w:eastAsia="Times New Roman" w:hAnsi="Times New Roman"/>
          <w:sz w:val="16"/>
          <w:szCs w:val="16"/>
          <w:b w:val="1"/>
          <w:bCs w:val="1"/>
          <w:color w:val="auto"/>
        </w:rPr>
        <w:t>12.7 Notices to Participants</w:t>
      </w:r>
      <w:r>
        <w:rPr>
          <w:rFonts w:ascii="Times New Roman" w:cs="Times New Roman" w:eastAsia="Times New Roman" w:hAnsi="Times New Roman"/>
          <w:sz w:val="16"/>
          <w:szCs w:val="16"/>
          <w:color w:val="auto"/>
        </w:rPr>
        <w:t>. For the purpose of the Plan, notices provided for in the Plan shall be in writing and shall be deemed to have been duly given when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delivered or mailed by United States registered mail, return receipt requested, postage prepaid, addressed, in the case of a notice to the Participant, to the Participant’s residential address shown in the records of the Company, or to such other address as the Participant may have furnished to the Company in writing, and in the case of a notice to the Company or any Affiliate, to the address of the Company’s then current Corporate Headquarters.</w:t>
      </w:r>
    </w:p>
    <w:p>
      <w:pPr>
        <w:spacing w:after="0" w:line="158" w:lineRule="exact"/>
        <w:rPr>
          <w:sz w:val="20"/>
          <w:szCs w:val="20"/>
          <w:color w:val="auto"/>
        </w:rPr>
      </w:pPr>
    </w:p>
    <w:p>
      <w:pPr>
        <w:jc w:val="both"/>
        <w:ind w:firstLine="577"/>
        <w:spacing w:after="0" w:line="268" w:lineRule="auto"/>
        <w:rPr>
          <w:sz w:val="20"/>
          <w:szCs w:val="20"/>
          <w:color w:val="auto"/>
        </w:rPr>
      </w:pPr>
      <w:r>
        <w:rPr>
          <w:rFonts w:ascii="Times New Roman" w:cs="Times New Roman" w:eastAsia="Times New Roman" w:hAnsi="Times New Roman"/>
          <w:sz w:val="16"/>
          <w:szCs w:val="16"/>
          <w:b w:val="1"/>
          <w:bCs w:val="1"/>
          <w:color w:val="auto"/>
        </w:rPr>
        <w:t>12.8 Governing Law</w:t>
      </w:r>
      <w:r>
        <w:rPr>
          <w:rFonts w:ascii="Times New Roman" w:cs="Times New Roman" w:eastAsia="Times New Roman" w:hAnsi="Times New Roman"/>
          <w:sz w:val="16"/>
          <w:szCs w:val="16"/>
          <w:color w:val="auto"/>
        </w:rPr>
        <w:t>. All provisions of the Plan shall be construed in accordance with the laws of the State of Texas, except to the extent preempted by federal law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except to the extent that the conflicts of laws provisions of the State of Texas would require the application of the relevant law of another jurisdiction, in which event the relevant law of the State of Texas will nonetheless apply, with venue for litigation being solely and exclusively in Houston, Texas.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37" w:name="page38"/>
    <w:bookmarkEnd w:id="37"/>
    <w:p>
      <w:pPr>
        <w:jc w:val="both"/>
        <w:ind w:firstLine="577"/>
        <w:spacing w:after="0" w:line="252" w:lineRule="auto"/>
        <w:rPr>
          <w:sz w:val="20"/>
          <w:szCs w:val="20"/>
          <w:color w:val="auto"/>
        </w:rPr>
      </w:pPr>
      <w:r>
        <w:rPr>
          <w:rFonts w:ascii="Times New Roman" w:cs="Times New Roman" w:eastAsia="Times New Roman" w:hAnsi="Times New Roman"/>
          <w:sz w:val="16"/>
          <w:szCs w:val="16"/>
          <w:b w:val="1"/>
          <w:bCs w:val="1"/>
          <w:color w:val="auto"/>
        </w:rPr>
        <w:t>12.9 Compliance With Section 409A</w:t>
      </w:r>
      <w:r>
        <w:rPr>
          <w:rFonts w:ascii="Times New Roman" w:cs="Times New Roman" w:eastAsia="Times New Roman" w:hAnsi="Times New Roman"/>
          <w:sz w:val="16"/>
          <w:szCs w:val="16"/>
          <w:color w:val="auto"/>
        </w:rPr>
        <w:t>. It is intended that payments and benefits under the Plan comply with Section 409A, to the extent subject thereto, or with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exemption thereunder, and accordingly, to the maximum extent permitted, the Plan shall be interpreted accordingly. Any payments or benefits under the Plan that may be excluded from Section 409A either as separation pay due to an involuntary separation from service, as a short-term deferral or otherwise shall be excluded from Section 409A to the maximum extent possible. For purposes of Section 409A, each installment payment provided under the Plan shall be treated as a separate payment. Notwithstanding anything contained herein to the contrary, a Participant shall not be considered to have terminated employment with the Company Group for purposes of any payments under the Plan which are subject to Section 409A until the Participant has incurred a “separation from service” from the Company Group within the meaning of Section 409A. Without limiting the foregoing and notwithstanding anything contained herein to the contrary, if the Participant is a “specified employee” (as that term is defined for purposes of Section 409A) as of the date of his or her separation from service then to the extent required in order to avoid accelerated taxation and/or tax penalties under Section 409A, amounts that are required to comply with, and are not otherwise exempt from, Section 409A and that would otherwise be payable and benefits that would otherwise be provided pursuant to the Plan during the six-month period immediately following the Participant’s separation from service shall instead be paid or provided on the first business day after the date that is six (6) months following such Participant’s separation from service (or, if earlier, the Participant’s date of death) (such date of payment, the “</w:t>
      </w:r>
      <w:r>
        <w:rPr>
          <w:rFonts w:ascii="Times New Roman" w:cs="Times New Roman" w:eastAsia="Times New Roman" w:hAnsi="Times New Roman"/>
          <w:sz w:val="16"/>
          <w:szCs w:val="16"/>
          <w:b w:val="1"/>
          <w:bCs w:val="1"/>
          <w:i w:val="1"/>
          <w:iCs w:val="1"/>
          <w:color w:val="auto"/>
        </w:rPr>
        <w:t>Specified Employee Payment Date</w:t>
      </w:r>
      <w:r>
        <w:rPr>
          <w:rFonts w:ascii="Times New Roman" w:cs="Times New Roman" w:eastAsia="Times New Roman" w:hAnsi="Times New Roman"/>
          <w:sz w:val="16"/>
          <w:szCs w:val="16"/>
          <w:color w:val="auto"/>
        </w:rPr>
        <w:t>”). The aggregate of any such payments that would otherwise have been paid before the Specified Employee Payment Date shall be paid to the Participant in a lump sum (without interest) on the Specified Employee Payment Date and thereafter, any remaining payments shall be paid without delay in accordance with their original schedule. To the extent required to avoid an accelerated or additional tax under Section 409A, amounts reimbursable to a Participant under the Plan shall be paid to the Participant on or before the last day of the year following the year in which the expense was incurred, the amount of expenses eligible for reimbursement (and in kind benefits provided to the Participant) during one calendar year may not affect amounts reimbursable or in kind benefits provided in any other calendar year, and any right to reimbursements or in-kind benefits under this Plan shall not be subject to liquidation or exchange for another benefit. The Company Group makes no representation that any or all of the payments described in the Plan will be exempt from or comply with Section 409A and makes no undertaking to preclude Section 409A from applying to any such payment, and in no event shall the Company Group be liable for all or any portion of any taxes, penalties, interest or other expenses that may be incurred by a Participant on account of any non-compliance with Section 409A.</w:t>
      </w:r>
    </w:p>
    <w:p>
      <w:pPr>
        <w:spacing w:after="0" w:line="173" w:lineRule="exact"/>
        <w:rPr>
          <w:sz w:val="20"/>
          <w:szCs w:val="20"/>
          <w:color w:val="auto"/>
        </w:rPr>
      </w:pPr>
    </w:p>
    <w:p>
      <w:pPr>
        <w:jc w:val="both"/>
        <w:ind w:firstLine="577"/>
        <w:spacing w:after="0" w:line="268" w:lineRule="auto"/>
        <w:rPr>
          <w:sz w:val="20"/>
          <w:szCs w:val="20"/>
          <w:color w:val="auto"/>
        </w:rPr>
      </w:pPr>
      <w:r>
        <w:rPr>
          <w:rFonts w:ascii="Times New Roman" w:cs="Times New Roman" w:eastAsia="Times New Roman" w:hAnsi="Times New Roman"/>
          <w:sz w:val="16"/>
          <w:szCs w:val="16"/>
          <w:b w:val="1"/>
          <w:bCs w:val="1"/>
          <w:color w:val="auto"/>
        </w:rPr>
        <w:t>12.10 Number and Gender</w:t>
      </w:r>
      <w:r>
        <w:rPr>
          <w:rFonts w:ascii="Times New Roman" w:cs="Times New Roman" w:eastAsia="Times New Roman" w:hAnsi="Times New Roman"/>
          <w:sz w:val="16"/>
          <w:szCs w:val="16"/>
          <w:color w:val="auto"/>
        </w:rPr>
        <w:t>. As used in the Plan, unless the context otherwise expressly requires to the contrary, references to the singular include the plural,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vice versa; references to the masculine include the feminine and neuter; references to “including” mean “including (without limitation)”; and references to Sections and clauses mean the sections and clauses of the Plan.</w:t>
      </w:r>
    </w:p>
    <w:p>
      <w:pPr>
        <w:spacing w:after="0" w:line="152" w:lineRule="exact"/>
        <w:rPr>
          <w:sz w:val="20"/>
          <w:szCs w:val="20"/>
          <w:color w:val="auto"/>
        </w:rPr>
      </w:pPr>
    </w:p>
    <w:p>
      <w:pPr>
        <w:jc w:val="both"/>
        <w:ind w:right="20" w:firstLine="577"/>
        <w:spacing w:after="0" w:line="285" w:lineRule="auto"/>
        <w:rPr>
          <w:sz w:val="20"/>
          <w:szCs w:val="20"/>
          <w:color w:val="auto"/>
        </w:rPr>
      </w:pPr>
      <w:r>
        <w:rPr>
          <w:rFonts w:ascii="Times New Roman" w:cs="Times New Roman" w:eastAsia="Times New Roman" w:hAnsi="Times New Roman"/>
          <w:sz w:val="16"/>
          <w:szCs w:val="16"/>
          <w:b w:val="1"/>
          <w:bCs w:val="1"/>
          <w:color w:val="auto"/>
        </w:rPr>
        <w:t>12.11 Headings</w:t>
      </w:r>
      <w:r>
        <w:rPr>
          <w:rFonts w:ascii="Times New Roman" w:cs="Times New Roman" w:eastAsia="Times New Roman" w:hAnsi="Times New Roman"/>
          <w:sz w:val="16"/>
          <w:szCs w:val="16"/>
          <w:color w:val="auto"/>
        </w:rPr>
        <w:t>. The headings of Sections herein are included solely for convenience, and if there is any conflict between such headings and the text of the Plan,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text shall control.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14756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Company has caused the Plan to be executed effective the Effective Date.</w:t>
      </w:r>
    </w:p>
    <w:p>
      <w:pPr>
        <w:spacing w:after="0" w:line="200" w:lineRule="exact"/>
        <w:rPr>
          <w:sz w:val="20"/>
          <w:szCs w:val="20"/>
          <w:color w:val="auto"/>
        </w:rPr>
      </w:pPr>
    </w:p>
    <w:p>
      <w:pPr>
        <w:jc w:val="right"/>
        <w:ind w:right="1219"/>
        <w:spacing w:after="0"/>
        <w:rPr>
          <w:sz w:val="20"/>
          <w:szCs w:val="20"/>
          <w:color w:val="auto"/>
        </w:rPr>
      </w:pPr>
      <w:r>
        <w:rPr>
          <w:rFonts w:ascii="Times New Roman" w:cs="Times New Roman" w:eastAsia="Times New Roman" w:hAnsi="Times New Roman"/>
          <w:sz w:val="16"/>
          <w:szCs w:val="16"/>
          <w:b w:val="1"/>
          <w:bCs w:val="1"/>
          <w:color w:val="auto"/>
        </w:rPr>
        <w:t>FRIEDMAN INDUSTRIES, INCORPORATED</w:t>
      </w:r>
    </w:p>
    <w:p>
      <w:pPr>
        <w:spacing w:after="0" w:line="395" w:lineRule="exact"/>
        <w:rPr>
          <w:sz w:val="20"/>
          <w:szCs w:val="20"/>
          <w:color w:val="auto"/>
        </w:rPr>
      </w:pPr>
    </w:p>
    <w:p>
      <w:pPr>
        <w:ind w:left="5060"/>
        <w:spacing w:after="0"/>
        <w:tabs>
          <w:tab w:leader="none" w:pos="5480" w:val="left"/>
        </w:tabs>
        <w:rPr>
          <w:sz w:val="20"/>
          <w:szCs w:val="20"/>
          <w:color w:val="auto"/>
        </w:rPr>
      </w:pPr>
      <w:r>
        <w:rPr>
          <w:rFonts w:ascii="Times New Roman" w:cs="Times New Roman" w:eastAsia="Times New Roman" w:hAnsi="Times New Roman"/>
          <w:sz w:val="16"/>
          <w:szCs w:val="16"/>
          <w:color w:val="auto"/>
        </w:rPr>
        <w:t>By:</w:t>
        <w:tab/>
        <w:t>/s/ Michael J. Taylor</w:t>
      </w:r>
    </w:p>
    <w:p>
      <w:pPr>
        <w:spacing w:after="0" w:line="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Name:Michael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-116205</wp:posOffset>
            </wp:positionV>
            <wp:extent cx="328739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287395" cy="7620"/>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16"/>
          <w:szCs w:val="16"/>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-116205</wp:posOffset>
            </wp:positionV>
            <wp:extent cx="32873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287395" cy="7620"/>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16"/>
          <w:szCs w:val="16"/>
          <w:color w:val="auto"/>
        </w:rPr>
        <w:t>Date: September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-116205</wp:posOffset>
            </wp:positionV>
            <wp:extent cx="328739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287395" cy="7620"/>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12700</wp:posOffset>
            </wp:positionV>
            <wp:extent cx="32873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287395" cy="762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- 17 -</w:t>
      </w:r>
    </w:p>
    <w:p>
      <w:pPr>
        <w:sectPr>
          <w:pgSz w:w="11900" w:h="16838" w:orient="portrait"/>
          <w:cols w:equalWidth="0" w:num="1">
            <w:col w:w="9559"/>
          </w:cols>
          <w:pgMar w:left="900" w:top="529"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J. Taylor, certify that:</w:t>
      </w:r>
    </w:p>
    <w:p>
      <w:pPr>
        <w:spacing w:after="0" w:line="200" w:lineRule="exact"/>
        <w:rPr>
          <w:sz w:val="20"/>
          <w:szCs w:val="20"/>
          <w:color w:val="auto"/>
        </w:rPr>
      </w:pPr>
    </w:p>
    <w:p>
      <w:pPr>
        <w:ind w:left="580" w:hanging="151"/>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Friedman Industries, Incorporated;</w:t>
      </w:r>
    </w:p>
    <w:p>
      <w:pPr>
        <w:spacing w:after="0" w:line="200" w:lineRule="exact"/>
        <w:rPr>
          <w:rFonts w:ascii="Times New Roman" w:cs="Times New Roman" w:eastAsia="Times New Roman" w:hAnsi="Times New Roman"/>
          <w:sz w:val="16"/>
          <w:szCs w:val="16"/>
          <w:color w:val="auto"/>
        </w:rPr>
      </w:pPr>
    </w:p>
    <w:p>
      <w:pPr>
        <w:ind w:right="40" w:firstLine="429"/>
        <w:spacing w:after="0" w:line="282" w:lineRule="auto"/>
        <w:tabs>
          <w:tab w:leader="none" w:pos="59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Times New Roman" w:cs="Times New Roman" w:eastAsia="Times New Roman" w:hAnsi="Times New Roman"/>
          <w:sz w:val="16"/>
          <w:szCs w:val="16"/>
          <w:color w:val="auto"/>
        </w:rPr>
      </w:pPr>
    </w:p>
    <w:p>
      <w:pPr>
        <w:ind w:right="40" w:firstLine="429"/>
        <w:spacing w:after="0" w:line="282" w:lineRule="auto"/>
        <w:tabs>
          <w:tab w:leader="none" w:pos="59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Times New Roman" w:cs="Times New Roman" w:eastAsia="Times New Roman" w:hAnsi="Times New Roman"/>
          <w:sz w:val="16"/>
          <w:szCs w:val="16"/>
          <w:color w:val="auto"/>
        </w:rPr>
      </w:pPr>
    </w:p>
    <w:p>
      <w:pPr>
        <w:ind w:left="580" w:hanging="151"/>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4"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83" w:lineRule="exact"/>
        <w:rPr>
          <w:rFonts w:ascii="Times New Roman" w:cs="Times New Roman" w:eastAsia="Times New Roman" w:hAnsi="Times New Roman"/>
          <w:sz w:val="16"/>
          <w:szCs w:val="16"/>
          <w:color w:val="auto"/>
        </w:rPr>
      </w:pPr>
    </w:p>
    <w:p>
      <w:pPr>
        <w:ind w:left="420" w:right="100" w:firstLine="441"/>
        <w:spacing w:after="0" w:line="266" w:lineRule="auto"/>
        <w:tabs>
          <w:tab w:leader="none" w:pos="101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6"/>
          <w:szCs w:val="16"/>
          <w:color w:val="auto"/>
        </w:rPr>
      </w:pPr>
    </w:p>
    <w:p>
      <w:pPr>
        <w:ind w:left="420" w:right="520" w:firstLine="441"/>
        <w:spacing w:after="0" w:line="266" w:lineRule="auto"/>
        <w:tabs>
          <w:tab w:leader="none" w:pos="1026"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6"/>
          <w:szCs w:val="16"/>
          <w:color w:val="auto"/>
        </w:rPr>
      </w:pPr>
    </w:p>
    <w:p>
      <w:pPr>
        <w:ind w:left="420" w:right="320" w:firstLine="441"/>
        <w:spacing w:after="0" w:line="282" w:lineRule="auto"/>
        <w:tabs>
          <w:tab w:leader="none" w:pos="101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6"/>
          <w:szCs w:val="16"/>
          <w:color w:val="auto"/>
        </w:rPr>
      </w:pPr>
    </w:p>
    <w:p>
      <w:pPr>
        <w:ind w:left="420" w:right="260" w:firstLine="441"/>
        <w:spacing w:after="0" w:line="266" w:lineRule="auto"/>
        <w:tabs>
          <w:tab w:leader="none" w:pos="1026"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6"/>
          <w:szCs w:val="16"/>
          <w:color w:val="auto"/>
        </w:rPr>
      </w:pPr>
    </w:p>
    <w:p>
      <w:pPr>
        <w:ind w:right="340" w:firstLine="429"/>
        <w:spacing w:after="0" w:line="282" w:lineRule="auto"/>
        <w:tabs>
          <w:tab w:leader="none" w:pos="59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6"/>
          <w:szCs w:val="16"/>
          <w:color w:val="auto"/>
        </w:rPr>
      </w:pPr>
    </w:p>
    <w:p>
      <w:pPr>
        <w:ind w:left="420" w:right="500" w:firstLine="441"/>
        <w:spacing w:after="0" w:line="282" w:lineRule="auto"/>
        <w:tabs>
          <w:tab w:leader="none" w:pos="1017"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Times New Roman" w:cs="Times New Roman" w:eastAsia="Times New Roman" w:hAnsi="Times New Roman"/>
          <w:sz w:val="16"/>
          <w:szCs w:val="16"/>
          <w:color w:val="auto"/>
        </w:rPr>
      </w:pPr>
    </w:p>
    <w:p>
      <w:pPr>
        <w:ind w:left="420" w:right="100" w:firstLine="441"/>
        <w:spacing w:after="0" w:line="282" w:lineRule="auto"/>
        <w:tabs>
          <w:tab w:leader="none" w:pos="1026"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12, 2024</w:t>
      </w:r>
    </w:p>
    <w:p>
      <w:pPr>
        <w:spacing w:after="0" w:line="39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 MICHAEL J. TAYLOR</w:t>
      </w:r>
    </w:p>
    <w:p>
      <w:pPr>
        <w:spacing w:after="0" w:line="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-116205</wp:posOffset>
            </wp:positionV>
            <wp:extent cx="285305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853055" cy="762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Alex LaRue, certify that:</w:t>
      </w:r>
    </w:p>
    <w:p>
      <w:pPr>
        <w:spacing w:after="0" w:line="200" w:lineRule="exact"/>
        <w:rPr>
          <w:sz w:val="20"/>
          <w:szCs w:val="20"/>
          <w:color w:val="auto"/>
        </w:rPr>
      </w:pPr>
    </w:p>
    <w:p>
      <w:pPr>
        <w:ind w:left="580" w:hanging="151"/>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Friedman Industries, Incorporated;</w:t>
      </w:r>
    </w:p>
    <w:p>
      <w:pPr>
        <w:spacing w:after="0" w:line="200" w:lineRule="exact"/>
        <w:rPr>
          <w:rFonts w:ascii="Times New Roman" w:cs="Times New Roman" w:eastAsia="Times New Roman" w:hAnsi="Times New Roman"/>
          <w:sz w:val="16"/>
          <w:szCs w:val="16"/>
          <w:color w:val="auto"/>
        </w:rPr>
      </w:pPr>
    </w:p>
    <w:p>
      <w:pPr>
        <w:ind w:right="40" w:firstLine="429"/>
        <w:spacing w:after="0" w:line="282" w:lineRule="auto"/>
        <w:tabs>
          <w:tab w:leader="none" w:pos="59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Times New Roman" w:cs="Times New Roman" w:eastAsia="Times New Roman" w:hAnsi="Times New Roman"/>
          <w:sz w:val="16"/>
          <w:szCs w:val="16"/>
          <w:color w:val="auto"/>
        </w:rPr>
      </w:pPr>
    </w:p>
    <w:p>
      <w:pPr>
        <w:ind w:right="40" w:firstLine="429"/>
        <w:spacing w:after="0" w:line="282" w:lineRule="auto"/>
        <w:tabs>
          <w:tab w:leader="none" w:pos="59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Times New Roman" w:cs="Times New Roman" w:eastAsia="Times New Roman" w:hAnsi="Times New Roman"/>
          <w:sz w:val="16"/>
          <w:szCs w:val="16"/>
          <w:color w:val="auto"/>
        </w:rPr>
      </w:pPr>
    </w:p>
    <w:p>
      <w:pPr>
        <w:ind w:left="580" w:hanging="151"/>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4"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83" w:lineRule="exact"/>
        <w:rPr>
          <w:rFonts w:ascii="Times New Roman" w:cs="Times New Roman" w:eastAsia="Times New Roman" w:hAnsi="Times New Roman"/>
          <w:sz w:val="16"/>
          <w:szCs w:val="16"/>
          <w:color w:val="auto"/>
        </w:rPr>
      </w:pPr>
    </w:p>
    <w:p>
      <w:pPr>
        <w:ind w:left="420" w:right="100" w:firstLine="441"/>
        <w:spacing w:after="0" w:line="266" w:lineRule="auto"/>
        <w:tabs>
          <w:tab w:leader="none" w:pos="1017"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6"/>
          <w:szCs w:val="16"/>
          <w:color w:val="auto"/>
        </w:rPr>
      </w:pPr>
    </w:p>
    <w:p>
      <w:pPr>
        <w:ind w:left="420" w:right="520" w:firstLine="441"/>
        <w:spacing w:after="0" w:line="266" w:lineRule="auto"/>
        <w:tabs>
          <w:tab w:leader="none" w:pos="1026"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6"/>
          <w:szCs w:val="16"/>
          <w:color w:val="auto"/>
        </w:rPr>
      </w:pPr>
    </w:p>
    <w:p>
      <w:pPr>
        <w:ind w:right="320" w:firstLine="861"/>
        <w:spacing w:after="0" w:line="282" w:lineRule="auto"/>
        <w:tabs>
          <w:tab w:leader="none" w:pos="1029"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Times New Roman" w:cs="Times New Roman" w:eastAsia="Times New Roman" w:hAnsi="Times New Roman"/>
          <w:sz w:val="16"/>
          <w:szCs w:val="16"/>
          <w:color w:val="auto"/>
        </w:rPr>
      </w:pPr>
    </w:p>
    <w:p>
      <w:pPr>
        <w:ind w:left="420" w:right="260" w:firstLine="441"/>
        <w:spacing w:after="0" w:line="266" w:lineRule="auto"/>
        <w:tabs>
          <w:tab w:leader="none" w:pos="1026"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6"/>
          <w:szCs w:val="16"/>
          <w:color w:val="auto"/>
        </w:rPr>
      </w:pPr>
    </w:p>
    <w:p>
      <w:pPr>
        <w:ind w:right="340" w:firstLine="429"/>
        <w:spacing w:after="0" w:line="282" w:lineRule="auto"/>
        <w:tabs>
          <w:tab w:leader="none" w:pos="59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4" w:lineRule="exact"/>
        <w:rPr>
          <w:rFonts w:ascii="Times New Roman" w:cs="Times New Roman" w:eastAsia="Times New Roman" w:hAnsi="Times New Roman"/>
          <w:sz w:val="16"/>
          <w:szCs w:val="16"/>
          <w:color w:val="auto"/>
        </w:rPr>
      </w:pPr>
    </w:p>
    <w:p>
      <w:pPr>
        <w:ind w:left="420" w:right="500" w:firstLine="441"/>
        <w:spacing w:after="0" w:line="282" w:lineRule="auto"/>
        <w:tabs>
          <w:tab w:leader="none" w:pos="1017"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Times New Roman" w:cs="Times New Roman" w:eastAsia="Times New Roman" w:hAnsi="Times New Roman"/>
          <w:sz w:val="16"/>
          <w:szCs w:val="16"/>
          <w:color w:val="auto"/>
        </w:rPr>
      </w:pPr>
    </w:p>
    <w:p>
      <w:pPr>
        <w:ind w:left="420" w:right="100" w:firstLine="441"/>
        <w:spacing w:after="0" w:line="282" w:lineRule="auto"/>
        <w:tabs>
          <w:tab w:leader="none" w:pos="1026"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12, 2024</w:t>
      </w:r>
    </w:p>
    <w:p>
      <w:pPr>
        <w:spacing w:after="0" w:line="2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 ALEX LARUE</w:t>
      </w:r>
    </w:p>
    <w:p>
      <w:pPr>
        <w:spacing w:after="0" w:line="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i w:val="1"/>
          <w:iCs w:val="1"/>
          <w:color w:val="auto"/>
        </w:rPr>
        <w:t>Chief Financial Officer – 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-116205</wp:posOffset>
            </wp:positionV>
            <wp:extent cx="28530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853055" cy="762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Filed Pursuant to the Securities Exchange Act of 1934</w:t>
      </w:r>
    </w:p>
    <w:p>
      <w:pPr>
        <w:spacing w:after="0" w:line="202"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6"/>
          <w:szCs w:val="16"/>
          <w:color w:val="auto"/>
        </w:rPr>
        <w:t>In connection with the Quarterly Report of Friedman Industries, Incorporated (the “Company”) on Form 10-Q for the period ended September 30, 2024,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57" w:lineRule="exact"/>
        <w:rPr>
          <w:sz w:val="20"/>
          <w:szCs w:val="20"/>
          <w:color w:val="auto"/>
        </w:rPr>
      </w:pPr>
    </w:p>
    <w:p>
      <w:pPr>
        <w:ind w:left="660" w:hanging="231"/>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6"/>
          <w:szCs w:val="16"/>
          <w:color w:val="auto"/>
        </w:rPr>
      </w:pPr>
    </w:p>
    <w:p>
      <w:pPr>
        <w:ind w:right="1320" w:firstLine="429"/>
        <w:spacing w:after="0" w:line="564" w:lineRule="auto"/>
        <w:tabs>
          <w:tab w:leader="none" w:pos="65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Dated: November 12, 2024</w:t>
      </w:r>
    </w:p>
    <w:p>
      <w:pPr>
        <w:spacing w:after="0" w:line="120" w:lineRule="exact"/>
        <w:rPr>
          <w:sz w:val="20"/>
          <w:szCs w:val="20"/>
          <w:color w:val="auto"/>
        </w:rPr>
      </w:pPr>
    </w:p>
    <w:tbl>
      <w:tblPr>
        <w:tblLayout w:type="fixed"/>
        <w:tblInd w:w="6760" w:type="dxa"/>
        <w:tblCellMar>
          <w:top w:w="0" w:type="dxa"/>
          <w:left w:w="0" w:type="dxa"/>
          <w:bottom w:w="0" w:type="dxa"/>
          <w:right w:w="0" w:type="dxa"/>
        </w:tblCellMar>
      </w:tblPr>
      <w:tr>
        <w:trPr>
          <w:trHeight w:val="209"/>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J. Taylor</w:t>
            </w:r>
          </w:p>
        </w:tc>
      </w:tr>
      <w:tr>
        <w:trPr>
          <w:trHeight w:val="168"/>
        </w:trPr>
        <w:tc>
          <w:tcPr>
            <w:tcW w:w="6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Name:</w:t>
            </w:r>
          </w:p>
        </w:tc>
        <w:tc>
          <w:tcPr>
            <w:tcW w:w="384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Michael J. Taylor</w:t>
            </w:r>
          </w:p>
        </w:tc>
      </w:tr>
      <w:tr>
        <w:trPr>
          <w:trHeight w:val="209"/>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bl>
    <w:p>
      <w:pPr>
        <w:sectPr>
          <w:pgSz w:w="11900" w:h="16838" w:orient="portrait"/>
          <w:cols w:equalWidth="0" w:num="1">
            <w:col w:w="11260"/>
          </w:cols>
          <w:pgMar w:left="320" w:top="121"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Filed Pursuant to the Securities Exchange Act of 1934</w:t>
      </w:r>
    </w:p>
    <w:p>
      <w:pPr>
        <w:spacing w:after="0" w:line="202"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6"/>
          <w:szCs w:val="16"/>
          <w:color w:val="auto"/>
        </w:rPr>
        <w:t>In connection with the Quarterly Report of Friedman Industries, Incorporated (the “Company”) on Form 10-Q for the period ended September 30, 2024,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57" w:lineRule="exact"/>
        <w:rPr>
          <w:sz w:val="20"/>
          <w:szCs w:val="20"/>
          <w:color w:val="auto"/>
        </w:rPr>
      </w:pPr>
    </w:p>
    <w:p>
      <w:pPr>
        <w:ind w:left="660" w:hanging="231"/>
        <w:spacing w:after="0"/>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6"/>
          <w:szCs w:val="16"/>
          <w:color w:val="auto"/>
        </w:rPr>
      </w:pPr>
    </w:p>
    <w:p>
      <w:pPr>
        <w:ind w:right="1320" w:firstLine="429"/>
        <w:spacing w:after="0" w:line="564" w:lineRule="auto"/>
        <w:tabs>
          <w:tab w:leader="none" w:pos="65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Dated: November 12, 2024</w:t>
      </w:r>
    </w:p>
    <w:p>
      <w:pPr>
        <w:spacing w:after="0" w:line="120" w:lineRule="exact"/>
        <w:rPr>
          <w:sz w:val="20"/>
          <w:szCs w:val="20"/>
          <w:color w:val="auto"/>
        </w:rPr>
      </w:pPr>
    </w:p>
    <w:tbl>
      <w:tblPr>
        <w:tblLayout w:type="fixed"/>
        <w:tblInd w:w="6760" w:type="dxa"/>
        <w:tblCellMar>
          <w:top w:w="0" w:type="dxa"/>
          <w:left w:w="0" w:type="dxa"/>
          <w:bottom w:w="0" w:type="dxa"/>
          <w:right w:w="0" w:type="dxa"/>
        </w:tblCellMar>
      </w:tblP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Alex LaRue</w:t>
            </w:r>
          </w:p>
        </w:tc>
      </w:tr>
      <w:tr>
        <w:trPr>
          <w:trHeight w:val="168"/>
        </w:trPr>
        <w:tc>
          <w:tcPr>
            <w:tcW w:w="6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Name:</w:t>
            </w:r>
          </w:p>
        </w:tc>
        <w:tc>
          <w:tcPr>
            <w:tcW w:w="38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Alex LaRue</w:t>
            </w:r>
          </w:p>
        </w:tc>
      </w:t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 Secretary and Treasurer</w:t>
            </w:r>
          </w:p>
        </w:tc>
      </w:tr>
    </w:tbl>
    <w:p>
      <w:pPr>
        <w:spacing w:after="0" w:line="1" w:lineRule="exact"/>
        <w:rPr>
          <w:sz w:val="20"/>
          <w:szCs w:val="20"/>
          <w:color w:val="auto"/>
        </w:rPr>
      </w:pP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04"/>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1)"/>
      <w:numFmt w:val="lowerLetter"/>
      <w:start w:val="2"/>
    </w:lvl>
  </w:abstractNum>
  <w:abstractNum w:abstractNumId="8">
    <w:nsid w:val="628C895D"/>
    <w:multiLevelType w:val="hybridMultilevel"/>
    <w:lvl w:ilvl="0">
      <w:lvlJc w:val="left"/>
      <w:lvlText w:val="(%1)"/>
      <w:numFmt w:val="lowerLetter"/>
      <w:start w:val="1"/>
    </w:lvl>
    <w:lvl w:ilvl="1">
      <w:lvlJc w:val="left"/>
      <w:lvlText w:val="-"/>
      <w:numFmt w:val="bullet"/>
      <w:start w:val="1"/>
    </w:lvl>
  </w:abstractNum>
  <w:abstractNum w:abstractNumId="9">
    <w:nsid w:val="333AB105"/>
    <w:multiLevelType w:val="hybridMultilevel"/>
    <w:lvl w:ilvl="0">
      <w:lvlJc w:val="left"/>
      <w:lvlText w:val="(%1)"/>
      <w:numFmt w:val="lowerLetter"/>
      <w:start w:val="2"/>
    </w:lvl>
  </w:abstractNum>
  <w:abstractNum w:abstractNumId="10">
    <w:nsid w:val="721DA317"/>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1">
    <w:nsid w:val="2443A858"/>
    <w:multiLevelType w:val="hybridMultilevel"/>
    <w:lvl w:ilvl="0">
      <w:lvlJc w:val="left"/>
      <w:lvlText w:val="%1"/>
      <w:numFmt w:val="lowerLetter"/>
      <w:start w:val="1"/>
    </w:lvl>
    <w:lvl w:ilvl="1">
      <w:lvlJc w:val="left"/>
      <w:lvlText w:val="(%2)"/>
      <w:numFmt w:val="decimal"/>
      <w:start w:val="2"/>
    </w:lvl>
  </w:abstractNum>
  <w:abstractNum w:abstractNumId="12">
    <w:nsid w:val="2D1D5AE9"/>
    <w:multiLevelType w:val="hybridMultilevel"/>
    <w:lvl w:ilvl="0">
      <w:lvlJc w:val="left"/>
      <w:lvlText w:val="(%1)"/>
      <w:numFmt w:val="lowerLetter"/>
      <w:start w:val="5"/>
    </w:lvl>
    <w:lvl w:ilvl="1">
      <w:lvlJc w:val="left"/>
      <w:lvlText w:val="%2"/>
      <w:numFmt w:val="decimal"/>
      <w:start w:val="1"/>
    </w:lvl>
  </w:abstractNum>
  <w:abstractNum w:abstractNumId="13">
    <w:nsid w:val="6763845E"/>
    <w:multiLevelType w:val="hybridMultilevel"/>
    <w:lvl w:ilvl="0">
      <w:lvlJc w:val="left"/>
      <w:lvlText w:val="(%1)"/>
      <w:numFmt w:val="lowerLetter"/>
      <w:start w:val="1"/>
    </w:lvl>
    <w:lvl w:ilvl="1">
      <w:lvlJc w:val="left"/>
      <w:lvlText w:val="-"/>
      <w:numFmt w:val="bullet"/>
      <w:start w:val="1"/>
    </w:lvl>
  </w:abstractNum>
  <w:abstractNum w:abstractNumId="14">
    <w:nsid w:val="75A2A8D4"/>
    <w:multiLevelType w:val="hybridMultilevel"/>
    <w:lvl w:ilvl="0">
      <w:lvlJc w:val="left"/>
      <w:lvlText w:val="(%1)"/>
      <w:numFmt w:val="lowerLetter"/>
      <w:start w:val="2"/>
    </w:lvl>
    <w:lvl w:ilvl="1">
      <w:lvlJc w:val="left"/>
      <w:lvlText w:val="-"/>
      <w:numFmt w:val="bullet"/>
      <w:start w:val="1"/>
    </w:lvl>
  </w:abstractNum>
  <w:abstractNum w:abstractNumId="15">
    <w:nsid w:val="8EDBDAB"/>
    <w:multiLevelType w:val="hybridMultilevel"/>
    <w:lvl w:ilvl="0">
      <w:lvlJc w:val="left"/>
      <w:lvlText w:val="(%1)"/>
      <w:numFmt w:val="lowerLetter"/>
      <w:start w:val="8"/>
    </w:lvl>
  </w:abstractNum>
  <w:abstractNum w:abstractNumId="16">
    <w:nsid w:val="79838CB2"/>
    <w:multiLevelType w:val="hybridMultilevel"/>
    <w:lvl w:ilvl="0">
      <w:lvlJc w:val="left"/>
      <w:lvlText w:val="(%1)"/>
      <w:numFmt w:val="lowerLetter"/>
      <w:start w:val="1"/>
    </w:lvl>
    <w:lvl w:ilvl="1">
      <w:lvlJc w:val="left"/>
      <w:lvlText w:val="(%2)"/>
      <w:numFmt w:val="lowerRoman"/>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decimal"/>
      <w:start w:val="3"/>
    </w:lvl>
  </w:abstractNum>
  <w:abstractNum w:abstractNumId="19">
    <w:nsid w:val="189A769B"/>
    <w:multiLevelType w:val="hybridMultilevel"/>
    <w:lvl w:ilvl="0">
      <w:lvlJc w:val="left"/>
      <w:lvlText w:val="%1."/>
      <w:numFmt w:val="decimal"/>
      <w:start w:val="4"/>
    </w:lvl>
  </w:abstractNum>
  <w:abstractNum w:abstractNumId="20">
    <w:nsid w:val="54E49EB4"/>
    <w:multiLevelType w:val="hybridMultilevel"/>
    <w:lvl w:ilvl="0">
      <w:lvlJc w:val="left"/>
      <w:lvlText w:val="%1."/>
      <w:numFmt w:val="decimal"/>
      <w:start w:val="5"/>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decimal"/>
      <w:start w:val="6"/>
    </w:lvl>
  </w:abstractNum>
  <w:abstractNum w:abstractNumId="23">
    <w:nsid w:val="836C40E"/>
    <w:multiLevelType w:val="hybridMultilevel"/>
    <w:lvl w:ilvl="0">
      <w:lvlJc w:val="left"/>
      <w:lvlText w:val="%1."/>
      <w:numFmt w:val="decimal"/>
      <w:start w:val="7"/>
    </w:lvl>
  </w:abstractNum>
  <w:abstractNum w:abstractNumId="24">
    <w:nsid w:val="2901D82"/>
    <w:multiLevelType w:val="hybridMultilevel"/>
    <w:lvl w:ilvl="0">
      <w:lvlJc w:val="left"/>
      <w:lvlText w:val="%1."/>
      <w:numFmt w:val="decimal"/>
      <w:start w:val="8"/>
    </w:lvl>
  </w:abstractNum>
  <w:abstractNum w:abstractNumId="25">
    <w:nsid w:val="3A95F874"/>
    <w:multiLevelType w:val="hybridMultilevel"/>
    <w:lvl w:ilvl="0">
      <w:lvlJc w:val="left"/>
      <w:lvlText w:val="%1."/>
      <w:numFmt w:val="decimal"/>
      <w:start w:val="9"/>
    </w:lvl>
  </w:abstractNum>
  <w:abstractNum w:abstractNumId="26">
    <w:nsid w:val="8138641"/>
    <w:multiLevelType w:val="hybridMultilevel"/>
    <w:lvl w:ilvl="0">
      <w:lvlJc w:val="left"/>
      <w:lvlText w:val="%1."/>
      <w:numFmt w:val="decimal"/>
      <w:start w:val="10"/>
    </w:lvl>
  </w:abstractNum>
  <w:abstractNum w:abstractNumId="27">
    <w:nsid w:val="1E7FF521"/>
    <w:multiLevelType w:val="hybridMultilevel"/>
    <w:lvl w:ilvl="0">
      <w:lvlJc w:val="left"/>
      <w:lvlText w:val="%1."/>
      <w:numFmt w:val="decimal"/>
      <w:start w:val="11"/>
    </w:lvl>
  </w:abstractNum>
  <w:abstractNum w:abstractNumId="28">
    <w:nsid w:val="7C3DBD3D"/>
    <w:multiLevelType w:val="hybridMultilevel"/>
    <w:lvl w:ilvl="0">
      <w:lvlJc w:val="left"/>
      <w:lvlText w:val="%1."/>
      <w:numFmt w:val="decimal"/>
      <w:start w:val="12"/>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33" Type="http://schemas.openxmlformats.org/officeDocument/2006/relationships/hyperlink" Target="http://www.sec.gov/Archives/edgar/data/39092/000143774916043636/ex3-1.htm" TargetMode="External"/><Relationship Id="rId34" Type="http://schemas.openxmlformats.org/officeDocument/2006/relationships/hyperlink" Target="http://www.sec.gov/Archives/edgar/data/39092/000143774921027176/ex_3092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2024-11-12T15:44:01Z</dcterms:created>
  <dcterms:modified xsi:type="dcterms:W3CDTF">2024-11-12T15:44:01Z</dcterms:modified>
</cp:coreProperties>
</file>