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62230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9" w:lineRule="exact"/>
        <w:rPr>
          <w:sz w:val="24"/>
          <w:szCs w:val="24"/>
          <w:color w:val="auto"/>
        </w:rPr>
      </w:pPr>
    </w:p>
    <w:p>
      <w:pPr>
        <w:ind w:left="3380" w:right="1660" w:hanging="3372"/>
        <w:spacing w:after="0" w:line="500" w:lineRule="auto"/>
        <w:tabs>
          <w:tab w:leader="none" w:pos="43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16" w:lineRule="exact"/>
        <w:rPr>
          <w:sz w:val="24"/>
          <w:szCs w:val="24"/>
          <w:color w:val="auto"/>
        </w:rPr>
      </w:pPr>
    </w:p>
    <w:tbl>
      <w:tblPr>
        <w:tblLayout w:type="fixed"/>
        <w:tblInd w:w="2780" w:type="dxa"/>
        <w:tblCellMar>
          <w:top w:w="0" w:type="dxa"/>
          <w:left w:w="0" w:type="dxa"/>
          <w:bottom w:w="0" w:type="dxa"/>
          <w:right w:w="0" w:type="dxa"/>
        </w:tblCellMar>
      </w:tblPr>
      <w:tr>
        <w:trPr>
          <w:trHeight w:val="207"/>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FROM THE TRANSITION PERIOD FROM</w:t>
            </w:r>
          </w:p>
        </w:tc>
        <w:tc>
          <w:tcPr>
            <w:tcW w:w="900" w:type="dxa"/>
            <w:vAlign w:val="bottom"/>
            <w:tcBorders>
              <w:bottom w:val="single" w:sz="8" w:color="auto"/>
            </w:tcBorders>
          </w:tcPr>
          <w:p>
            <w:pPr>
              <w:spacing w:after="0"/>
              <w:rPr>
                <w:sz w:val="17"/>
                <w:szCs w:val="17"/>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2"/>
              </w:rPr>
              <w:t>TO</w:t>
            </w:r>
          </w:p>
        </w:tc>
      </w:tr>
      <w:tr>
        <w:trPr>
          <w:trHeight w:val="453"/>
        </w:trPr>
        <w:tc>
          <w:tcPr>
            <w:tcW w:w="4440" w:type="dxa"/>
            <w:vAlign w:val="bottom"/>
            <w:gridSpan w:val="2"/>
          </w:tcPr>
          <w:p>
            <w:pPr>
              <w:ind w:left="1300"/>
              <w:spacing w:after="0"/>
              <w:rPr>
                <w:sz w:val="20"/>
                <w:szCs w:val="20"/>
                <w:color w:val="auto"/>
              </w:rPr>
            </w:pPr>
            <w:r>
              <w:rPr>
                <w:rFonts w:ascii="Times New Roman" w:cs="Times New Roman" w:eastAsia="Times New Roman" w:hAnsi="Times New Roman"/>
                <w:sz w:val="18"/>
                <w:szCs w:val="18"/>
                <w:b w:val="1"/>
                <w:bCs w:val="1"/>
                <w:color w:val="auto"/>
              </w:rPr>
              <w:t>COMMISSION FILE NUMBER 1-7521</w:t>
            </w:r>
          </w:p>
        </w:tc>
        <w:tc>
          <w:tcPr>
            <w:tcW w:w="3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4806315</wp:posOffset>
            </wp:positionH>
            <wp:positionV relativeFrom="paragraph">
              <wp:posOffset>-299720</wp:posOffset>
            </wp:positionV>
            <wp:extent cx="571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FRIEDMAN INDUSTRIES, INCORPORATED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38735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03" w:lineRule="exact"/>
        <w:rPr>
          <w:sz w:val="24"/>
          <w:szCs w:val="24"/>
          <w:color w:val="auto"/>
        </w:rPr>
      </w:pPr>
    </w:p>
    <w:tbl>
      <w:tblPr>
        <w:tblLayout w:type="fixed"/>
        <w:tblInd w:w="1640" w:type="dxa"/>
        <w:tblCellMar>
          <w:top w:w="0" w:type="dxa"/>
          <w:left w:w="0" w:type="dxa"/>
          <w:bottom w:w="0" w:type="dxa"/>
          <w:right w:w="0" w:type="dxa"/>
        </w:tblCellMar>
      </w:tblPr>
      <w:tr>
        <w:trPr>
          <w:trHeight w:val="216"/>
        </w:trPr>
        <w:tc>
          <w:tcPr>
            <w:tcW w:w="412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w w:val="97"/>
              </w:rPr>
              <w:t>Texas</w:t>
            </w:r>
          </w:p>
        </w:tc>
        <w:tc>
          <w:tcPr>
            <w:tcW w:w="356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8"/>
              </w:rPr>
              <w:t>74-1504405</w:t>
            </w:r>
          </w:p>
        </w:tc>
      </w:tr>
      <w:tr>
        <w:trPr>
          <w:trHeight w:val="216"/>
        </w:trPr>
        <w:tc>
          <w:tcPr>
            <w:tcW w:w="412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56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12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56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1121 Judson Road, Suite 124, Longview, Texas 75601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(903)758-3431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45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3360" w:type="dxa"/>
            <w:vAlign w:val="bottom"/>
          </w:tcPr>
          <w:p>
            <w:pPr>
              <w:spacing w:after="0"/>
              <w:rPr>
                <w:sz w:val="20"/>
                <w:szCs w:val="20"/>
                <w:color w:val="auto"/>
              </w:rPr>
            </w:pPr>
          </w:p>
        </w:tc>
      </w:tr>
      <w:tr>
        <w:trPr>
          <w:trHeight w:val="410"/>
        </w:trPr>
        <w:tc>
          <w:tcPr>
            <w:tcW w:w="3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560" w:type="dxa"/>
            <w:vAlign w:val="bottom"/>
          </w:tcPr>
          <w:p>
            <w:pPr>
              <w:spacing w:after="0"/>
              <w:rPr>
                <w:sz w:val="20"/>
                <w:szCs w:val="20"/>
                <w:color w:val="auto"/>
              </w:rPr>
            </w:pPr>
          </w:p>
        </w:tc>
        <w:tc>
          <w:tcPr>
            <w:tcW w:w="39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on which registered</w:t>
            </w:r>
          </w:p>
        </w:tc>
      </w:tr>
      <w:tr>
        <w:trPr>
          <w:trHeight w:val="228"/>
        </w:trPr>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$1 Par Value</w:t>
            </w:r>
          </w:p>
        </w:tc>
        <w:tc>
          <w:tcPr>
            <w:tcW w:w="56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FRD</w:t>
            </w:r>
          </w:p>
        </w:tc>
        <w:tc>
          <w:tcPr>
            <w:tcW w:w="56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NYSE American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160020</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right="120" w:firstLine="441"/>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8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34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Emerging growth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60" w:firstLine="441"/>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40"/>
        <w:spacing w:after="0" w:line="207" w:lineRule="exact"/>
        <w:tabs>
          <w:tab w:leader="none" w:pos="9760" w:val="left"/>
          <w:tab w:leader="none" w:pos="104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(Check one):</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4"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At October 12, 2022, the number of shares outstanding of the issuer’s only class of stock was 7,368,613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472" w:right="339" w:bottom="204"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26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8"/>
        </w:trPr>
        <w:tc>
          <w:tcPr>
            <w:tcW w:w="4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40" w:type="dxa"/>
            <w:vAlign w:val="bottom"/>
            <w:gridSpan w:val="5"/>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26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Part I — FINANCIAL INFORMATION</w:t>
            </w:r>
          </w:p>
        </w:tc>
        <w:tc>
          <w:tcPr>
            <w:tcW w:w="19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 Financial Statements</w:t>
            </w:r>
          </w:p>
        </w:tc>
        <w:tc>
          <w:tcPr>
            <w:tcW w:w="6760" w:type="dxa"/>
            <w:vAlign w:val="bottom"/>
            <w:tcBorders>
              <w:bottom w:val="single" w:sz="8" w:color="CCEEFF"/>
            </w:tcBorders>
            <w:gridSpan w:val="8"/>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5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8280" w:type="dxa"/>
            <w:vAlign w:val="bottom"/>
            <w:gridSpan w:val="12"/>
          </w:tcPr>
          <w:p>
            <w:pPr>
              <w:ind w:left="2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9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4380" w:type="dxa"/>
            <w:vAlign w:val="bottom"/>
            <w:tcBorders>
              <w:bottom w:val="single" w:sz="8" w:color="0000EE"/>
            </w:tcBorders>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900" w:type="dxa"/>
            <w:vAlign w:val="bottom"/>
            <w:tcBorders>
              <w:bottom w:val="single" w:sz="8" w:color="CCEEFF"/>
            </w:tcBorders>
            <w:gridSpan w:val="3"/>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40" w:type="dxa"/>
            <w:vAlign w:val="bottom"/>
          </w:tcPr>
          <w:p>
            <w:pPr>
              <w:spacing w:after="0"/>
              <w:rPr>
                <w:sz w:val="15"/>
                <w:szCs w:val="15"/>
                <w:color w:val="auto"/>
              </w:rPr>
            </w:pPr>
          </w:p>
        </w:tc>
        <w:tc>
          <w:tcPr>
            <w:tcW w:w="5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8280" w:type="dxa"/>
            <w:vAlign w:val="bottom"/>
            <w:gridSpan w:val="12"/>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9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2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Part II — OTHER INFORMATION</w:t>
            </w:r>
          </w:p>
        </w:tc>
        <w:tc>
          <w:tcPr>
            <w:tcW w:w="6640" w:type="dxa"/>
            <w:vAlign w:val="bottom"/>
            <w:tcBorders>
              <w:bottom w:val="single" w:sz="8" w:color="CCEEFF"/>
            </w:tcBorders>
            <w:gridSpan w:val="7"/>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5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8280" w:type="dxa"/>
            <w:vAlign w:val="bottom"/>
            <w:gridSpan w:val="12"/>
          </w:tcPr>
          <w:p>
            <w:pPr>
              <w:ind w:left="2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19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6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9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4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480" w:type="dxa"/>
            <w:vAlign w:val="bottom"/>
            <w:tcBorders>
              <w:top w:val="single" w:sz="8" w:color="CCEEFF"/>
            </w:tcBorders>
            <w:gridSpan w:val="9"/>
          </w:tcPr>
          <w:p>
            <w:pPr>
              <w:jc w:val="right"/>
              <w:ind w:right="920"/>
              <w:spacing w:after="0"/>
              <w:rPr>
                <w:sz w:val="20"/>
                <w:szCs w:val="20"/>
                <w:color w:val="auto"/>
              </w:rPr>
            </w:pPr>
            <w:r>
              <w:rPr>
                <w:rFonts w:ascii="Times New Roman" w:cs="Times New Roman" w:eastAsia="Times New Roman" w:hAnsi="Times New Roman"/>
                <w:sz w:val="18"/>
                <w:szCs w:val="18"/>
                <w:color w:val="auto"/>
              </w:rPr>
              <w:t>2</w:t>
            </w:r>
          </w:p>
        </w:tc>
        <w:tc>
          <w:tcPr>
            <w:tcW w:w="880" w:type="dxa"/>
            <w:vAlign w:val="bottom"/>
            <w:tcBorders>
              <w:top w:val="single" w:sz="8" w:color="CCEEFF"/>
            </w:tcBorders>
          </w:tcPr>
          <w:p>
            <w:pPr>
              <w:spacing w:after="0"/>
              <w:rPr>
                <w:sz w:val="24"/>
                <w:szCs w:val="24"/>
                <w:color w:val="auto"/>
              </w:rPr>
            </w:pPr>
          </w:p>
        </w:tc>
        <w:tc>
          <w:tcPr>
            <w:tcW w:w="1800" w:type="dxa"/>
            <w:vAlign w:val="bottom"/>
            <w:tcBorders>
              <w:top w:val="single" w:sz="8" w:color="CCEEFF"/>
            </w:tcBorders>
          </w:tcPr>
          <w:p>
            <w:pPr>
              <w:spacing w:after="0"/>
              <w:rPr>
                <w:sz w:val="24"/>
                <w:szCs w:val="24"/>
                <w:color w:val="auto"/>
              </w:rPr>
            </w:pPr>
          </w:p>
        </w:tc>
        <w:tc>
          <w:tcPr>
            <w:tcW w:w="198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709"/>
        </w:trPr>
        <w:tc>
          <w:tcPr>
            <w:tcW w:w="1280" w:type="dxa"/>
            <w:vAlign w:val="bottom"/>
            <w:tcBorders>
              <w:top w:val="single" w:sz="8" w:color="0000EE"/>
            </w:tcBorders>
          </w:tcPr>
          <w:p>
            <w:pPr>
              <w:spacing w:after="0"/>
              <w:rPr>
                <w:sz w:val="24"/>
                <w:szCs w:val="24"/>
                <w:color w:val="auto"/>
              </w:rPr>
            </w:pPr>
          </w:p>
        </w:tc>
        <w:tc>
          <w:tcPr>
            <w:tcW w:w="6340" w:type="dxa"/>
            <w:vAlign w:val="bottom"/>
          </w:tcPr>
          <w:p>
            <w:pPr>
              <w:jc w:val="center"/>
              <w:ind w:left="225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634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FRIEDMAN INDUSTRIES, INCORPORATED</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8280" w:type="dxa"/>
            <w:vAlign w:val="bottom"/>
            <w:gridSpan w:val="5"/>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 — UNAUDITED</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00" w:type="dxa"/>
            <w:vAlign w:val="bottom"/>
          </w:tcPr>
          <w:p>
            <w:pPr>
              <w:spacing w:after="0"/>
              <w:rPr>
                <w:sz w:val="24"/>
                <w:szCs w:val="24"/>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MARCH 31, 2022</w:t>
            </w:r>
          </w:p>
        </w:tc>
      </w:tr>
      <w:tr>
        <w:trPr>
          <w:trHeight w:val="210"/>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2,408,776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2,598,102</w:t>
            </w:r>
          </w:p>
        </w:tc>
      </w:tr>
      <w:tr>
        <w:trPr>
          <w:trHeight w:val="198"/>
        </w:trPr>
        <w:tc>
          <w:tcPr>
            <w:tcW w:w="762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allowances for bad debts and cash discounts of $99,819 at June 30, and</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March 31, 2022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76,480,080</w:t>
            </w:r>
          </w:p>
        </w:tc>
        <w:tc>
          <w:tcPr>
            <w:tcW w:w="1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35,670,657</w:t>
            </w:r>
          </w:p>
        </w:tc>
      </w:tr>
      <w:tr>
        <w:trPr>
          <w:trHeight w:val="216"/>
        </w:trPr>
        <w:tc>
          <w:tcPr>
            <w:tcW w:w="7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123,879,630</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67,946,122</w:t>
            </w:r>
          </w:p>
        </w:tc>
      </w:tr>
      <w:tr>
        <w:trPr>
          <w:trHeight w:val="216"/>
        </w:trPr>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Current portion of derivative assets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3,480,720</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4,240,740</w:t>
            </w:r>
          </w:p>
        </w:tc>
      </w:tr>
      <w:tr>
        <w:trPr>
          <w:trHeight w:val="216"/>
        </w:trPr>
        <w:tc>
          <w:tcPr>
            <w:tcW w:w="7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2,722,402</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14,906,194</w:t>
            </w:r>
          </w:p>
        </w:tc>
      </w:tr>
      <w:tr>
        <w:trPr>
          <w:trHeight w:val="20"/>
        </w:trPr>
        <w:tc>
          <w:tcPr>
            <w:tcW w:w="1280" w:type="dxa"/>
            <w:vAlign w:val="bottom"/>
            <w:shd w:val="clear" w:color="auto" w:fill="CCEEFF"/>
          </w:tcPr>
          <w:p>
            <w:pPr>
              <w:spacing w:after="0" w:line="20" w:lineRule="exact"/>
              <w:rPr>
                <w:sz w:val="1"/>
                <w:szCs w:val="1"/>
                <w:color w:val="auto"/>
              </w:rPr>
            </w:pPr>
          </w:p>
        </w:tc>
        <w:tc>
          <w:tcPr>
            <w:tcW w:w="6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6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208,971,608</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125,361,815</w:t>
            </w:r>
          </w:p>
        </w:tc>
      </w:tr>
      <w:tr>
        <w:trPr>
          <w:trHeight w:val="216"/>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1,669,831</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1,179,831</w:t>
            </w:r>
          </w:p>
        </w:tc>
      </w:tr>
      <w:tr>
        <w:trPr>
          <w:trHeight w:val="216"/>
        </w:trPr>
        <w:tc>
          <w:tcPr>
            <w:tcW w:w="7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Buildings and yard improvements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20,691,676</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8,581,676</w:t>
            </w:r>
          </w:p>
        </w:tc>
      </w:tr>
      <w:tr>
        <w:trPr>
          <w:trHeight w:val="216"/>
        </w:trPr>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Machinery and equipment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36,094,594</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30,422,066</w:t>
            </w:r>
          </w:p>
        </w:tc>
      </w:tr>
      <w:tr>
        <w:trPr>
          <w:trHeight w:val="216"/>
        </w:trPr>
        <w:tc>
          <w:tcPr>
            <w:tcW w:w="7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Construction in process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19,422,533</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15,925,306</w:t>
            </w:r>
          </w:p>
        </w:tc>
      </w:tr>
      <w:tr>
        <w:trPr>
          <w:trHeight w:val="216"/>
        </w:trPr>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(26,533,922)</w:t>
            </w:r>
          </w:p>
        </w:tc>
        <w:tc>
          <w:tcPr>
            <w:tcW w:w="10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(26,002,820)</w:t>
            </w:r>
          </w:p>
        </w:tc>
      </w:tr>
      <w:tr>
        <w:trPr>
          <w:trHeight w:val="20"/>
        </w:trPr>
        <w:tc>
          <w:tcPr>
            <w:tcW w:w="12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51,344,712</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30,106,059</w:t>
            </w:r>
          </w:p>
        </w:tc>
      </w:tr>
      <w:tr>
        <w:trPr>
          <w:trHeight w:val="216"/>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value of officers’ life insurance and other assets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413,055</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157,248</w:t>
            </w:r>
          </w:p>
        </w:tc>
      </w:tr>
      <w:tr>
        <w:trPr>
          <w:trHeight w:val="216"/>
        </w:trPr>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1,330,241</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113,168</w:t>
            </w:r>
          </w:p>
        </w:tc>
      </w:tr>
      <w:tr>
        <w:trPr>
          <w:trHeight w:val="230"/>
        </w:trPr>
        <w:tc>
          <w:tcPr>
            <w:tcW w:w="7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 asset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2,133,295</w:t>
            </w:r>
          </w:p>
        </w:tc>
      </w:tr>
      <w:tr>
        <w:trPr>
          <w:trHeight w:val="216"/>
        </w:trPr>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taxes recoverable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1,403,485</w:t>
            </w:r>
          </w:p>
        </w:tc>
      </w:tr>
      <w:tr>
        <w:trPr>
          <w:trHeight w:val="20"/>
        </w:trPr>
        <w:tc>
          <w:tcPr>
            <w:tcW w:w="12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6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262,059,616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159,275,070</w:t>
            </w:r>
          </w:p>
        </w:tc>
      </w:tr>
      <w:tr>
        <w:trPr>
          <w:trHeight w:val="197"/>
        </w:trPr>
        <w:tc>
          <w:tcPr>
            <w:tcW w:w="762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47,566,633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44,803,602</w:t>
            </w:r>
          </w:p>
        </w:tc>
      </w:tr>
      <w:tr>
        <w:trPr>
          <w:trHeight w:val="216"/>
        </w:trPr>
        <w:tc>
          <w:tcPr>
            <w:tcW w:w="7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payable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147,372</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137,120</w:t>
            </w:r>
          </w:p>
        </w:tc>
      </w:tr>
      <w:tr>
        <w:trPr>
          <w:trHeight w:val="216"/>
        </w:trPr>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Contribution to retirement plan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175,000</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w:t>
            </w:r>
          </w:p>
        </w:tc>
      </w:tr>
      <w:tr>
        <w:trPr>
          <w:trHeight w:val="216"/>
        </w:trPr>
        <w:tc>
          <w:tcPr>
            <w:tcW w:w="7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Employee compensation and related expenses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3,093,819</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1,085,676</w:t>
            </w:r>
          </w:p>
        </w:tc>
      </w:tr>
      <w:tr>
        <w:trPr>
          <w:trHeight w:val="216"/>
        </w:trPr>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1,576,267</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financing lease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105,195</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104,689</w:t>
            </w:r>
          </w:p>
        </w:tc>
      </w:tr>
      <w:tr>
        <w:trPr>
          <w:trHeight w:val="216"/>
        </w:trPr>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Current portion of derivative liability</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2,675,400</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14,429,520</w:t>
            </w:r>
          </w:p>
        </w:tc>
      </w:tr>
      <w:tr>
        <w:trPr>
          <w:trHeight w:val="209"/>
        </w:trPr>
        <w:tc>
          <w:tcPr>
            <w:tcW w:w="7620" w:type="dxa"/>
            <w:vAlign w:val="bottom"/>
            <w:tcBorders>
              <w:top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55,339,686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60,810,607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POSTRETIREMENT BENEFITS OTHER THAN PENSIONS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122,337</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119,591</w:t>
            </w:r>
          </w:p>
        </w:tc>
      </w:tr>
      <w:tr>
        <w:trPr>
          <w:trHeight w:val="230"/>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136,767</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1,378,789</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221,767</w:t>
            </w:r>
          </w:p>
        </w:tc>
      </w:tr>
      <w:tr>
        <w:trPr>
          <w:trHeight w:val="216"/>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BASED LENDING FACILITY</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102,367,007</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18,436,457</w:t>
            </w:r>
          </w:p>
        </w:tc>
      </w:tr>
      <w:tr>
        <w:trPr>
          <w:trHeight w:val="210"/>
        </w:trPr>
        <w:tc>
          <w:tcPr>
            <w:tcW w:w="76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159,344,586</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79,588,422</w:t>
            </w:r>
          </w:p>
        </w:tc>
        <w:tc>
          <w:tcPr>
            <w:tcW w:w="10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6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62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par value $1: Authorized shares — 10,000,000; Issued shares — 8,861,016 shares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and 8,344,975 shares at June 30, and March 31, 2022, respectively</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8,861,016</w:t>
            </w: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8,344,975</w:t>
            </w:r>
          </w:p>
        </w:tc>
      </w:tr>
      <w:tr>
        <w:trPr>
          <w:trHeight w:val="216"/>
        </w:trPr>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34,783,173</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30,442,361</w:t>
            </w:r>
          </w:p>
        </w:tc>
      </w:tr>
      <w:tr>
        <w:trPr>
          <w:trHeight w:val="216"/>
        </w:trPr>
        <w:tc>
          <w:tcPr>
            <w:tcW w:w="7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(3,094,392)</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(10,268,509)</w:t>
            </w:r>
          </w:p>
        </w:tc>
      </w:tr>
      <w:tr>
        <w:trPr>
          <w:trHeight w:val="198"/>
        </w:trPr>
        <w:tc>
          <w:tcPr>
            <w:tcW w:w="762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Treasury stock at cost (1,492,403 shares and 1,488,966 shares at June 30, and March 31, 2022,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(7,770,465)</w:t>
            </w:r>
          </w:p>
        </w:tc>
        <w:tc>
          <w:tcPr>
            <w:tcW w:w="10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(7,741,197)</w:t>
            </w:r>
          </w:p>
        </w:tc>
      </w:tr>
      <w:tr>
        <w:trPr>
          <w:trHeight w:val="216"/>
        </w:trPr>
        <w:tc>
          <w:tcPr>
            <w:tcW w:w="7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69,935,698</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58,909,018</w:t>
            </w:r>
          </w:p>
        </w:tc>
      </w:tr>
      <w:tr>
        <w:trPr>
          <w:trHeight w:val="20"/>
        </w:trPr>
        <w:tc>
          <w:tcPr>
            <w:tcW w:w="1280" w:type="dxa"/>
            <w:vAlign w:val="bottom"/>
            <w:shd w:val="clear" w:color="auto" w:fill="CCEEFF"/>
          </w:tcPr>
          <w:p>
            <w:pPr>
              <w:spacing w:after="0" w:line="20" w:lineRule="exact"/>
              <w:rPr>
                <w:sz w:val="1"/>
                <w:szCs w:val="1"/>
                <w:color w:val="auto"/>
              </w:rPr>
            </w:pPr>
          </w:p>
        </w:tc>
        <w:tc>
          <w:tcPr>
            <w:tcW w:w="63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6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102,715,030</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79,686,648</w:t>
            </w:r>
          </w:p>
        </w:tc>
      </w:tr>
      <w:tr>
        <w:trPr>
          <w:trHeight w:val="20"/>
        </w:trPr>
        <w:tc>
          <w:tcPr>
            <w:tcW w:w="12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6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262,059,616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159,275,070</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6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1240"/>
          </w:cols>
          <w:pgMar w:left="320" w:top="108"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2420" w:type="dxa"/>
            <w:vAlign w:val="bottom"/>
          </w:tcPr>
          <w:p>
            <w:pPr>
              <w:spacing w:after="0"/>
              <w:rPr>
                <w:sz w:val="24"/>
                <w:szCs w:val="24"/>
                <w:color w:val="auto"/>
              </w:rPr>
            </w:pPr>
          </w:p>
        </w:tc>
        <w:tc>
          <w:tcPr>
            <w:tcW w:w="4600" w:type="dxa"/>
            <w:vAlign w:val="bottom"/>
            <w:gridSpan w:val="2"/>
          </w:tcPr>
          <w:p>
            <w:pPr>
              <w:jc w:val="center"/>
              <w:ind w:right="650"/>
              <w:spacing w:after="0"/>
              <w:rPr>
                <w:sz w:val="20"/>
                <w:szCs w:val="20"/>
                <w:color w:val="auto"/>
              </w:rPr>
            </w:pPr>
            <w:r>
              <w:rPr>
                <w:rFonts w:ascii="Times New Roman" w:cs="Times New Roman" w:eastAsia="Times New Roman" w:hAnsi="Times New Roman"/>
                <w:sz w:val="18"/>
                <w:szCs w:val="18"/>
                <w:color w:val="auto"/>
                <w:w w:val="99"/>
              </w:rPr>
              <w:t>FRIEDMAN INDUSTRIES, INCORPORATED</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8320" w:type="dxa"/>
            <w:vAlign w:val="bottom"/>
            <w:gridSpan w:val="5"/>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 UNAUDITED</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6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161,803,090</w:t>
            </w:r>
          </w:p>
        </w:tc>
        <w:tc>
          <w:tcPr>
            <w:tcW w:w="4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65,916,439</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4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Costs of products sold</w:t>
            </w:r>
          </w:p>
        </w:tc>
        <w:tc>
          <w:tcPr>
            <w:tcW w:w="4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143,131,162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48,586,504</w:t>
            </w:r>
          </w:p>
        </w:tc>
      </w:tr>
      <w:tr>
        <w:trPr>
          <w:trHeight w:val="216"/>
        </w:trPr>
        <w:tc>
          <w:tcPr>
            <w:tcW w:w="3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6,352,792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3,350,110</w:t>
            </w:r>
          </w:p>
        </w:tc>
      </w:tr>
      <w:tr>
        <w:trPr>
          <w:trHeight w:val="216"/>
        </w:trPr>
        <w:tc>
          <w:tcPr>
            <w:tcW w:w="37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43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429,381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149,913,335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51,959,824</w:t>
            </w:r>
          </w:p>
        </w:tc>
        <w:tc>
          <w:tcPr>
            <w:tcW w:w="100" w:type="dxa"/>
            <w:vAlign w:val="bottom"/>
          </w:tcPr>
          <w:p>
            <w:pPr>
              <w:spacing w:after="0"/>
              <w:rPr>
                <w:sz w:val="18"/>
                <w:szCs w:val="18"/>
                <w:color w:val="auto"/>
              </w:rPr>
            </w:pPr>
          </w:p>
        </w:tc>
      </w:tr>
      <w:tr>
        <w:trPr>
          <w:trHeight w:val="210"/>
        </w:trPr>
        <w:tc>
          <w:tcPr>
            <w:tcW w:w="37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EARNINGS FROM OPERATIONS</w:t>
            </w:r>
          </w:p>
        </w:tc>
        <w:tc>
          <w:tcPr>
            <w:tcW w:w="4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11,889,755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13,956,615</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4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2,767,703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312,062</w:t>
            </w:r>
          </w:p>
        </w:tc>
        <w:tc>
          <w:tcPr>
            <w:tcW w:w="100" w:type="dxa"/>
            <w:vAlign w:val="bottom"/>
          </w:tcPr>
          <w:p>
            <w:pPr>
              <w:spacing w:after="0"/>
              <w:rPr>
                <w:sz w:val="18"/>
                <w:szCs w:val="18"/>
                <w:color w:val="auto"/>
              </w:rPr>
            </w:pPr>
          </w:p>
        </w:tc>
      </w:tr>
      <w:tr>
        <w:trPr>
          <w:trHeight w:val="209"/>
        </w:trPr>
        <w:tc>
          <w:tcPr>
            <w:tcW w:w="37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4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14,657,458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14,268,677</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4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w:t>
            </w:r>
          </w:p>
        </w:tc>
        <w:tc>
          <w:tcPr>
            <w:tcW w:w="4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3,488,446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3,067,888</w:t>
            </w:r>
          </w:p>
        </w:tc>
      </w:tr>
      <w:tr>
        <w:trPr>
          <w:trHeight w:val="216"/>
        </w:trPr>
        <w:tc>
          <w:tcPr>
            <w:tcW w:w="3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w:t>
            </w:r>
          </w:p>
        </w:tc>
        <w:tc>
          <w:tcPr>
            <w:tcW w:w="4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(15,362)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(111,008)</w:t>
            </w:r>
          </w:p>
        </w:tc>
      </w:tr>
      <w:tr>
        <w:trPr>
          <w:trHeight w:val="209"/>
        </w:trPr>
        <w:tc>
          <w:tcPr>
            <w:tcW w:w="1280" w:type="dxa"/>
            <w:vAlign w:val="bottom"/>
            <w:tcBorders>
              <w:bottom w:val="single" w:sz="8" w:color="CCEEFF"/>
            </w:tcBorders>
            <w:shd w:val="clear" w:color="auto" w:fill="CCEEFF"/>
          </w:tcPr>
          <w:p>
            <w:pPr>
              <w:spacing w:after="0"/>
              <w:rPr>
                <w:sz w:val="18"/>
                <w:szCs w:val="18"/>
                <w:color w:val="auto"/>
              </w:rPr>
            </w:pPr>
          </w:p>
        </w:tc>
        <w:tc>
          <w:tcPr>
            <w:tcW w:w="2420" w:type="dxa"/>
            <w:vAlign w:val="bottom"/>
            <w:tcBorders>
              <w:bottom w:val="single" w:sz="8" w:color="CCEEFF"/>
            </w:tcBorders>
            <w:shd w:val="clear" w:color="auto" w:fill="CCEEFF"/>
          </w:tcPr>
          <w:p>
            <w:pPr>
              <w:spacing w:after="0"/>
              <w:rPr>
                <w:sz w:val="18"/>
                <w:szCs w:val="18"/>
                <w:color w:val="auto"/>
              </w:rPr>
            </w:pPr>
          </w:p>
        </w:tc>
        <w:tc>
          <w:tcPr>
            <w:tcW w:w="43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3,473,084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2,956,880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37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NET EARNINGS</w:t>
            </w:r>
          </w:p>
        </w:tc>
        <w:tc>
          <w:tcPr>
            <w:tcW w:w="46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11,184,374</w:t>
            </w:r>
          </w:p>
        </w:tc>
        <w:tc>
          <w:tcPr>
            <w:tcW w:w="4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11,311,797</w:t>
            </w: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 per share:</w:t>
            </w:r>
          </w:p>
        </w:tc>
        <w:tc>
          <w:tcPr>
            <w:tcW w:w="4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46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w:t>
            </w:r>
          </w:p>
        </w:tc>
        <w:tc>
          <w:tcPr>
            <w:tcW w:w="4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3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46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w:t>
            </w:r>
          </w:p>
        </w:tc>
        <w:tc>
          <w:tcPr>
            <w:tcW w:w="4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46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0.02</w:t>
            </w:r>
          </w:p>
        </w:tc>
        <w:tc>
          <w:tcPr>
            <w:tcW w:w="4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r>
      <w:tr>
        <w:trPr>
          <w:trHeight w:val="891"/>
        </w:trPr>
        <w:tc>
          <w:tcPr>
            <w:tcW w:w="1280" w:type="dxa"/>
            <w:vAlign w:val="bottom"/>
          </w:tcPr>
          <w:p>
            <w:pPr>
              <w:spacing w:after="0"/>
              <w:rPr>
                <w:sz w:val="24"/>
                <w:szCs w:val="24"/>
                <w:color w:val="auto"/>
              </w:rPr>
            </w:pPr>
          </w:p>
        </w:tc>
        <w:tc>
          <w:tcPr>
            <w:tcW w:w="8800" w:type="dxa"/>
            <w:vAlign w:val="bottom"/>
            <w:gridSpan w:val="7"/>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 (LOSS) — UNAUDITED</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46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11,184,374</w:t>
            </w:r>
          </w:p>
        </w:tc>
        <w:tc>
          <w:tcPr>
            <w:tcW w:w="4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11,311,797</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flow hedges, net of tax</w:t>
            </w:r>
          </w:p>
        </w:tc>
        <w:tc>
          <w:tcPr>
            <w:tcW w:w="4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7,174,117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(13,693,337)</w:t>
            </w:r>
          </w:p>
        </w:tc>
      </w:tr>
      <w:tr>
        <w:trPr>
          <w:trHeight w:val="20"/>
        </w:trPr>
        <w:tc>
          <w:tcPr>
            <w:tcW w:w="128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7,174,117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(13,693,337)</w:t>
            </w: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43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18,358,491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(2,381,540)</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4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right"/>
        <w:ind w:right="558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right"/>
        <w:ind w:righ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7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FRIEDMAN INDUSTRIES, INCORPORATED</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8320" w:type="dxa"/>
            <w:vAlign w:val="bottom"/>
            <w:gridSpan w:val="4"/>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UNAUDITED</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4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Net earnings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11,184,374</w:t>
            </w:r>
          </w:p>
        </w:tc>
        <w:tc>
          <w:tcPr>
            <w:tcW w:w="1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11,311,797</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Adjustments to reconcile net earnings to cash provided by (used in) operating activities: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337,358</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Deferred taxes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(111,008)</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Compensation expense for restricted stock</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121,704</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Change in postretirement benefits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2,186</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(Gain) loss recognized on open derivatives not designated for hedge accounting</w:t>
            </w:r>
          </w:p>
        </w:tc>
        <w:tc>
          <w:tcPr>
            <w:tcW w:w="1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(686,640)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2,953,960</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Deferred realized gain (loss) on derivatives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(1,450,919)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(3,812,820)</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Forgiveness of Paycheck Protection Program Loan</w:t>
            </w:r>
          </w:p>
        </w:tc>
        <w:tc>
          <w:tcPr>
            <w:tcW w:w="1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(1,706,614)</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Decrease (increase) in operating assets, net of amounts acquired in business combination:</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(40,809,423)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(9,606,421)</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21,613,081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(31,159,940)</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Federal income taxes recoverable</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1,403,485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233,347</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Increase (decrease) in operating liabilities, net of amounts assumed in business combination:</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(17,283,626)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29,300,241</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1,576,267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2,167,025</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Contribution to retirement plan</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Employee compensation and related expenses</w:t>
            </w: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2,008,143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2,037,042</w:t>
            </w:r>
          </w:p>
        </w:tc>
        <w:tc>
          <w:tcPr>
            <w:tcW w:w="100" w:type="dxa"/>
            <w:vAlign w:val="bottom"/>
          </w:tcPr>
          <w:p>
            <w:pPr>
              <w:spacing w:after="0"/>
              <w:rPr>
                <w:sz w:val="18"/>
                <w:szCs w:val="18"/>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(21,344,574)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2,117,857</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Plateplus business combination</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(71,720,208)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(2,811,797)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(2,756,265)</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Increase in cash surrender value of officers’ life insurance</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(3,463)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(2,896)</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(74,535,468)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(2,759,161)</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Debt issuance cost</w:t>
            </w:r>
          </w:p>
        </w:tc>
        <w:tc>
          <w:tcPr>
            <w:tcW w:w="1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(239,887)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Cash dividends paid</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(147,442)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(137,991)</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Cash paid for principal portion of finance lease</w:t>
            </w:r>
          </w:p>
        </w:tc>
        <w:tc>
          <w:tcPr>
            <w:tcW w:w="1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(25,983)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(25,486)</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Cash paid for share repurchases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(29,268)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Asset based lending facility proceeds</w:t>
            </w: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83,930,550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10,863,213</w:t>
            </w:r>
          </w:p>
        </w:tc>
        <w:tc>
          <w:tcPr>
            <w:tcW w:w="100" w:type="dxa"/>
            <w:vAlign w:val="bottom"/>
          </w:tcPr>
          <w:p>
            <w:pPr>
              <w:spacing w:after="0"/>
              <w:rPr>
                <w:sz w:val="18"/>
                <w:szCs w:val="18"/>
                <w:color w:val="auto"/>
              </w:rPr>
            </w:pPr>
          </w:p>
        </w:tc>
      </w:tr>
      <w:tr>
        <w:trPr>
          <w:trHeight w:val="210"/>
        </w:trPr>
        <w:tc>
          <w:tcPr>
            <w:tcW w:w="800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83,487,970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10,699,736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(DECREASE) IN CASH AND RESTRICTED CASH</w:t>
            </w:r>
          </w:p>
        </w:tc>
        <w:tc>
          <w:tcPr>
            <w:tcW w:w="1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(12,392,072)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10,058,432</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RESTRICTED CASH AT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16,121,518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20,192,486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RESTRICTED CASH AT END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3,729,446</w:t>
            </w:r>
          </w:p>
        </w:tc>
        <w:tc>
          <w:tcPr>
            <w:tcW w:w="1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30,250,918</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Cash and restricted cash at June 30, 2022 and March 31, 2022 included $1,320,670 and $13,523,416, respectively, of cash required to collateralize open derivative positions. These amounts are reported in "Other current assets" on the Company's consolidated balance sheets at June 30, 2022 and March 31, 2022. The Company had $29,360,060 in restricted cash at June 30, 2021.</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FRIEDMAN INDUSTRIES, INCORPORATED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NOTES TO QUARTERLY REPORT — UNAUDITED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 — BASIS OF PRESENTATION</w:t>
      </w:r>
    </w:p>
    <w:p>
      <w:pPr>
        <w:spacing w:after="0" w:line="225"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the instructions to Form 10-Q and do not include all of the information and footnotes required by U.S. generally accepted accounting principles for complete financial statements. In the opinion of management, all adjustments (consisting of normal recurring accruals) considered necessary for a fair presentation have been included. For further information, refer to the consolidated financial statements and footnotes of Friedman Industries, Incorporated (the “Company”) included in its annual report on Form 10-K for the year ended March 31, 2022.</w:t>
      </w:r>
    </w:p>
    <w:p>
      <w:pPr>
        <w:spacing w:after="0" w:line="18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The results of a business acquired in a business combination are included in the Company’s financial statements from the date of acquisition. The Company allocates the purchase price to the identifiable assets and liabilities of the acquired business at their acquisition date fair values. The excess of the purchase price over the amount allocated to the identifiable assets and liabilities, if any, is recorded as goodwill. Determining the fair value of assets acquired and liabilities assumed requires management to make significant judgments and estimates, including the selection of valuation methodologies, estimates of future revenue and cash flows, discount rates and selection of comparable companies. Acquisition-related transaction costs are expensed in the period in which the costs are incurred. Please refer to Note B for additional discussion of the acquisition completed by the Company during the quarter ended June 30, 2022.</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BUSINESS COMBINATIONS</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April 30, 2022, (the “Acquisition Date”), the Company acquired certain assets and liabilities of Plateplus, Inc. (“Plateplus”), a wholly owned subsidiary of Metal One, Inc. (“Metal One” or “Seller”), whereby the Company acquired the real estate, buildings, equipment, inventory, and other assets of Plateplus’ East Chicago, IN and Granite City, IL facilities and certain steel inventory at Plateplus’ Loudon, TN and Houston, TX facilities (the “Transaction”). The East Chicago and Granite City facilities are steel coil processing facilities that produce the same type of products as the Company's facilities in Hickman, AR and Decatur, AL and the Sinton, TX location where construction is concluding. As a result of the Transaction, the Company expanded its footprint and distribution capabilities in the mid-western United States.</w:t>
      </w:r>
    </w:p>
    <w:p>
      <w:pPr>
        <w:spacing w:after="0" w:line="18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Transaction resulted in the Company acquiring all the ownership interests in the assets noted above, for a total consideration of $76.5 million, of which $71.7 million was cash consideration (inclusive of a final net working capital adjustment of $7.9 million accrued and reported as a component of "Accounts payable and accrued expenses" on the Condensed Consolidated Balance Sheet at June 30, 2022) and $4.8 million related to 516,041 shares of common stock issued by the Company. The fair value of the 516,041 shares issued was determined based on the closing market price of the Company’s common stock on April 29, 2022, the last trading day prior to the Acquisition Date. At the Acquisition Date, the Transaction was funded with net borrowings of $64.0 million made under the Company's asset-based lending facility ("ABL Facility") provided by JPMorgan Chase Bank. An additional $7.9 million was funded by the ABL Facility subsequent to June 30, 2022 to pay the final net working capital adjustment.</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The Transaction was accounted for using the acquisition method of accounting, in accordance with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whereby the consideration transferred and the acquired identifiable assets and liabilities assumed are recorded at their respective fair values. The excess of the consideration transferred over the fair values of these identifiable net assets is recorded as goodwill. The Transaction resulted in no residual goodwill. The estimated fair values of assets acquired and liabilities assumed are provisional and are based on the information that was available as of the Acquisition Date to estimate the fair value of assets acquired and liabilities assumed. Therefore, the provisional measurements of fair value reflected are subject to change and such changes could be significant. The Company expects to finalize its fair value estimates as soon as practicable but no later than one year from the Acquisition Date.</w:t>
      </w:r>
    </w:p>
    <w:p>
      <w:pPr>
        <w:spacing w:after="0" w:line="397" w:lineRule="exact"/>
        <w:rPr>
          <w:sz w:val="20"/>
          <w:szCs w:val="20"/>
          <w:color w:val="auto"/>
        </w:rPr>
      </w:pPr>
    </w:p>
    <w:tbl>
      <w:tblPr>
        <w:tblLayout w:type="fixed"/>
        <w:tblInd w:w="186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assets acquired and liabilities assumed</w:t>
            </w: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77,546,000</w:t>
            </w:r>
          </w:p>
        </w:tc>
        <w:tc>
          <w:tcPr>
            <w:tcW w:w="20" w:type="dxa"/>
            <w:vAlign w:val="bottom"/>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8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18,022,000</w:t>
            </w:r>
          </w:p>
        </w:tc>
        <w:tc>
          <w:tcPr>
            <w:tcW w:w="20" w:type="dxa"/>
            <w:vAlign w:val="bottom"/>
          </w:tcPr>
          <w:p>
            <w:pPr>
              <w:spacing w:after="0"/>
              <w:rPr>
                <w:sz w:val="18"/>
                <w:szCs w:val="18"/>
                <w:color w:val="auto"/>
              </w:rPr>
            </w:pPr>
          </w:p>
        </w:tc>
      </w:tr>
      <w:tr>
        <w:trPr>
          <w:trHeight w:val="216"/>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8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(19,065,000)</w:t>
            </w:r>
          </w:p>
        </w:tc>
        <w:tc>
          <w:tcPr>
            <w:tcW w:w="20" w:type="dxa"/>
            <w:vAlign w:val="bottom"/>
          </w:tcPr>
          <w:p>
            <w:pPr>
              <w:spacing w:after="0"/>
              <w:rPr>
                <w:sz w:val="18"/>
                <w:szCs w:val="18"/>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76,503,000</w:t>
            </w:r>
          </w:p>
        </w:tc>
        <w:tc>
          <w:tcPr>
            <w:tcW w:w="20" w:type="dxa"/>
            <w:vAlign w:val="bottom"/>
            <w:tcBorders>
              <w:bottom w:val="single" w:sz="8" w:color="auto"/>
            </w:tcBorders>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 addition to the above, the Company recognized an initial right-of-use ("ROU") asset and lease liability of $1,237,097 during the June 30, 2022 quarter related to the Granite City location. Additional information about this lease is provided in Note E.</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consolidated operating results give effect to the Transaction as if it had been completed as of April 1, 2021. These pro forma amounts are not necessarily indicative of the operating results that would have occurred if the Transaction had occurred on such date. The pro forma adjustments are based on certain assumptions that we believe are reasonable.</w:t>
      </w:r>
    </w:p>
    <w:p>
      <w:pPr>
        <w:spacing w:after="0" w:line="172" w:lineRule="exact"/>
        <w:rPr>
          <w:sz w:val="20"/>
          <w:szCs w:val="20"/>
          <w:color w:val="auto"/>
        </w:rPr>
      </w:pPr>
    </w:p>
    <w:tbl>
      <w:tblPr>
        <w:tblLayout w:type="fixed"/>
        <w:tblInd w:w="192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2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09"/>
        </w:trPr>
        <w:tc>
          <w:tcPr>
            <w:tcW w:w="360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18"/>
                <w:szCs w:val="18"/>
                <w:color w:val="auto"/>
              </w:rPr>
            </w:pPr>
          </w:p>
        </w:tc>
      </w:tr>
      <w:tr>
        <w:trPr>
          <w:trHeight w:val="20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181,203,523</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113,143,769</w:t>
            </w: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Earnings from operations</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11,608,382</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14,387,891</w:t>
            </w:r>
          </w:p>
        </w:tc>
      </w:tr>
    </w:tbl>
    <w:p>
      <w:pPr>
        <w:spacing w:after="0" w:line="17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consolidated statement of operations for the period ended June 30, 2022, includes net sales and earnings from operations of approximately $53.6 million and $4.3 million, respectively, attributable to the East Chicago and Granite City facilities acquired from Plateplus. At the Acquisition Date, the Company acquired the inventory on hand at Plateplus' Houston and Loudon facilities and also assumed inventory on order related to these locations. Plateplus provided toll processing services for this material for a period of time following the Acquisition Date. In addition to the East Chicago and Granite City sales and earnings from operations, our consolidated statement of operations for the period ended June 30, 2022, includes net sales and earnings from operations of approximately $28.6 million and $2.1 million, respectively, attributable to sales of inventory from Houston and</w:t>
      </w:r>
    </w:p>
    <w:p>
      <w:pPr>
        <w:sectPr>
          <w:pgSz w:w="11900" w:h="16901" w:orient="portrait"/>
          <w:cols w:equalWidth="0" w:num="1">
            <w:col w:w="11240"/>
          </w:cols>
          <w:pgMar w:left="320" w:top="121" w:right="339" w:bottom="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8"/>
          <w:szCs w:val="18"/>
          <w:color w:val="auto"/>
        </w:rPr>
        <w:t>Loudon where the fixed assets were not acquired. The Company recorded transaction specific costs of approximately $750,000 million in the period ended June 30, 2022 as a component of "Selling, general and administrative" expenses on the Condensed Consolidated Statement of Operation. Additional information about the debt issuance costs is provided in Note 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 — INVENTORIES</w:t>
      </w:r>
    </w:p>
    <w:p>
      <w:pPr>
        <w:spacing w:after="0" w:line="225"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Inventories consist of prime coil, non-standard coil and tubular materials. Prime coil inventory consists primarily of raw materials, non-standard coil inventory consists primarily of raw materials and tubular inventory consists of both raw materials and finished goods. Cost for prime coil inventory is determined using the average cost method. Cost for non-standard coil inventory is determined using the specific identification method. Cost for tubular inventory is determined using the average cost method. All inventories are valued at the lower of cost or net realizable value.</w:t>
      </w:r>
    </w:p>
    <w:p>
      <w:pPr>
        <w:spacing w:after="0" w:line="180"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inventory values by product group follows:</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80" w:type="dxa"/>
            <w:vAlign w:val="bottom"/>
          </w:tcPr>
          <w:p>
            <w:pPr>
              <w:spacing w:after="0"/>
              <w:rPr>
                <w:sz w:val="24"/>
                <w:szCs w:val="24"/>
                <w:color w:val="auto"/>
              </w:rPr>
            </w:pPr>
          </w:p>
        </w:tc>
      </w:tr>
      <w:tr>
        <w:trPr>
          <w:trHeight w:val="209"/>
        </w:trPr>
        <w:tc>
          <w:tcPr>
            <w:tcW w:w="40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Prime Coil Inventory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106,359,822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50,482,022</w:t>
            </w:r>
          </w:p>
        </w:tc>
      </w:tr>
      <w:tr>
        <w:trPr>
          <w:trHeight w:val="216"/>
        </w:trPr>
        <w:tc>
          <w:tcPr>
            <w:tcW w:w="40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Non-Standard Coil Inventory</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325,424</w:t>
            </w: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1,063,374</w:t>
            </w:r>
          </w:p>
        </w:tc>
      </w:tr>
      <w:tr>
        <w:trPr>
          <w:trHeight w:val="216"/>
        </w:trPr>
        <w:tc>
          <w:tcPr>
            <w:tcW w:w="400" w:type="dxa"/>
            <w:vAlign w:val="bottom"/>
          </w:tcPr>
          <w:p>
            <w:pPr>
              <w:spacing w:after="0"/>
              <w:rPr>
                <w:sz w:val="18"/>
                <w:szCs w:val="18"/>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Tubular Raw Material</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13,354,943</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9,049,598</w:t>
            </w:r>
          </w:p>
        </w:tc>
      </w:tr>
      <w:tr>
        <w:trPr>
          <w:trHeight w:val="216"/>
        </w:trPr>
        <w:tc>
          <w:tcPr>
            <w:tcW w:w="40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Tubular Finished Goods</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3,839,441</w:t>
            </w: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7,351,128</w:t>
            </w:r>
          </w:p>
        </w:tc>
      </w:tr>
      <w:tr>
        <w:trPr>
          <w:trHeight w:val="20"/>
        </w:trPr>
        <w:tc>
          <w:tcPr>
            <w:tcW w:w="4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400" w:type="dxa"/>
            <w:vAlign w:val="bottom"/>
          </w:tcPr>
          <w:p>
            <w:pPr>
              <w:spacing w:after="0"/>
              <w:rPr>
                <w:sz w:val="19"/>
                <w:szCs w:val="19"/>
                <w:color w:val="auto"/>
              </w:rPr>
            </w:pPr>
          </w:p>
        </w:tc>
        <w:tc>
          <w:tcPr>
            <w:tcW w:w="6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123,879,630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67,946,122</w:t>
            </w:r>
          </w:p>
        </w:tc>
      </w:tr>
      <w:tr>
        <w:trPr>
          <w:trHeight w:val="20"/>
        </w:trPr>
        <w:tc>
          <w:tcPr>
            <w:tcW w:w="400" w:type="dxa"/>
            <w:vAlign w:val="bottom"/>
          </w:tcPr>
          <w:p>
            <w:pPr>
              <w:spacing w:after="0" w:line="20" w:lineRule="exact"/>
              <w:rPr>
                <w:sz w:val="1"/>
                <w:szCs w:val="1"/>
                <w:color w:val="auto"/>
              </w:rPr>
            </w:pPr>
          </w:p>
        </w:tc>
        <w:tc>
          <w:tcPr>
            <w:tcW w:w="6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Tubular raw material inventory consists of hot-rolled steel coils that the Company will manufacture into pipe. Tubular finished goods inventory consists of pipe the Company has manufactured.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D – DEBT</w:t>
      </w:r>
    </w:p>
    <w:p>
      <w:pPr>
        <w:spacing w:after="0" w:line="225" w:lineRule="exact"/>
        <w:rPr>
          <w:sz w:val="20"/>
          <w:szCs w:val="20"/>
          <w:color w:val="auto"/>
        </w:rPr>
      </w:pPr>
    </w:p>
    <w:p>
      <w:pPr>
        <w:jc w:val="both"/>
        <w:ind w:firstLine="511"/>
        <w:spacing w:after="0" w:line="266" w:lineRule="auto"/>
        <w:rPr>
          <w:sz w:val="20"/>
          <w:szCs w:val="20"/>
          <w:color w:val="auto"/>
        </w:rPr>
      </w:pPr>
      <w:r>
        <w:rPr>
          <w:rFonts w:ascii="Times New Roman" w:cs="Times New Roman" w:eastAsia="Times New Roman" w:hAnsi="Times New Roman"/>
          <w:sz w:val="18"/>
          <w:szCs w:val="18"/>
          <w:color w:val="auto"/>
        </w:rPr>
        <w:t>On June 22, 2021, the Small Business Administration authorized full forgiveness of the Company's Paycheck Protection Program loan. The gain of $1,706,614 from this extinguishment of debt included both principal and interest and is recorded as a component of "Other income, net" on the Company's Condensed Consolidated Statement of Operations for the three months ended June 30, 2021.</w:t>
      </w:r>
    </w:p>
    <w:p>
      <w:pPr>
        <w:spacing w:after="0" w:line="176" w:lineRule="exact"/>
        <w:rPr>
          <w:sz w:val="20"/>
          <w:szCs w:val="20"/>
          <w:color w:val="auto"/>
        </w:rPr>
      </w:pPr>
    </w:p>
    <w:p>
      <w:pPr>
        <w:jc w:val="both"/>
        <w:ind w:firstLine="441"/>
        <w:spacing w:after="0" w:line="251" w:lineRule="auto"/>
        <w:rPr>
          <w:sz w:val="20"/>
          <w:szCs w:val="20"/>
          <w:color w:val="auto"/>
        </w:rPr>
      </w:pPr>
      <w:r>
        <w:rPr>
          <w:rFonts w:ascii="Times New Roman" w:cs="Times New Roman" w:eastAsia="Times New Roman" w:hAnsi="Times New Roman"/>
          <w:sz w:val="18"/>
          <w:szCs w:val="18"/>
          <w:color w:val="auto"/>
        </w:rPr>
        <w:t>On March 8, 2021, the Company entered into a Credit Agreement providing for a $10 million revolving line of credit facility (the "Interim Credit Facility) with JPMorgan Chase Bank, N.A. (the "Bank"). The term of the Interim Credit Facility had an expiration date of July 15, 2021 because the Company was evaluating options for longer term credit arrangements. On April 12, 2021, the Company executed a first amendment to the Interim Credit Facility that increased the size of the facility from $10 million to $20 million. On May 19, 2021, the Company entered into an Amended and Restated Credit Agreement ("ABL Facility") with the Bank that amended and restated the Interim Credit Facility and provided for asset-based revolving loans in an aggregate principal amount up to $40 million. On March 11, 2022, the Company executed a first amendment to the ABL Facility which increased the size of the facility from $40 million to $75 million. On April 29, 2022, the Company entered into a Second Amendment to the ABL Facility. The Second Amendment amends the ABL facility in order to increase the asset-based revolving loans available thereunder from an aggregate principal amount of up to $75 million to an aggregate principal amount of up to $150 million. The ABL Facility matures on May 19, 2026 and is secured by substantially all of the assets of the Company. The Company can elect borrowings on a floating rate basis or a term basis. Floating rate borrowings accrue interest at a rate equal to the prime rate minus 1% per annum. Term rate borrowings accrue interest at a rate equal to the SOFR rate applicable to the selected term plus 1.8% per annum. Availability of funds under the ABL Facility is subject to a borrowing base calculation determined as the sum of (a) 90% of eligible accounts receivable, plus (b) the product of 85% multiplied by the net orderly liquidating value percentage identified in the most recent inventory appraisal multiplied by eligible inventory. The ABL Facility contains a springing financial covenant whereby the financial covenant is only tested when availability falls below the greater of 15% of the revolving commitment or $22.5 million. The financial covenant restricts the Company from allowing its fixed charge coverage ratio to be, as of the end of any calendar month, less than 1.10 to 1.00 for the trailing twelve month period then ending. The fixed charge coverage ratio is calculated as the ratio of (a) EBITDA, as defined in the ABL Facility, minus unfinanced capital expenditures to (b) cash interest expense plus scheduled principal payments on indebtedness plus taxes paid in cash plus restricted payments paid in cash plus capital lease obligation payments plus cash contributions to any employee pension benefit plans. The ABL Facility contains other representations and warranties and affirmative and negative covenants that are usual and customary. If certain conditions precedent are satisfied, the ABL facility may be increased by up to an aggregate of $25 million, in minimum increments of $5 million. At June 30, 2022, the Company had a balance of $102,367,007 under the ABL Facility with an applicable interest rate of 3.20%. At June 30, 2022, the Company's borrowing base supported full access to the ABL Facility and the Company was in compliance with all covenants related to the ABL Facility.</w:t>
      </w:r>
    </w:p>
    <w:p>
      <w:pPr>
        <w:spacing w:after="0" w:line="205"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Company incurred debt issuance costs of $239,887 in connection with the Second Amendment to the ABL Facility. The Company recorded these debt issuance costs as non-current other assets and will amortize these costs on an equal monthly basis over the remaining term of the ABL facility.</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July 6, 2022, the Company entered into a Third Amendment to the ABL Facility. The Third Amendment amends the ABL Facility in order to provide for the syndication of the asset-based revolving loans available thereunder with BMO Harris Bank, N.A. ("BMO") with JPMorgan Chase Bank serving as the arranging agent (the "Agent"). The Third Amendment also amends provisions of the ABL Facility authorizing the Agent to make protective advances under the ABL Facility and adds a covenant requiring each of the Company and its subsidiaries to maintain the Agent as its principal depository bank. In connection with the Third Amendment, the Company also entered into a Revolving Note payable to BMO in a principal amount of up to $50 million establishing BMO as a one-third syndicated participant in the Company's ABL facility.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NOTE E — LEASES</w:t>
      </w:r>
    </w:p>
    <w:p>
      <w:pPr>
        <w:spacing w:after="0" w:line="225"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During the three months ended June 30, 2022, the Company was assigned an operating lease associated with the real property and leasehold improvements for the Granite City, IL facility acquired from Plateplus pursuant to the Transaction. The current lease expires August 31, 2023 but contains a 20 year extension option in favor of the Company which the Company expects to exercise. The lease calls for quarterly rental payments of $18,832. The Company recognized an initial right-of-use ("ROU") asset and lease liability of $1,237,097 during the June 30, 2022 quarter related to this lease. The anticipated 20 year extension of this lease is included in the ROU asset and lease liability calculation. The Company’s lease of its office space in Longview, Texas is the only other operating lease included in the Company's ROU assets and lease liabilities. The lease calls for monthly rent payments of $4,878 and expires on April 30, 2024. The Company’s other operating leases for items such as IT equipment and storage space are either short-term in nature or immaterial.</w:t>
      </w:r>
    </w:p>
    <w:p>
      <w:pPr>
        <w:spacing w:after="0" w:line="19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In October 2019, the Company received a new heavy-duty forklift under a 5-year finance lease arrangement with a financed amount of $518,616 and a monthly payment of $9,074.</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components of expense related to leases for the three months ended June 30, 2022 and 2021 are as follows: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270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62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62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 amortization of ROU asset</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25,983</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25,487</w:t>
            </w: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 interest on lease liability</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1,736</w:t>
            </w: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27,188</w:t>
            </w:r>
          </w:p>
        </w:tc>
        <w:tc>
          <w:tcPr>
            <w:tcW w:w="10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14,634</w:t>
            </w:r>
          </w:p>
        </w:tc>
      </w:tr>
      <w:tr>
        <w:trPr>
          <w:trHeight w:val="20"/>
        </w:trPr>
        <w:tc>
          <w:tcPr>
            <w:tcW w:w="62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6220" w:type="dxa"/>
            <w:vAlign w:val="bottom"/>
          </w:tcPr>
          <w:p>
            <w:pPr>
              <w:spacing w:after="0"/>
              <w:rPr>
                <w:sz w:val="18"/>
                <w:szCs w:val="18"/>
                <w:color w:val="auto"/>
              </w:rPr>
            </w:pP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54,411</w:t>
            </w:r>
          </w:p>
        </w:tc>
        <w:tc>
          <w:tcPr>
            <w:tcW w:w="180" w:type="dxa"/>
            <w:vAlign w:val="bottom"/>
          </w:tcPr>
          <w:p>
            <w:pPr>
              <w:spacing w:after="0"/>
              <w:rPr>
                <w:sz w:val="18"/>
                <w:szCs w:val="18"/>
                <w:color w:val="auto"/>
              </w:rPr>
            </w:pP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41,857</w:t>
            </w:r>
          </w:p>
        </w:tc>
      </w:tr>
      <w:tr>
        <w:trPr>
          <w:trHeight w:val="20"/>
        </w:trPr>
        <w:tc>
          <w:tcPr>
            <w:tcW w:w="6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illustrates the balance sheet classification for ROU assets and lease liabilities as of June 30, 2022 and March 31, 2022:</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March 31, 2022</w:t>
            </w:r>
          </w:p>
        </w:tc>
        <w:tc>
          <w:tcPr>
            <w:tcW w:w="100" w:type="dxa"/>
            <w:vAlign w:val="bottom"/>
          </w:tcPr>
          <w:p>
            <w:pPr>
              <w:spacing w:after="0"/>
              <w:rPr>
                <w:sz w:val="20"/>
                <w:szCs w:val="20"/>
                <w:color w:val="auto"/>
              </w:rPr>
            </w:pPr>
          </w:p>
        </w:tc>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Balance Sheet Classification</w:t>
            </w: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1,330,241</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113,168</w:t>
            </w:r>
          </w:p>
        </w:tc>
        <w:tc>
          <w:tcPr>
            <w:tcW w:w="10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Operating lease right-of-use asset</w:t>
            </w: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Finance lease right-of-use asset</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449,465</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455,948</w:t>
            </w:r>
          </w:p>
        </w:tc>
        <w:tc>
          <w:tcPr>
            <w:tcW w:w="100" w:type="dxa"/>
            <w:vAlign w:val="bottom"/>
            <w:tcBorders>
              <w:bottom w:val="single" w:sz="8" w:color="CCEEFF"/>
            </w:tcBorders>
            <w:shd w:val="clear" w:color="auto" w:fill="CCEEFF"/>
          </w:tcPr>
          <w:p>
            <w:pPr>
              <w:spacing w:after="0"/>
              <w:rPr>
                <w:sz w:val="18"/>
                <w:szCs w:val="18"/>
                <w:color w:val="auto"/>
              </w:rPr>
            </w:pPr>
          </w:p>
        </w:tc>
        <w:tc>
          <w:tcPr>
            <w:tcW w:w="29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Property, plant &amp; equipment</w:t>
            </w:r>
          </w:p>
        </w:tc>
      </w:tr>
      <w:tr>
        <w:trPr>
          <w:trHeight w:val="209"/>
        </w:trPr>
        <w:tc>
          <w:tcPr>
            <w:tcW w:w="20" w:type="dxa"/>
            <w:vAlign w:val="bottom"/>
          </w:tcPr>
          <w:p>
            <w:pPr>
              <w:spacing w:after="0"/>
              <w:rPr>
                <w:sz w:val="18"/>
                <w:szCs w:val="18"/>
                <w:color w:val="auto"/>
              </w:rPr>
            </w:pPr>
          </w:p>
        </w:tc>
        <w:tc>
          <w:tcPr>
            <w:tcW w:w="40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right-of-use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1,779,706</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569,116</w:t>
            </w: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98,289</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52,270</w:t>
            </w:r>
          </w:p>
        </w:tc>
        <w:tc>
          <w:tcPr>
            <w:tcW w:w="10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Accrued expenses</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Finance lease liability, current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104,689</w:t>
            </w: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Current portion of finance lease</w:t>
            </w:r>
          </w:p>
        </w:tc>
      </w:tr>
      <w:tr>
        <w:trPr>
          <w:trHeight w:val="216"/>
        </w:trPr>
        <w:tc>
          <w:tcPr>
            <w:tcW w:w="20" w:type="dxa"/>
            <w:vAlign w:val="bottom"/>
          </w:tcPr>
          <w:p>
            <w:pPr>
              <w:spacing w:after="0"/>
              <w:rPr>
                <w:sz w:val="18"/>
                <w:szCs w:val="18"/>
                <w:color w:val="auto"/>
              </w:rPr>
            </w:pPr>
          </w:p>
        </w:tc>
        <w:tc>
          <w:tcPr>
            <w:tcW w:w="4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1,244,409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60,898</w:t>
            </w:r>
          </w:p>
        </w:tc>
        <w:tc>
          <w:tcPr>
            <w:tcW w:w="10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 non-current liabilities</w:t>
            </w: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Finance lease liability, non-current</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134,380</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160,869</w:t>
            </w:r>
          </w:p>
        </w:tc>
        <w:tc>
          <w:tcPr>
            <w:tcW w:w="100" w:type="dxa"/>
            <w:vAlign w:val="bottom"/>
            <w:tcBorders>
              <w:bottom w:val="single" w:sz="8" w:color="CCEEFF"/>
            </w:tcBorders>
            <w:shd w:val="clear" w:color="auto" w:fill="CCEEFF"/>
          </w:tcPr>
          <w:p>
            <w:pPr>
              <w:spacing w:after="0"/>
              <w:rPr>
                <w:sz w:val="18"/>
                <w:szCs w:val="18"/>
                <w:color w:val="auto"/>
              </w:rPr>
            </w:pPr>
          </w:p>
        </w:tc>
        <w:tc>
          <w:tcPr>
            <w:tcW w:w="29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Other non-current liabilities</w:t>
            </w:r>
          </w:p>
        </w:tc>
      </w:tr>
      <w:tr>
        <w:trPr>
          <w:trHeight w:val="210"/>
        </w:trPr>
        <w:tc>
          <w:tcPr>
            <w:tcW w:w="20" w:type="dxa"/>
            <w:vAlign w:val="bottom"/>
          </w:tcPr>
          <w:p>
            <w:pPr>
              <w:spacing w:after="0"/>
              <w:rPr>
                <w:sz w:val="18"/>
                <w:szCs w:val="18"/>
                <w:color w:val="auto"/>
              </w:rPr>
            </w:pPr>
          </w:p>
        </w:tc>
        <w:tc>
          <w:tcPr>
            <w:tcW w:w="40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lease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1,582,273</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378,726</w:t>
            </w: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As of June 30, 2022, the weighted-average remaining lease term was 19.7 years for operating leases and 2.3 years for finance leases. The weighted average discount rate was 2.8% for operating leases and 1.9% for finance leases.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Maturities of lease liabilities as of June 30, 2022 were as follows:</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8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0"/>
        </w:trPr>
        <w:tc>
          <w:tcPr>
            <w:tcW w:w="840" w:type="dxa"/>
            <w:vAlign w:val="bottom"/>
          </w:tcPr>
          <w:p>
            <w:pPr>
              <w:spacing w:after="0"/>
              <w:rPr>
                <w:sz w:val="18"/>
                <w:szCs w:val="18"/>
                <w:color w:val="auto"/>
              </w:rPr>
            </w:pPr>
          </w:p>
        </w:tc>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2023 (remainder of fiscal year)</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100,397</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81,669</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133,863</w:t>
            </w: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108,892</w:t>
            </w:r>
          </w:p>
        </w:tc>
        <w:tc>
          <w:tcPr>
            <w:tcW w:w="860" w:type="dxa"/>
            <w:vAlign w:val="bottom"/>
          </w:tcPr>
          <w:p>
            <w:pPr>
              <w:spacing w:after="0"/>
              <w:rPr>
                <w:sz w:val="18"/>
                <w:szCs w:val="18"/>
                <w:color w:val="auto"/>
              </w:rPr>
            </w:pPr>
          </w:p>
        </w:tc>
      </w:tr>
      <w:tr>
        <w:trPr>
          <w:trHeight w:val="230"/>
        </w:trPr>
        <w:tc>
          <w:tcPr>
            <w:tcW w:w="840" w:type="dxa"/>
            <w:vAlign w:val="bottom"/>
          </w:tcPr>
          <w:p>
            <w:pPr>
              <w:spacing w:after="0"/>
              <w:rPr>
                <w:sz w:val="19"/>
                <w:szCs w:val="19"/>
                <w:color w:val="auto"/>
              </w:rPr>
            </w:pPr>
          </w:p>
        </w:tc>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80,205</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54,446</w:t>
            </w:r>
          </w:p>
        </w:tc>
        <w:tc>
          <w:tcPr>
            <w:tcW w:w="860" w:type="dxa"/>
            <w:vAlign w:val="bottom"/>
          </w:tcPr>
          <w:p>
            <w:pPr>
              <w:spacing w:after="0"/>
              <w:rPr>
                <w:sz w:val="19"/>
                <w:szCs w:val="19"/>
                <w:color w:val="auto"/>
              </w:rPr>
            </w:pPr>
          </w:p>
        </w:tc>
      </w:tr>
      <w:tr>
        <w:trPr>
          <w:trHeight w:val="216"/>
        </w:trPr>
        <w:tc>
          <w:tcPr>
            <w:tcW w:w="84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75,327</w:t>
            </w: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 and beyond</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1,311,941</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4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1,701,733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245,007</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4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Less: imputed interest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(359,035)</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(5,432)</w:t>
            </w:r>
          </w:p>
        </w:tc>
        <w:tc>
          <w:tcPr>
            <w:tcW w:w="8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28"/>
        </w:trPr>
        <w:tc>
          <w:tcPr>
            <w:tcW w:w="840" w:type="dxa"/>
            <w:vAlign w:val="bottom"/>
          </w:tcPr>
          <w:p>
            <w:pPr>
              <w:spacing w:after="0"/>
              <w:rPr>
                <w:sz w:val="19"/>
                <w:szCs w:val="19"/>
                <w:color w:val="auto"/>
              </w:rPr>
            </w:pPr>
          </w:p>
        </w:tc>
        <w:tc>
          <w:tcPr>
            <w:tcW w:w="4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16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1,342,698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239,575</w:t>
            </w:r>
          </w:p>
        </w:tc>
        <w:tc>
          <w:tcPr>
            <w:tcW w:w="860" w:type="dxa"/>
            <w:vAlign w:val="bottom"/>
          </w:tcPr>
          <w:p>
            <w:pPr>
              <w:spacing w:after="0"/>
              <w:rPr>
                <w:sz w:val="19"/>
                <w:szCs w:val="19"/>
                <w:color w:val="auto"/>
              </w:rPr>
            </w:pPr>
          </w:p>
        </w:tc>
      </w:tr>
      <w:tr>
        <w:trPr>
          <w:trHeight w:val="414"/>
        </w:trPr>
        <w:tc>
          <w:tcPr>
            <w:tcW w:w="8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68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840" w:type="dxa"/>
            <w:vAlign w:val="bottom"/>
            <w:tcBorders>
              <w:bottom w:val="single" w:sz="8" w:color="auto"/>
            </w:tcBorders>
          </w:tcPr>
          <w:p>
            <w:pPr>
              <w:spacing w:after="0"/>
              <w:rPr>
                <w:sz w:val="10"/>
                <w:szCs w:val="10"/>
                <w:color w:val="auto"/>
              </w:rPr>
            </w:pPr>
          </w:p>
        </w:tc>
        <w:tc>
          <w:tcPr>
            <w:tcW w:w="454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F — PROPERTY, PLANT AND EQUIPMENT</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May 25, 2021, the Company announced plans for a new facility in Sinton, Texas that would be part of the coil product segment. The new facility is on the campus of Steel Dynamics, Inc.'s ("SDI") new flat roll steel mill in Sinton, Texas. The Company's new location consists of an approximately 70,000 square foot building located on approximately 26.5 acres leased from SDI under a 99-year agreement with an annual rental payment of $1. The Company contracted with Red Bud Industries to build a stretcher leveler cut-to-length line for the facility that is capable of handling material up to 1” thick, widths up to 96” and yields exceeding 100,000 psi. The Company expects to put the facility into service during October 2022 and estimates the total cost of the project to be approximately $22 million. The total estimated cost increased $1 million from previous estimates due primarily to adding a railcar mover, an additional heavy-duty forklift and additional railroad spur into the project. At June 30, 2022, the Company's construction in process related to the Sinton project was $19,422,533 consisting of $11,823,576 in cash payments and $7,598,957 of accrued capital expenditures.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G — STOCK BASED COMPENSATION</w:t>
      </w:r>
    </w:p>
    <w:p>
      <w:pPr>
        <w:spacing w:after="0" w:line="225"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Company maintains the Friedman Industries, Incorporated 2016 Restricted Stock Plan (the “Plan”). The Plan is administered by the Compensation Committee (the “Committee”) of the Board of Directors (the “Board”) and continues indefinitely until terminated by the Board or until all shares allowed by the Plan have been awarded and earned. The aggregate number of shares of the Company’s Common Stock eligible for award under the Plan is 500,000 shares. Subject to the terms and provisions of the Plan, the Committee may, from time to time, select the employees to whom awards will be granted and shall determine the amount and applicable restrictions of each award. Forfeitures are accounted for upon their occurrence.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restricted stock awards for the three months ended June 30,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Unvested at March 31, 2022</w:t>
      </w:r>
    </w:p>
    <w:p>
      <w:pPr>
        <w:spacing w:after="0" w:line="2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Cancelled or forfeited</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Vested</w:t>
      </w:r>
    </w:p>
    <w:p>
      <w:pPr>
        <w:spacing w:after="0" w:line="4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Unvested at June 30, 2022</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r>
      <w:tr>
        <w:trPr>
          <w:trHeight w:val="216"/>
        </w:trPr>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r>
      <w:tr>
        <w:trPr>
          <w:trHeight w:val="238"/>
        </w:trPr>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Value Per Share</w:t>
            </w:r>
          </w:p>
        </w:tc>
      </w:tr>
      <w:tr>
        <w:trPr>
          <w:trHeight w:val="191"/>
        </w:trPr>
        <w:tc>
          <w:tcPr>
            <w:tcW w:w="15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139,523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5.96</w:t>
            </w:r>
          </w:p>
        </w:tc>
      </w:tr>
      <w:tr>
        <w:trPr>
          <w:trHeight w:val="216"/>
        </w:trPr>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r>
      <w:tr>
        <w:trPr>
          <w:trHeight w:val="210"/>
        </w:trPr>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-719455</wp:posOffset>
            </wp:positionV>
            <wp:extent cx="641223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-445135</wp:posOffset>
            </wp:positionV>
            <wp:extent cx="641223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-162560</wp:posOffset>
            </wp:positionV>
            <wp:extent cx="641223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640" w:space="720"/>
            <w:col w:w="3880"/>
          </w:cols>
          <w:pgMar w:left="320" w:top="121" w:right="339" w:bottom="1440" w:gutter="0" w:footer="0" w:header="0"/>
          <w:type w:val="continuous"/>
        </w:sect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Compensation expense is recognized over the requisite service period applicable to each award. The Company recorded compensation expense of $73,153 and $121,704 in the three months ended June 30, 2022 and 2021, respectively, relating to the stock awards issued under the Plan. As of June 30, 2022, unrecognized compensation expense related to stock awards was approximately $472,000, which is expected to be recognized over a weighted average period of approximately 2.0 years. As of June 30, 2022, a total of 130,185 shares were still available to be issued under the Plan.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H — DERIVATIVE FINANCIAL INSTRUMENTS</w:t>
      </w:r>
    </w:p>
    <w:p>
      <w:pPr>
        <w:spacing w:after="0" w:line="225"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From time to time, we expect to use derivative financial instruments to minimize our exposure to commodity price risk that is inherent in our business. At the time derivative contracts are entered into, we assess whether the nature of the instrument qualifies for hedge accounting treatment according to the requirements of ASC 815 – Derivatives and Hedging (“ASC 815”). By using derivatives, the Company is exposed to credit and market risk. The Company’s exposure to credit risk includes the counterparty’s failure to fulfill its performance obligations under the terms of the derivative contract. The Company attempts to minimize its credit risk by entering into transactions with high quality counterparties and uses exchange-traded derivatives when available. Market risk is the risk that the value of the financial instrument might be adversely affected by a change in commodity prices. The Company manages market risk by continually monitoring exposure within its risk management strategy and portfolio. For those transactions designated as hedging instruments for accounting purposes, we document all relationships between hedging instruments and hedged items, as well as our risk-management objective and strategy for undertaking the various hedge transactions. We also assess, both at the hedge’s inception and on an ongoing basis, whether the derivatives used in hedging transactions are highly effective in offsetting changes in cash flows or fair value of hedged items.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From time to time, derivatives designated for hedge accounting may be closed prior to contract expiration. The accounting treatment of closed positions depends on whether the closure occurred due to the hedged transaction occurring early or if the hedged transaction is still expected to occur as originally forecasted. For hedged transactions that occur early, the closure results in the realized gain or loss from closure being recognized in the same period the accelerated hedged transaction affects earnings. For hedged transactions that are still expected to occur as originally forecasted, the closure results in the realized gain or loss being deferred until the hedged transaction affects earnings.</w:t>
      </w:r>
    </w:p>
    <w:p>
      <w:pPr>
        <w:spacing w:after="0" w:line="183"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If it is determined that hedged transactions associated with cash flow hedges are no longer probable of occurring, the gain or loss associated with the instrument is recognized immediately into earnings.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From time to time, we may have derivative financial instruments for which we do not elect hedge accounting.</w:t>
      </w:r>
    </w:p>
    <w:p>
      <w:pPr>
        <w:spacing w:after="0" w:line="22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Company has forward physical purchase supply agreements in place with some of its suppliers for a portion of its monthly physical steel needs. These supply agreements are not subject to mark-to-market accounting due to the Company electing the normal purchase normal sale exclusion provided in ASC 815.</w:t>
      </w:r>
    </w:p>
    <w:p>
      <w:pPr>
        <w:spacing w:after="0" w:line="176"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At June 30, 2022 and March 31, 2022, the Company held hot-rolled coil futures contracts which were designated as hedging instruments and classified as cash flow hedges, either as hedges of variable purchase prices or as hedges of variable sales prices. Accordingly, realized and unrealized gains and losses associated with the instruments are reported as a component of other comprehensive income and reclassified into earnings during the period in which the hedged transaction affects earnings. During the three months ended June 30, 2022, the Company also entered into hot-rolled coil futures contracts that were not designated as hedging instruments for accounting purposes. Accordingly, the change in fair value related to these instruments was immediately recognized in earnings.</w:t>
      </w:r>
    </w:p>
    <w:p>
      <w:pPr>
        <w:spacing w:after="0" w:line="187"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the Company’s derivative financial instruments and the respective line in which they were recorded in the Consolidated Balance Sheet as of June 30,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26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Derivatives designated as cash flow</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Balance Sheet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040" w:type="dxa"/>
            <w:vAlign w:val="bottom"/>
            <w:vMerge w:val="continue"/>
          </w:tcPr>
          <w:p>
            <w:pPr>
              <w:spacing w:after="0"/>
              <w:rPr>
                <w:sz w:val="14"/>
                <w:szCs w:val="14"/>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25"/>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hedges:</w:t>
            </w:r>
          </w:p>
        </w:tc>
        <w:tc>
          <w:tcPr>
            <w:tcW w:w="2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040" w:type="dxa"/>
            <w:vAlign w:val="bottom"/>
            <w:shd w:val="clear" w:color="auto" w:fill="CCEEFF"/>
          </w:tcPr>
          <w:p>
            <w:pPr>
              <w:ind w:left="180"/>
              <w:spacing w:after="0" w:line="191" w:lineRule="exact"/>
              <w:rPr>
                <w:sz w:val="20"/>
                <w:szCs w:val="20"/>
                <w:color w:val="auto"/>
              </w:rPr>
            </w:pPr>
            <w:r>
              <w:rPr>
                <w:rFonts w:ascii="Times New Roman" w:cs="Times New Roman" w:eastAsia="Times New Roman" w:hAnsi="Times New Roman"/>
                <w:sz w:val="18"/>
                <w:szCs w:val="18"/>
                <w:color w:val="auto"/>
              </w:rPr>
              <w:t>Hot-rolled coil steel contracts hedging</w:t>
            </w:r>
          </w:p>
        </w:tc>
        <w:tc>
          <w:tcPr>
            <w:tcW w:w="22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Current portion of derivative</w:t>
            </w:r>
          </w:p>
        </w:tc>
        <w:tc>
          <w:tcPr>
            <w:tcW w:w="12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5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assets</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1,333,860</w:t>
            </w:r>
          </w:p>
        </w:tc>
        <w:tc>
          <w:tcPr>
            <w:tcW w:w="2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0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Derivatives not designated as hedging</w:t>
            </w:r>
          </w:p>
        </w:tc>
        <w:tc>
          <w:tcPr>
            <w:tcW w:w="2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2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Current portion of derivative</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Current portion of derivative</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assets</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2,146,860</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2,675,400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All derivatives are presented on a gross basis on the Consolidated Balance Sheet.</w:t>
      </w:r>
    </w:p>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the Company’s derivative financial instruments and the respective line in which they were recorded in the Consolidated Balance Sheet as of March 31,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8"/>
          <w:szCs w:val="18"/>
          <w:b w:val="1"/>
          <w:bCs w:val="1"/>
          <w:color w:val="auto"/>
        </w:rPr>
        <w:t>Derivatives designated as cash flow hedges:</w:t>
      </w:r>
    </w:p>
    <w:p>
      <w:pPr>
        <w:spacing w:after="0" w:line="1" w:lineRule="exact"/>
        <w:rPr>
          <w:sz w:val="20"/>
          <w:szCs w:val="20"/>
          <w:color w:val="auto"/>
        </w:rPr>
      </w:pPr>
    </w:p>
    <w:p>
      <w:pPr>
        <w:ind w:left="180"/>
        <w:spacing w:after="0" w:line="260" w:lineRule="auto"/>
        <w:rPr>
          <w:sz w:val="20"/>
          <w:szCs w:val="20"/>
          <w:color w:val="auto"/>
        </w:rPr>
      </w:pPr>
      <w:r>
        <w:rPr>
          <w:rFonts w:ascii="Times New Roman" w:cs="Times New Roman" w:eastAsia="Times New Roman" w:hAnsi="Times New Roman"/>
          <w:sz w:val="18"/>
          <w:szCs w:val="18"/>
          <w:color w:val="auto"/>
        </w:rPr>
        <w:t>Hot-rolled coil steel contracts hedging sales</w:t>
      </w:r>
    </w:p>
    <w:p>
      <w:pPr>
        <w:spacing w:after="0" w:line="177"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Borders>
              <w:bottom w:val="single" w:sz="8" w:color="auto"/>
            </w:tcBorders>
            <w:gridSpan w:val="3"/>
          </w:tcPr>
          <w:p>
            <w:pPr>
              <w:ind w:left="126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1220" w:type="dxa"/>
            <w:vAlign w:val="bottom"/>
            <w:tcBorders>
              <w:bottom w:val="single" w:sz="8" w:color="auto"/>
            </w:tcBorders>
          </w:tcPr>
          <w:p>
            <w:pPr>
              <w:spacing w:after="0"/>
              <w:rPr>
                <w:sz w:val="20"/>
                <w:szCs w:val="20"/>
                <w:color w:val="auto"/>
              </w:rPr>
            </w:pPr>
          </w:p>
        </w:tc>
      </w:tr>
      <w:tr>
        <w:trPr>
          <w:trHeight w:val="232"/>
        </w:trPr>
        <w:tc>
          <w:tcPr>
            <w:tcW w:w="26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Balance Sheet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96"/>
        </w:trPr>
        <w:tc>
          <w:tcPr>
            <w:tcW w:w="26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191"/>
        </w:trPr>
        <w:tc>
          <w:tcPr>
            <w:tcW w:w="22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Current portion of derivative</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r>
      <w:tr>
        <w:trPr>
          <w:trHeight w:val="234"/>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8,905,500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-273685</wp:posOffset>
            </wp:positionV>
            <wp:extent cx="7132320"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137160</wp:posOffset>
            </wp:positionV>
            <wp:extent cx="713232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648" w:lineRule="exact"/>
        <w:rPr>
          <w:sz w:val="20"/>
          <w:szCs w:val="20"/>
          <w:color w:val="auto"/>
        </w:rPr>
      </w:pPr>
    </w:p>
    <w:p>
      <w:pPr>
        <w:sectPr>
          <w:pgSz w:w="11900" w:h="16838" w:orient="portrait"/>
          <w:cols w:equalWidth="0" w:num="2">
            <w:col w:w="2920" w:space="120"/>
            <w:col w:w="8200"/>
          </w:cols>
          <w:pgMar w:left="320" w:top="121" w:right="339" w:bottom="1440" w:gutter="0" w:footer="0" w:header="0"/>
          <w:type w:val="continuous"/>
        </w:sectPr>
      </w:pPr>
    </w:p>
    <w:tbl>
      <w:tblPr>
        <w:tblLayout w:type="fixed"/>
        <w:tblInd w:w="180" w:type="dxa"/>
        <w:tblCellMar>
          <w:top w:w="0" w:type="dxa"/>
          <w:left w:w="0" w:type="dxa"/>
          <w:bottom w:w="0" w:type="dxa"/>
          <w:right w:w="0" w:type="dxa"/>
        </w:tblCellMar>
      </w:tblPr>
      <w:tr>
        <w:trPr>
          <w:trHeight w:val="198"/>
        </w:trPr>
        <w:tc>
          <w:tcPr>
            <w:tcW w:w="2540" w:type="dxa"/>
            <w:vAlign w:val="bottom"/>
          </w:tcPr>
          <w:p>
            <w:pPr>
              <w:spacing w:after="0"/>
              <w:rPr>
                <w:sz w:val="17"/>
                <w:szCs w:val="17"/>
                <w:color w:val="auto"/>
              </w:rPr>
            </w:pPr>
          </w:p>
        </w:tc>
        <w:tc>
          <w:tcPr>
            <w:tcW w:w="2600" w:type="dxa"/>
            <w:vAlign w:val="bottom"/>
          </w:tcPr>
          <w:p>
            <w:pPr>
              <w:jc w:val="center"/>
              <w:ind w:left="210"/>
              <w:spacing w:after="0" w:line="198" w:lineRule="exact"/>
              <w:rPr>
                <w:sz w:val="20"/>
                <w:szCs w:val="20"/>
                <w:color w:val="auto"/>
              </w:rPr>
            </w:pPr>
            <w:r>
              <w:rPr>
                <w:rFonts w:ascii="Times New Roman" w:cs="Times New Roman" w:eastAsia="Times New Roman" w:hAnsi="Times New Roman"/>
                <w:sz w:val="18"/>
                <w:szCs w:val="18"/>
                <w:color w:val="auto"/>
                <w:w w:val="99"/>
              </w:rPr>
              <w:t>Current portion of derivative</w:t>
            </w:r>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Current portion of derivative</w:t>
            </w: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26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assets</w:t>
            </w: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4,240,740</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5,524,020</w:t>
            </w: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All derivatives are presented on a gross basis on the Consolidated Balance Sheet.</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At June 30, 2022 and March 31, 2022, the Company reported $330,200 and $933,200, respectively, in "Other current assets" on its Consolidated Balance Sheets related to futures contracts which were closed but were pending cash settlement.</w:t>
      </w:r>
    </w:p>
    <w:p>
      <w:pPr>
        <w:spacing w:after="0" w:line="162"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 notional amounts (quantities) of our cash flow hedges outstanding at June 30, 2022 consisted of 9,980 tons hedging sales with maturity dates ranging from July 2022 to September 2022.</w:t>
      </w:r>
    </w:p>
    <w:p>
      <w:pPr>
        <w:sectPr>
          <w:pgSz w:w="11900" w:h="16838" w:orient="portrait"/>
          <w:cols w:equalWidth="0" w:num="1">
            <w:col w:w="11240"/>
          </w:cols>
          <w:pgMar w:left="320" w:top="121" w:right="339" w:bottom="1440" w:gutter="0" w:footer="0" w:header="0"/>
          <w:type w:val="continuous"/>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pre-tax gain (loss) recognized in other comprehensive income and the gain (loss) reclassified from accumulated other comprehensive loss into earnings for derivative financial instruments designated as cash flow hedges for the periods presented: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Pre- Tax Gain</w:t>
            </w:r>
          </w:p>
        </w:tc>
      </w:tr>
      <w:tr>
        <w:trPr>
          <w:trHeight w:val="216"/>
        </w:trPr>
        <w:tc>
          <w:tcPr>
            <w:tcW w:w="5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Pre-Tax Gain</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Location of Gain (Loss)</w:t>
            </w:r>
          </w:p>
        </w:tc>
        <w:tc>
          <w:tcPr>
            <w:tcW w:w="100" w:type="dxa"/>
            <w:vAlign w:val="bottom"/>
          </w:tcPr>
          <w:p>
            <w:pPr>
              <w:spacing w:after="0"/>
              <w:rPr>
                <w:sz w:val="18"/>
                <w:szCs w:val="18"/>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(Loss) Reclassified</w:t>
            </w:r>
          </w:p>
        </w:tc>
      </w:tr>
      <w:tr>
        <w:trPr>
          <w:trHeight w:val="216"/>
        </w:trPr>
        <w:tc>
          <w:tcPr>
            <w:tcW w:w="5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Reclassified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from</w:t>
            </w:r>
          </w:p>
        </w:tc>
      </w:tr>
      <w:tr>
        <w:trPr>
          <w:trHeight w:val="216"/>
        </w:trPr>
        <w:tc>
          <w:tcPr>
            <w:tcW w:w="5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AOCI into Net</w:t>
            </w:r>
          </w:p>
        </w:tc>
      </w:tr>
      <w:tr>
        <w:trPr>
          <w:trHeight w:val="238"/>
        </w:trPr>
        <w:tc>
          <w:tcPr>
            <w:tcW w:w="546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Recognized in OCI</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from AOCI into Net Earnings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Earnings</w:t>
            </w:r>
          </w:p>
        </w:tc>
      </w:tr>
      <w:tr>
        <w:trPr>
          <w:trHeight w:val="20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three months ended June 30, 2022:</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8,833,360</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(626,180)</w:t>
            </w:r>
          </w:p>
        </w:tc>
      </w:tr>
      <w:tr>
        <w:trPr>
          <w:trHeight w:val="250"/>
        </w:trPr>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8,833,360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5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196"/>
        </w:trPr>
        <w:tc>
          <w:tcPr>
            <w:tcW w:w="5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three months ended June 30, 2021:</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(32,807,460)</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(5,098,020)</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Costs of goods sold</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1,582,200</w:t>
            </w:r>
          </w:p>
        </w:tc>
      </w:tr>
      <w:tr>
        <w:trPr>
          <w:trHeight w:val="20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(32,807,460)</w:t>
            </w: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(3,515,820)</w:t>
            </w:r>
          </w:p>
        </w:tc>
        <w:tc>
          <w:tcPr>
            <w:tcW w:w="100" w:type="dxa"/>
            <w:vAlign w:val="bottom"/>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estimated amount of net losses recognized in AOCI at June 30, 2022 expected to be reclassified into net earnings (loss) within the succeeding twelve months is $4,080,160. This amount consists of $5,745,540 in realized losses associated with closed hedges and net unrealized gains of $1,665,380 associated with open hedges that was computed using the fair value of the cash flow hedges as of June 30, 2022 and is subject to change before actual reclassification from AOCI to net earnings (loss).</w:t>
      </w:r>
    </w:p>
    <w:p>
      <w:pPr>
        <w:spacing w:after="0" w:line="180"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gain recognized in earnings for derivative instruments not designated as hedging instruments during the three months ended June 30, 2022:</w:t>
      </w:r>
    </w:p>
    <w:p>
      <w:pPr>
        <w:spacing w:after="0" w:line="158"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Gain Recognized in</w:t>
            </w:r>
          </w:p>
        </w:tc>
      </w:tr>
      <w:tr>
        <w:trPr>
          <w:trHeight w:val="216"/>
        </w:trPr>
        <w:tc>
          <w:tcPr>
            <w:tcW w:w="4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Earnings</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 of Gain</w:t>
            </w:r>
          </w:p>
        </w:tc>
        <w:tc>
          <w:tcPr>
            <w:tcW w:w="80" w:type="dxa"/>
            <w:vAlign w:val="bottom"/>
          </w:tcPr>
          <w:p>
            <w:pPr>
              <w:spacing w:after="0"/>
              <w:rPr>
                <w:sz w:val="18"/>
                <w:szCs w:val="18"/>
                <w:color w:val="auto"/>
              </w:rPr>
            </w:pPr>
          </w:p>
        </w:tc>
        <w:tc>
          <w:tcPr>
            <w:tcW w:w="2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Recognized in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476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80" w:type="dxa"/>
            <w:vAlign w:val="bottom"/>
          </w:tcPr>
          <w:p>
            <w:pPr>
              <w:spacing w:after="0"/>
              <w:rPr>
                <w:sz w:val="20"/>
                <w:szCs w:val="20"/>
                <w:color w:val="auto"/>
              </w:rPr>
            </w:pPr>
          </w:p>
        </w:tc>
      </w:tr>
      <w:tr>
        <w:trPr>
          <w:trHeight w:val="21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Other income (loss), net</w:t>
            </w:r>
          </w:p>
        </w:tc>
        <w:tc>
          <w:tcPr>
            <w:tcW w:w="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2,754,240</w:t>
            </w:r>
          </w:p>
        </w:tc>
      </w:tr>
    </w:tbl>
    <w:p>
      <w:pPr>
        <w:spacing w:after="0" w:line="198"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loss recognized in earnings for derivative instruments not designated as hedging instruments during the three months ended June 30, 2021:</w:t>
      </w:r>
    </w:p>
    <w:p>
      <w:pPr>
        <w:spacing w:after="0" w:line="158"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Loss Recognized in Earnings</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 of Loss</w:t>
            </w:r>
          </w:p>
        </w:tc>
        <w:tc>
          <w:tcPr>
            <w:tcW w:w="80" w:type="dxa"/>
            <w:vAlign w:val="bottom"/>
          </w:tcPr>
          <w:p>
            <w:pPr>
              <w:spacing w:after="0"/>
              <w:rPr>
                <w:sz w:val="18"/>
                <w:szCs w:val="18"/>
                <w:color w:val="auto"/>
              </w:rPr>
            </w:pPr>
          </w:p>
        </w:tc>
        <w:tc>
          <w:tcPr>
            <w:tcW w:w="2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Recognized in</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0" w:type="dxa"/>
            <w:vAlign w:val="bottom"/>
          </w:tcPr>
          <w:p>
            <w:pPr>
              <w:spacing w:after="0"/>
              <w:rPr>
                <w:sz w:val="1"/>
                <w:szCs w:val="1"/>
                <w:color w:val="auto"/>
              </w:rPr>
            </w:pPr>
          </w:p>
        </w:tc>
      </w:tr>
      <w:tr>
        <w:trPr>
          <w:trHeight w:val="130"/>
        </w:trPr>
        <w:tc>
          <w:tcPr>
            <w:tcW w:w="476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760" w:type="dxa"/>
            <w:vAlign w:val="bottom"/>
          </w:tcPr>
          <w:p>
            <w:pPr>
              <w:spacing w:after="0"/>
              <w:rPr>
                <w:sz w:val="9"/>
                <w:szCs w:val="9"/>
                <w:color w:val="auto"/>
              </w:rPr>
            </w:pPr>
          </w:p>
        </w:tc>
        <w:tc>
          <w:tcPr>
            <w:tcW w:w="182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Other income, net</w:t>
            </w: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(1,388,960)</w:t>
            </w:r>
          </w:p>
        </w:tc>
        <w:tc>
          <w:tcPr>
            <w:tcW w:w="0" w:type="dxa"/>
            <w:vAlign w:val="bottom"/>
          </w:tcPr>
          <w:p>
            <w:pPr>
              <w:spacing w:after="0"/>
              <w:rPr>
                <w:sz w:val="1"/>
                <w:szCs w:val="1"/>
                <w:color w:val="auto"/>
              </w:rPr>
            </w:pPr>
          </w:p>
        </w:tc>
      </w:tr>
      <w:tr>
        <w:trPr>
          <w:trHeight w:val="108"/>
        </w:trPr>
        <w:tc>
          <w:tcPr>
            <w:tcW w:w="4760" w:type="dxa"/>
            <w:vAlign w:val="bottom"/>
            <w:shd w:val="clear" w:color="auto" w:fill="CCEEFF"/>
          </w:tcPr>
          <w:p>
            <w:pPr>
              <w:spacing w:after="0"/>
              <w:rPr>
                <w:sz w:val="9"/>
                <w:szCs w:val="9"/>
                <w:color w:val="auto"/>
              </w:rPr>
            </w:pPr>
          </w:p>
        </w:tc>
        <w:tc>
          <w:tcPr>
            <w:tcW w:w="1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98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The notional amount (quantity) of our derivative instruments not designated as hedging instruments at June 30, 2022 consisted of 6,980 tons of long positions with maturity dates ranging from August 2022 to December 2022 and 18,800 tons of short positions with maturity dates ranging from July 2022 to February 2023.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reflects the change in accumulated other comprehensive income (loss), net of tax, for the periods presented:</w:t>
      </w:r>
    </w:p>
    <w:p>
      <w:pPr>
        <w:spacing w:after="0" w:line="221"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7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Gain (Loss) on</w:t>
            </w:r>
          </w:p>
        </w:tc>
      </w:tr>
      <w:tr>
        <w:trPr>
          <w:trHeight w:val="238"/>
        </w:trPr>
        <w:tc>
          <w:tcPr>
            <w:tcW w:w="7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80" w:type="dxa"/>
            <w:vAlign w:val="bottom"/>
          </w:tcPr>
          <w:p>
            <w:pPr>
              <w:spacing w:after="0"/>
              <w:rPr>
                <w:sz w:val="20"/>
                <w:szCs w:val="20"/>
                <w:color w:val="auto"/>
              </w:rPr>
            </w:pPr>
          </w:p>
        </w:tc>
      </w:tr>
      <w:tr>
        <w:trPr>
          <w:trHeight w:val="209"/>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(10,268,509)</w:t>
            </w:r>
          </w:p>
        </w:tc>
      </w:tr>
      <w:tr>
        <w:trPr>
          <w:trHeight w:val="216"/>
        </w:trPr>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income, net of loss, before reclassification</w:t>
            </w: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6,699,222</w:t>
            </w:r>
          </w:p>
        </w:tc>
      </w:tr>
      <w:tr>
        <w:trPr>
          <w:trHeight w:val="216"/>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loss reclassified from AOCI (1)</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474,895</w:t>
            </w:r>
          </w:p>
        </w:tc>
      </w:tr>
      <w:tr>
        <w:trPr>
          <w:trHeight w:val="20"/>
        </w:trPr>
        <w:tc>
          <w:tcPr>
            <w:tcW w:w="7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7,174,117</w:t>
            </w:r>
          </w:p>
        </w:tc>
      </w:tr>
      <w:tr>
        <w:trPr>
          <w:trHeight w:val="20"/>
        </w:trPr>
        <w:tc>
          <w:tcPr>
            <w:tcW w:w="7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(3,094,392)</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firstLine="656"/>
        <w:spacing w:after="0" w:line="282" w:lineRule="auto"/>
        <w:tabs>
          <w:tab w:leader="none" w:pos="9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reclassified from AOCI is presented net of tax benefits of $151,285 which are included in the provision for (benefit from) income taxes on the Company's Consolidated Statement of Operations for the three months ended June 30, 2022.</w:t>
      </w:r>
    </w:p>
    <w:p>
      <w:pPr>
        <w:spacing w:after="0" w:line="158"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7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Gain (Loss) on</w:t>
            </w:r>
          </w:p>
        </w:tc>
      </w:tr>
      <w:tr>
        <w:trPr>
          <w:trHeight w:val="238"/>
        </w:trPr>
        <w:tc>
          <w:tcPr>
            <w:tcW w:w="7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80" w:type="dxa"/>
            <w:vAlign w:val="bottom"/>
          </w:tcPr>
          <w:p>
            <w:pPr>
              <w:spacing w:after="0"/>
              <w:rPr>
                <w:sz w:val="20"/>
                <w:szCs w:val="20"/>
                <w:color w:val="auto"/>
              </w:rPr>
            </w:pPr>
          </w:p>
        </w:tc>
      </w:tr>
      <w:tr>
        <w:trPr>
          <w:trHeight w:val="209"/>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(11,187,841)</w:t>
            </w:r>
          </w:p>
        </w:tc>
      </w:tr>
      <w:tr>
        <w:trPr>
          <w:trHeight w:val="216"/>
        </w:trPr>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loss, net of income, before reclassification</w:t>
            </w: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(16,359,735)</w:t>
            </w:r>
          </w:p>
        </w:tc>
      </w:tr>
      <w:tr>
        <w:trPr>
          <w:trHeight w:val="216"/>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loss reclassified from AOCI (1)</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2,666,398</w:t>
            </w:r>
          </w:p>
        </w:tc>
      </w:tr>
      <w:tr>
        <w:trPr>
          <w:trHeight w:val="20"/>
        </w:trPr>
        <w:tc>
          <w:tcPr>
            <w:tcW w:w="7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Net current period other comprehensive loss</w:t>
            </w: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(13,693,337)</w:t>
            </w:r>
          </w:p>
        </w:tc>
      </w:tr>
      <w:tr>
        <w:trPr>
          <w:trHeight w:val="20"/>
        </w:trPr>
        <w:tc>
          <w:tcPr>
            <w:tcW w:w="7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(24,881,178)</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360" w:firstLine="656"/>
        <w:spacing w:after="0" w:line="282" w:lineRule="auto"/>
        <w:tabs>
          <w:tab w:leader="none" w:pos="9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reclassified from AOCI is presented net of tax benefits of $849,422 which are included in the provision for (benefit from) income taxes on the Company's Consolidated Statement of Operations for the three months ended June 30, 2021.</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At June 30, 2022 and March 31, 2022, cash of $1,320,670 and $13,523,416, respectively, was held by our clearing agent to collateralize our open derivative positions. These cash requirements are included in "Other current assets" on the Company's Consolidated Balance Sheets at June 30, 2022 and March 31, 2022.</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I — FAIR VALUE MEASUREMENTS</w:t>
      </w:r>
    </w:p>
    <w:p>
      <w:pPr>
        <w:spacing w:after="0" w:line="22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Accounting standards provide a comprehensive framework for measuring fair value and sets forth a definition of fair value and establishes a hierarchy prioritizing the inputs to valuation techniques, giving the highest priority to quoted prices in active markets for identical assets and liabilities and the lowest priority to unobservable value inputs. Levels within the hierarchy are defined as follows:</w:t>
      </w:r>
    </w:p>
    <w:p>
      <w:pPr>
        <w:spacing w:after="0" w:line="176"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for identical assets and liabilities in active markets.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observable for the assets and liabilities, either directly or indirectly.</w:t>
      </w:r>
    </w:p>
    <w:p>
      <w:pPr>
        <w:spacing w:after="0" w:line="9" w:lineRule="exact"/>
        <w:rPr>
          <w:rFonts w:ascii="Times New Roman" w:cs="Times New Roman" w:eastAsia="Times New Roman" w:hAnsi="Times New Roman"/>
          <w:sz w:val="18"/>
          <w:szCs w:val="18"/>
          <w:color w:val="auto"/>
        </w:rPr>
      </w:pPr>
    </w:p>
    <w:p>
      <w:pPr>
        <w:ind w:left="980" w:right="20" w:hanging="324"/>
        <w:spacing w:after="0" w:line="260"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and liabilities.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June 30, 2022, our financial assets, net, measured at fair value on a recurring basis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futures – financial assets,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805,320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805,320</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805,320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805,320</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March 31, 2022, our financial liabilities, net, measured at fair value on a recurring basis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futures – financial liabilities,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(10,188,780)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(10,188,780)</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(10,188,780)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(10,188,780)</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At June 30, 2022 and March 31, 2022, the Company did not have any fair value measurements on a non-recurring basis.</w:t>
      </w:r>
    </w:p>
    <w:p>
      <w:pPr>
        <w:sectPr>
          <w:pgSz w:w="11900" w:h="16838" w:orient="portrait"/>
          <w:cols w:equalWidth="0" w:num="1">
            <w:col w:w="11240"/>
          </w:cols>
          <w:pgMar w:left="320" w:top="121" w:right="339" w:bottom="906"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06"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70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96"/>
        </w:trPr>
        <w:tc>
          <w:tcPr>
            <w:tcW w:w="7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 J — SEGMENT INFORMATION (in thousands)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60" w:type="dxa"/>
            <w:vAlign w:val="bottom"/>
            <w:gridSpan w:val="5"/>
          </w:tcPr>
          <w:p>
            <w:pPr>
              <w:jc w:val="right"/>
              <w:ind w:right="138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10"/>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r>
      <w:tr>
        <w:trPr>
          <w:trHeight w:val="209"/>
        </w:trPr>
        <w:tc>
          <w:tcPr>
            <w:tcW w:w="840" w:type="dxa"/>
            <w:vAlign w:val="bottom"/>
          </w:tcPr>
          <w:p>
            <w:pPr>
              <w:spacing w:after="0"/>
              <w:rPr>
                <w:sz w:val="18"/>
                <w:szCs w:val="18"/>
                <w:color w:val="auto"/>
              </w:rPr>
            </w:pPr>
          </w:p>
        </w:tc>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6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Coil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142,877</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52,695</w:t>
            </w:r>
          </w:p>
        </w:tc>
      </w:tr>
      <w:tr>
        <w:trPr>
          <w:trHeight w:val="216"/>
        </w:trPr>
        <w:tc>
          <w:tcPr>
            <w:tcW w:w="840" w:type="dxa"/>
            <w:vAlign w:val="bottom"/>
          </w:tcPr>
          <w:p>
            <w:pPr>
              <w:spacing w:after="0"/>
              <w:rPr>
                <w:sz w:val="18"/>
                <w:szCs w:val="18"/>
                <w:color w:val="auto"/>
              </w:rPr>
            </w:pPr>
          </w:p>
        </w:tc>
        <w:tc>
          <w:tcPr>
            <w:tcW w:w="62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Tubular</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18,926</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13,221</w:t>
            </w:r>
          </w:p>
        </w:tc>
      </w:tr>
      <w:tr>
        <w:trPr>
          <w:trHeight w:val="20"/>
        </w:trPr>
        <w:tc>
          <w:tcPr>
            <w:tcW w:w="840" w:type="dxa"/>
            <w:vAlign w:val="bottom"/>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7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net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161,803</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65,916</w:t>
            </w:r>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6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62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Coil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13,543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13,256</w:t>
            </w:r>
          </w:p>
        </w:tc>
      </w:tr>
      <w:tr>
        <w:trPr>
          <w:trHeight w:val="216"/>
        </w:trPr>
        <w:tc>
          <w:tcPr>
            <w:tcW w:w="840" w:type="dxa"/>
            <w:vAlign w:val="bottom"/>
          </w:tcPr>
          <w:p>
            <w:pPr>
              <w:spacing w:after="0"/>
              <w:rPr>
                <w:sz w:val="18"/>
                <w:szCs w:val="18"/>
                <w:color w:val="auto"/>
              </w:rPr>
            </w:pPr>
          </w:p>
        </w:tc>
        <w:tc>
          <w:tcPr>
            <w:tcW w:w="6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Tubular</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2,600</w:t>
            </w:r>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84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profit</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15,647</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15,856</w:t>
            </w:r>
          </w:p>
        </w:tc>
      </w:tr>
      <w:tr>
        <w:trPr>
          <w:trHeight w:val="216"/>
        </w:trPr>
        <w:tc>
          <w:tcPr>
            <w:tcW w:w="840" w:type="dxa"/>
            <w:vAlign w:val="bottom"/>
          </w:tcPr>
          <w:p>
            <w:pPr>
              <w:spacing w:after="0"/>
              <w:rPr>
                <w:sz w:val="18"/>
                <w:szCs w:val="18"/>
                <w:color w:val="auto"/>
              </w:rPr>
            </w:pPr>
          </w:p>
        </w:tc>
        <w:tc>
          <w:tcPr>
            <w:tcW w:w="6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1,876</w:t>
            </w:r>
          </w:p>
        </w:tc>
      </w:tr>
      <w:tr>
        <w:trPr>
          <w:trHeight w:val="216"/>
        </w:trPr>
        <w:tc>
          <w:tcPr>
            <w:tcW w:w="840" w:type="dxa"/>
            <w:vAlign w:val="bottom"/>
          </w:tcPr>
          <w:p>
            <w:pPr>
              <w:spacing w:after="0"/>
              <w:rPr>
                <w:sz w:val="18"/>
                <w:szCs w:val="18"/>
                <w:color w:val="auto"/>
              </w:rPr>
            </w:pPr>
          </w:p>
        </w:tc>
        <w:tc>
          <w:tcPr>
            <w:tcW w:w="62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40" w:type="dxa"/>
            <w:vAlign w:val="bottom"/>
          </w:tcPr>
          <w:p>
            <w:pPr>
              <w:spacing w:after="0"/>
              <w:rPr>
                <w:sz w:val="18"/>
                <w:szCs w:val="18"/>
                <w:color w:val="auto"/>
              </w:rPr>
            </w:pPr>
          </w:p>
        </w:tc>
        <w:tc>
          <w:tcPr>
            <w:tcW w:w="6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312</w:t>
            </w:r>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9"/>
        </w:trPr>
        <w:tc>
          <w:tcPr>
            <w:tcW w:w="840" w:type="dxa"/>
            <w:vAlign w:val="bottom"/>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earnings before income taxes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14,657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14,269</w:t>
            </w:r>
          </w:p>
        </w:tc>
      </w:tr>
      <w:tr>
        <w:trPr>
          <w:trHeight w:val="628"/>
        </w:trPr>
        <w:tc>
          <w:tcPr>
            <w:tcW w:w="840" w:type="dxa"/>
            <w:vAlign w:val="bottom"/>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5780" w:type="dxa"/>
            <w:vAlign w:val="bottom"/>
            <w:tcBorders>
              <w:top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80" w:type="dxa"/>
            <w:vAlign w:val="bottom"/>
            <w:tcBorders>
              <w:top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4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80" w:type="dxa"/>
            <w:vAlign w:val="bottom"/>
            <w:tcBorders>
              <w:top w:val="single" w:sz="8" w:color="CCEEFF"/>
            </w:tcBorders>
          </w:tcPr>
          <w:p>
            <w:pPr>
              <w:spacing w:after="0"/>
              <w:rPr>
                <w:sz w:val="24"/>
                <w:szCs w:val="24"/>
                <w:color w:val="auto"/>
              </w:rPr>
            </w:pPr>
          </w:p>
        </w:tc>
      </w:tr>
      <w:tr>
        <w:trPr>
          <w:trHeight w:val="210"/>
        </w:trPr>
        <w:tc>
          <w:tcPr>
            <w:tcW w:w="840" w:type="dxa"/>
            <w:vAlign w:val="bottom"/>
          </w:tcPr>
          <w:p>
            <w:pPr>
              <w:spacing w:after="0"/>
              <w:rPr>
                <w:sz w:val="18"/>
                <w:szCs w:val="18"/>
                <w:color w:val="auto"/>
              </w:rPr>
            </w:pPr>
          </w:p>
        </w:tc>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6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Coil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233,397</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115,232</w:t>
            </w:r>
          </w:p>
        </w:tc>
      </w:tr>
      <w:tr>
        <w:trPr>
          <w:trHeight w:val="216"/>
        </w:trPr>
        <w:tc>
          <w:tcPr>
            <w:tcW w:w="840" w:type="dxa"/>
            <w:vAlign w:val="bottom"/>
          </w:tcPr>
          <w:p>
            <w:pPr>
              <w:spacing w:after="0"/>
              <w:rPr>
                <w:sz w:val="18"/>
                <w:szCs w:val="18"/>
                <w:color w:val="auto"/>
              </w:rPr>
            </w:pPr>
          </w:p>
        </w:tc>
        <w:tc>
          <w:tcPr>
            <w:tcW w:w="62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Tubular</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24,314</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24,017</w:t>
            </w:r>
          </w:p>
        </w:tc>
      </w:tr>
      <w:tr>
        <w:trPr>
          <w:trHeight w:val="20"/>
        </w:trPr>
        <w:tc>
          <w:tcPr>
            <w:tcW w:w="840" w:type="dxa"/>
            <w:vAlign w:val="bottom"/>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7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257,711</w:t>
            </w: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139,249</w:t>
            </w:r>
          </w:p>
        </w:tc>
      </w:tr>
      <w:tr>
        <w:trPr>
          <w:trHeight w:val="216"/>
        </w:trPr>
        <w:tc>
          <w:tcPr>
            <w:tcW w:w="840" w:type="dxa"/>
            <w:vAlign w:val="bottom"/>
          </w:tcPr>
          <w:p>
            <w:pPr>
              <w:spacing w:after="0"/>
              <w:rPr>
                <w:sz w:val="18"/>
                <w:szCs w:val="18"/>
                <w:color w:val="auto"/>
              </w:rPr>
            </w:pPr>
          </w:p>
        </w:tc>
        <w:tc>
          <w:tcPr>
            <w:tcW w:w="62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assets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20,026</w:t>
            </w:r>
          </w:p>
        </w:tc>
      </w:tr>
      <w:tr>
        <w:trPr>
          <w:trHeight w:val="20"/>
        </w:trPr>
        <w:tc>
          <w:tcPr>
            <w:tcW w:w="840" w:type="dxa"/>
            <w:vAlign w:val="bottom"/>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7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262,060</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159,275</w:t>
            </w:r>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Operating profit is total net sales less operating expenses, excluding general corporate expenses, interest expense and other income. General corporate expenses reflect general and administrative expenses not directly associated with segment operations and consist primarily of corporate and accounting salaries, professional fees and services, bad debts, retirement plan contribution expense, corporate insurance expenses, restricted stock plan compensation expense and office supplies. Other income for the three months ended June 30, 2022 consisted primarily of a $2,754,240 gain related to derivatives not designated for hedge accounting. Other income for the three months ended June 30, 2021 consisted primarily of a $1,706,614 gain from the</w:t>
      </w:r>
    </w:p>
    <w:p>
      <w:pPr>
        <w:spacing w:after="0" w:line="3" w:lineRule="exact"/>
        <w:rPr>
          <w:sz w:val="20"/>
          <w:szCs w:val="20"/>
          <w:color w:val="auto"/>
        </w:rPr>
      </w:pPr>
    </w:p>
    <w:p>
      <w:pPr>
        <w:jc w:val="both"/>
        <w:ind w:firstLine="8"/>
        <w:spacing w:after="0" w:line="255" w:lineRule="auto"/>
        <w:tabs>
          <w:tab w:leader="none" w:pos="3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forgiveness partially offset by a $1,388,960 loss related to derivatives not designated for hedge accounting. Corporate assets consist primarily of cash, restricted cash and the cash value of officers’ life insurance. Although inventory is transferred at cost between product groups, there are no sales between product groups.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K — REVENUE</w:t>
      </w:r>
    </w:p>
    <w:p>
      <w:pPr>
        <w:spacing w:after="0" w:line="225"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Revenue is generated primarily from contracts to manufacture or process steel products. Most of the Company’s revenue is generated by sales of material out of the Company’s inventory, but a portion of the Company’s revenue is derived from processing of customer owned material. Generally, the Company’s performance obligations are satisfied, control of our products is transferred, and revenue is recognized at a single point in time, when title transfers to our customer for product shipped or when services are provided. Revenues are recorded net of any sales incentives. Shipping and other transportation costs charged to customers are treated as fulfillment activities and are recorded in both revenue and cost of sales at the time control is transferred to the customer. Costs related to obtaining sales contracts are incidental and expensed when incurred. Because customers are invoiced at the time title transfers and the Company’s rights to consideration are unconditional at that time, the Company does not maintain contract asset balances. Additionally, the Company does not maintain contract liability balances, as performance obligations are satisfied prior to customer payment for product. The Company offers industry standard payment terms.</w:t>
      </w:r>
    </w:p>
    <w:p>
      <w:pPr>
        <w:spacing w:after="0" w:line="188"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The Company has two reportable segments: Coil and Tubular. Coil primarily generates revenue from cutting to length hot-rolled steel coils. Coil segment revenue consists of three main product types: Prime Coil, Non-Standard Coil and Customer Owned Coil. Tubular primarily generates revenue from manufacturing and distributing steel pipe. Tubular segment revenue consists of two main product types: Manufactured Pipe and Mill Reject Pipe. In March 2020, U.S. Steel announced the idling of their Lone Star Tubular Operations which was the Company's sole supplier of mill reject pipe. U.S. Steel's facility was idled as announced and the Company's receipts of mill reject pipe ceased in August 2020. At June 30, 2022, the Company was sold out of mill reject pipe. The Company has expanded its focus on manufactured pipe sales to counteract the impact of mill reject pipe revenue concluding. The following table disaggregates our revenue by product for each of our reportable business segments for the three months ended June 30, 2022 and 2021, respectively:</w:t>
      </w:r>
    </w:p>
    <w:p>
      <w:pPr>
        <w:spacing w:after="0" w:line="185"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332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5660" w:type="dxa"/>
            <w:vAlign w:val="bottom"/>
          </w:tcPr>
          <w:p>
            <w:pPr>
              <w:spacing w:after="0"/>
              <w:rPr>
                <w:sz w:val="20"/>
                <w:szCs w:val="20"/>
                <w:color w:val="auto"/>
              </w:rPr>
            </w:pPr>
          </w:p>
        </w:tc>
        <w:tc>
          <w:tcPr>
            <w:tcW w:w="2120" w:type="dxa"/>
            <w:vAlign w:val="bottom"/>
            <w:tcBorders>
              <w:bottom w:val="single" w:sz="8" w:color="auto"/>
            </w:tcBorders>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660" w:type="dxa"/>
            <w:vAlign w:val="bottom"/>
          </w:tcPr>
          <w:p>
            <w:pPr>
              <w:spacing w:after="0"/>
              <w:rPr>
                <w:sz w:val="18"/>
                <w:szCs w:val="18"/>
                <w:color w:val="auto"/>
              </w:rPr>
            </w:pPr>
          </w:p>
        </w:tc>
        <w:tc>
          <w:tcPr>
            <w:tcW w:w="15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r>
      <w:tr>
        <w:trPr>
          <w:trHeight w:val="20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Coil Segment:</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Prime Coil</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140,980,354</w:t>
            </w:r>
          </w:p>
        </w:tc>
        <w:tc>
          <w:tcPr>
            <w:tcW w:w="4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49,751,884</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Non-standard Coil</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1,531,306</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2,823,203</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Customer Owned Coil</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365,312</w:t>
            </w:r>
          </w:p>
        </w:tc>
        <w:tc>
          <w:tcPr>
            <w:tcW w:w="4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119,643</w:t>
            </w:r>
          </w:p>
        </w:tc>
      </w:tr>
      <w:tr>
        <w:trPr>
          <w:trHeight w:val="20"/>
        </w:trPr>
        <w:tc>
          <w:tcPr>
            <w:tcW w:w="56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566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142,876,972</w:t>
            </w:r>
          </w:p>
        </w:tc>
        <w:tc>
          <w:tcPr>
            <w:tcW w:w="4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52,694,730</w:t>
            </w:r>
          </w:p>
        </w:tc>
      </w:tr>
      <w:tr>
        <w:trPr>
          <w:trHeight w:val="197"/>
        </w:trPr>
        <w:tc>
          <w:tcPr>
            <w:tcW w:w="566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Tubular Segment:</w:t>
            </w:r>
          </w:p>
        </w:tc>
        <w:tc>
          <w:tcPr>
            <w:tcW w:w="15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Manufactured Pipe</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18,472,098</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9,606,810</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Mill Reject Pipe</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454,020</w:t>
            </w:r>
          </w:p>
        </w:tc>
        <w:tc>
          <w:tcPr>
            <w:tcW w:w="4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3,614,899</w:t>
            </w:r>
          </w:p>
        </w:tc>
      </w:tr>
      <w:tr>
        <w:trPr>
          <w:trHeight w:val="20"/>
        </w:trPr>
        <w:tc>
          <w:tcPr>
            <w:tcW w:w="56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18,926,118</w:t>
            </w:r>
          </w:p>
        </w:tc>
        <w:tc>
          <w:tcPr>
            <w:tcW w:w="4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13,221,709</w:t>
            </w:r>
          </w:p>
        </w:tc>
      </w:tr>
      <w:tr>
        <w:trPr>
          <w:trHeight w:val="20"/>
        </w:trPr>
        <w:tc>
          <w:tcPr>
            <w:tcW w:w="56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L — STOCKHOLDERS’ EQUITY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reflect the changes in stockholders’ equity for each of the three months ended June 30, 2022 and June 30,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Net of Tax</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1"/>
        </w:trPr>
        <w:tc>
          <w:tcPr>
            <w:tcW w:w="3280" w:type="dxa"/>
            <w:vAlign w:val="bottom"/>
            <w:shd w:val="clear" w:color="auto" w:fill="CCEEFF"/>
          </w:tcPr>
          <w:p>
            <w:pPr>
              <w:ind w:left="820"/>
              <w:spacing w:after="0" w:line="191" w:lineRule="exact"/>
              <w:rPr>
                <w:sz w:val="20"/>
                <w:szCs w:val="20"/>
                <w:color w:val="auto"/>
              </w:rPr>
            </w:pPr>
            <w:r>
              <w:rPr>
                <w:rFonts w:ascii="Times New Roman" w:cs="Times New Roman" w:eastAsia="Times New Roman" w:hAnsi="Times New Roman"/>
                <w:sz w:val="18"/>
                <w:szCs w:val="18"/>
                <w:color w:val="auto"/>
              </w:rPr>
              <w:t>BALANCE AT MARCH 31,</w:t>
            </w: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32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8,344,975</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(10,268,509)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30,442,361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(7,741,197)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58,909,018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79,686,648</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spacing w:after="0"/>
              <w:rPr>
                <w:sz w:val="18"/>
                <w:szCs w:val="18"/>
                <w:color w:val="auto"/>
              </w:rPr>
            </w:pPr>
          </w:p>
        </w:tc>
        <w:tc>
          <w:tcPr>
            <w:tcW w:w="12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11,184,374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11,184,374</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7,174,117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7,174,117</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Paid in capital – restricted stock awards</w:t>
            </w:r>
          </w:p>
        </w:tc>
        <w:tc>
          <w:tcPr>
            <w:tcW w:w="140" w:type="dxa"/>
            <w:vAlign w:val="bottom"/>
          </w:tcPr>
          <w:p>
            <w:pPr>
              <w:spacing w:after="0"/>
              <w:rPr>
                <w:sz w:val="18"/>
                <w:szCs w:val="18"/>
                <w:color w:val="auto"/>
              </w:rPr>
            </w:pPr>
          </w:p>
        </w:tc>
        <w:tc>
          <w:tcPr>
            <w:tcW w:w="12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73,153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73,153</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 Plateplus business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combination</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516,041</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4,267,659</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4,783,700</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140" w:type="dxa"/>
            <w:vAlign w:val="bottom"/>
          </w:tcPr>
          <w:p>
            <w:pPr>
              <w:spacing w:after="0"/>
              <w:rPr>
                <w:sz w:val="18"/>
                <w:szCs w:val="18"/>
                <w:color w:val="auto"/>
              </w:rPr>
            </w:pPr>
          </w:p>
        </w:tc>
        <w:tc>
          <w:tcPr>
            <w:tcW w:w="12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(29,268)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(29,268)</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($0.02 per share)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(157,694)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(157,694)</w:t>
            </w:r>
          </w:p>
        </w:tc>
      </w:tr>
      <w:tr>
        <w:trPr>
          <w:trHeight w:val="20"/>
        </w:trPr>
        <w:tc>
          <w:tcPr>
            <w:tcW w:w="3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2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8,861,016</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(3,094,392)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34,783,173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(7,770,465)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69,935,698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102,715,030</w:t>
            </w:r>
          </w:p>
        </w:tc>
      </w:tr>
      <w:tr>
        <w:trPr>
          <w:trHeight w:val="20"/>
        </w:trPr>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0"/>
        </w:trPr>
        <w:tc>
          <w:tcPr>
            <w:tcW w:w="3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4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Net of Tax</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1"/>
        </w:trPr>
        <w:tc>
          <w:tcPr>
            <w:tcW w:w="3280" w:type="dxa"/>
            <w:vAlign w:val="bottom"/>
            <w:shd w:val="clear" w:color="auto" w:fill="CCEEFF"/>
          </w:tcPr>
          <w:p>
            <w:pPr>
              <w:ind w:left="820"/>
              <w:spacing w:after="0" w:line="191" w:lineRule="exact"/>
              <w:rPr>
                <w:sz w:val="20"/>
                <w:szCs w:val="20"/>
                <w:color w:val="auto"/>
              </w:rPr>
            </w:pPr>
            <w:r>
              <w:rPr>
                <w:rFonts w:ascii="Times New Roman" w:cs="Times New Roman" w:eastAsia="Times New Roman" w:hAnsi="Times New Roman"/>
                <w:sz w:val="18"/>
                <w:szCs w:val="18"/>
                <w:color w:val="auto"/>
              </w:rPr>
              <w:t>BALANCE AT MARCH 31,</w:t>
            </w: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32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8,334,785</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(11,187,841)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30,003,462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(7,203,342)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45,392,912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65,339,976</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spacing w:after="0"/>
              <w:rPr>
                <w:sz w:val="18"/>
                <w:szCs w:val="18"/>
                <w:color w:val="auto"/>
              </w:rPr>
            </w:pPr>
          </w:p>
        </w:tc>
        <w:tc>
          <w:tcPr>
            <w:tcW w:w="12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11,311,797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11,311,797</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(13,693,337)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(13,693,337)</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Paid in capital – restricted stock awards</w:t>
            </w:r>
          </w:p>
        </w:tc>
        <w:tc>
          <w:tcPr>
            <w:tcW w:w="140" w:type="dxa"/>
            <w:vAlign w:val="bottom"/>
          </w:tcPr>
          <w:p>
            <w:pPr>
              <w:spacing w:after="0"/>
              <w:rPr>
                <w:sz w:val="18"/>
                <w:szCs w:val="18"/>
                <w:color w:val="auto"/>
              </w:rPr>
            </w:pPr>
          </w:p>
        </w:tc>
        <w:tc>
          <w:tcPr>
            <w:tcW w:w="12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121,704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121,704</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($0.02 per share)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(137,865)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(137,865)</w:t>
            </w:r>
          </w:p>
        </w:tc>
      </w:tr>
      <w:tr>
        <w:trPr>
          <w:trHeight w:val="20"/>
        </w:trPr>
        <w:tc>
          <w:tcPr>
            <w:tcW w:w="3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2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BALANCE AT JUNE 30, 2021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8,334,785</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(24,881,178)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30,125,166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(7,203,342)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56,566,844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62,942,275</w:t>
            </w:r>
          </w:p>
        </w:tc>
      </w:tr>
      <w:tr>
        <w:trPr>
          <w:trHeight w:val="20"/>
        </w:trPr>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501"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501"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M — OTHER COMPREHENSIVE INCOME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tax effects on each component of Other Comprehensive Income (Loss)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20" w:type="dxa"/>
            <w:vAlign w:val="bottom"/>
            <w:gridSpan w:val="9"/>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Three Months Ended June 30, 2022</w:t>
            </w:r>
          </w:p>
        </w:tc>
      </w:tr>
      <w:tr>
        <w:trPr>
          <w:trHeight w:val="209"/>
        </w:trPr>
        <w:tc>
          <w:tcPr>
            <w:tcW w:w="6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Before-Tax</w:t>
            </w: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Tax</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Net-of-Tax</w:t>
            </w:r>
          </w:p>
        </w:tc>
        <w:tc>
          <w:tcPr>
            <w:tcW w:w="100" w:type="dxa"/>
            <w:vAlign w:val="bottom"/>
          </w:tcPr>
          <w:p>
            <w:pPr>
              <w:spacing w:after="0"/>
              <w:rPr>
                <w:sz w:val="18"/>
                <w:szCs w:val="18"/>
                <w:color w:val="auto"/>
              </w:rPr>
            </w:pPr>
          </w:p>
        </w:tc>
      </w:tr>
      <w:tr>
        <w:trPr>
          <w:trHeight w:val="210"/>
        </w:trPr>
        <w:tc>
          <w:tcPr>
            <w:tcW w:w="6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9,459,540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(2,285,423)</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7,174,117</w:t>
            </w:r>
          </w:p>
        </w:tc>
      </w:tr>
      <w:tr>
        <w:trPr>
          <w:trHeight w:val="20"/>
        </w:trPr>
        <w:tc>
          <w:tcPr>
            <w:tcW w:w="6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9,459,540</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(2,285,423)</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7,174,117</w:t>
            </w:r>
          </w:p>
        </w:tc>
      </w:tr>
      <w:tr>
        <w:trPr>
          <w:trHeight w:val="20"/>
        </w:trPr>
        <w:tc>
          <w:tcPr>
            <w:tcW w:w="6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6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20" w:type="dxa"/>
            <w:vAlign w:val="bottom"/>
            <w:gridSpan w:val="9"/>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Three Months Ended June 30, 2021</w:t>
            </w:r>
          </w:p>
        </w:tc>
      </w:tr>
      <w:tr>
        <w:trPr>
          <w:trHeight w:val="209"/>
        </w:trPr>
        <w:tc>
          <w:tcPr>
            <w:tcW w:w="6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Before-Tax</w:t>
            </w: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Tax</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Net-of-Tax</w:t>
            </w:r>
          </w:p>
        </w:tc>
        <w:tc>
          <w:tcPr>
            <w:tcW w:w="100" w:type="dxa"/>
            <w:vAlign w:val="bottom"/>
          </w:tcPr>
          <w:p>
            <w:pPr>
              <w:spacing w:after="0"/>
              <w:rPr>
                <w:sz w:val="18"/>
                <w:szCs w:val="18"/>
                <w:color w:val="auto"/>
              </w:rPr>
            </w:pPr>
          </w:p>
        </w:tc>
      </w:tr>
      <w:tr>
        <w:trPr>
          <w:trHeight w:val="210"/>
        </w:trPr>
        <w:tc>
          <w:tcPr>
            <w:tcW w:w="6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(18,055,560)</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4,362,223</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(13,693,337)</w:t>
            </w:r>
          </w:p>
        </w:tc>
      </w:tr>
      <w:tr>
        <w:trPr>
          <w:trHeight w:val="20"/>
        </w:trPr>
        <w:tc>
          <w:tcPr>
            <w:tcW w:w="6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(18,055,560)</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4,362,223</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(13,693,337)</w:t>
            </w:r>
          </w:p>
        </w:tc>
      </w:tr>
      <w:tr>
        <w:trPr>
          <w:trHeight w:val="20"/>
        </w:trPr>
        <w:tc>
          <w:tcPr>
            <w:tcW w:w="6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N — EARNINGS PER SHARE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Basic and dilutive net earnings per share is computed based on the following information:</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4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58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(basic and diluted)</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11,184,374</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11,311,797</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Allocation to unvested restricted stock units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195,808</w:t>
            </w: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516,408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common shareholders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10,988,566</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10,795,389</w:t>
            </w:r>
          </w:p>
        </w:tc>
        <w:tc>
          <w:tcPr>
            <w:tcW w:w="0" w:type="dxa"/>
            <w:vAlign w:val="bottom"/>
          </w:tcPr>
          <w:p>
            <w:pPr>
              <w:spacing w:after="0"/>
              <w:rPr>
                <w:sz w:val="1"/>
                <w:szCs w:val="1"/>
                <w:color w:val="auto"/>
              </w:rPr>
            </w:pPr>
          </w:p>
        </w:tc>
      </w:tr>
      <w:tr>
        <w:trPr>
          <w:trHeight w:val="196"/>
        </w:trPr>
        <w:tc>
          <w:tcPr>
            <w:tcW w:w="58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 (basic and diluted)</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7,071,066</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6,584,912</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60" w:right="320"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2022 and 2021, the Company allocated dividends and undistributed earnings to the unvested restricted stock units.</w:t>
      </w:r>
    </w:p>
    <w:p>
      <w:pPr>
        <w:spacing w:after="0" w:line="162" w:lineRule="exact"/>
        <w:rPr>
          <w:sz w:val="20"/>
          <w:szCs w:val="20"/>
          <w:color w:val="auto"/>
        </w:rPr>
      </w:pPr>
    </w:p>
    <w:p>
      <w:pPr>
        <w:ind w:left="160" w:right="300" w:firstLine="324"/>
        <w:spacing w:after="0" w:line="282" w:lineRule="auto"/>
        <w:rPr>
          <w:sz w:val="20"/>
          <w:szCs w:val="20"/>
          <w:color w:val="auto"/>
        </w:rPr>
      </w:pPr>
      <w:r>
        <w:rPr>
          <w:rFonts w:ascii="Times New Roman" w:cs="Times New Roman" w:eastAsia="Times New Roman" w:hAnsi="Times New Roman"/>
          <w:sz w:val="18"/>
          <w:szCs w:val="18"/>
          <w:color w:val="auto"/>
        </w:rPr>
        <w:t>As the restricted stock qualifies as participating securities, the following restricted stock units were not accounted in the computation of weighted average diluted common shares outstanding under the two-class method:</w:t>
      </w:r>
    </w:p>
    <w:p>
      <w:pPr>
        <w:spacing w:after="0" w:line="158" w:lineRule="exact"/>
        <w:rPr>
          <w:sz w:val="20"/>
          <w:szCs w:val="20"/>
          <w:color w:val="auto"/>
        </w:rPr>
      </w:pPr>
    </w:p>
    <w:p>
      <w:pPr>
        <w:jc w:val="center"/>
        <w:ind w:left="46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46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1120"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194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top w:val="single" w:sz="8" w:color="auto"/>
            </w:tcBorders>
          </w:tcPr>
          <w:p>
            <w:pPr>
              <w:spacing w:after="0"/>
              <w:rPr>
                <w:sz w:val="18"/>
                <w:szCs w:val="18"/>
                <w:color w:val="auto"/>
              </w:rPr>
            </w:pPr>
          </w:p>
        </w:tc>
        <w:tc>
          <w:tcPr>
            <w:tcW w:w="202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9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69,702</w:t>
            </w:r>
          </w:p>
        </w:tc>
        <w:tc>
          <w:tcPr>
            <w:tcW w:w="238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66,894</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O — SUPPLEMENTAL CASH FLOW INFORMATION</w:t>
      </w:r>
    </w:p>
    <w:p>
      <w:pPr>
        <w:spacing w:after="0" w:line="225"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Company paid interest of approximately $429,000 during the three months ended June 30, 2022 and $23,000 during the three months ended June 30, 2021. The Company paid income taxes of approximately $40,000 during the three months ended June 30, 2022 and paid income taxes of approximately $616,000 during the three months ended June 30, 2021. At June 30, 2022, the “Construction in process” balance of $19,422,533 consisted of non-cash investing activities of $7,598,957 in accrued capital expenditures for which cash outlay had not occurred. During the three months ended June 30, 2022, the Company issued 516,041 shares of common stock as part of the Plateplus business combination resulting in non-cash investing activity of $4,783,700.</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P — INCOME TAXES</w:t>
      </w:r>
    </w:p>
    <w:p>
      <w:pPr>
        <w:spacing w:after="0" w:line="225"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For the three months ended June 30, 2022, the Company recorded an income tax provision of $3,473,084, or 23.7% of earnings before income taxes, compared to an income tax provision of $2,956,880, or 20.7% of earnings before income taxes for the three months ended June 30, 2021. For the three months ended June 30, 2022, the effective tax rate differed from the federal statutory rate due primarily to the inclusion of state tax expenses in the provision. For the three months ended June 30, 2021, the Company’s effective tax rate approximated the federal statutory rate due to a combination of the inclusion of state tax expenses in the provision and the exclusion of the non-taxable gain associated with forgiveness of the Company’s PPP Loan from the provision.</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Friedman Industries, Incorporated is a manufacturer and processor of steel products and operates in two reportable segments; coil products and tubular products.</w:t>
      </w:r>
    </w:p>
    <w:p>
      <w:pPr>
        <w:spacing w:after="0" w:line="162"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The coil product segment includes the operation of four hot-rolled coil processing facilities located in Hickman, AR; Decatur, AL; Granite City, IL and East Chicago, IN. The facilities in Granite City and East Chicago were acquired on April 30, 2022 from Plateplus, Inc ("Plateplus"). More information about the Plateplus transaction can be found in Note B to the Company's Financial Statements. The Hickman, Granite City and East Chicago facilities operate temper mills and cut-to-length lines. The Decatur facility operates a stretcher leveler cut-to-length line. The equipment at all locations improves the flatness and surface quality of the coils and cuts the coils into sheet and plate of prescribed lengths. On a combined basis, the facilities are capable of cutting sheet and plate with thicknesses ranging from 16 gauge to 5/8” thick in widths ranging from 36” wide to 96” wide. The coil product segment sells its prime grade inventory under the Friedman Industries name but also maintains an inventory of non-standard coil products, consisting primarily of mill secondary and excess prime coils, which are sold through the Company’s XSCP division. The coil product segment also processes customer-owned coils on a fee basis.</w:t>
      </w:r>
    </w:p>
    <w:p>
      <w:pPr>
        <w:spacing w:after="0" w:line="18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May 25, 2021, the Company announced plans for a new facility in Sinton, Texas that will be part of the coil product segment. The new facility is on the campus of Steel Dynamics, Inc.'s ("SDI") new flat roll steel mill in Sinton, Texas. The Company's new location consists of an approximately 70,000 square foot building located on approximately 26.5 acres leased from SDI under a 99-year agreement. The Company contracted with Red Bud Industries to build one of the world’s largest stretcher leveler cut-to-length lines, capable of handling material up to 1” thick, widths up to 96” and yields exceeding 100,000 psi. The Company expects to place the facility into service during October 2022. The total cost of the project is estimated to be $22 million. The total estimated cost increased $1 million from previous estimates due primarily to adding a railcar mover, an additional heavy-duty forklift and additional railroad spur into the project. At June 30, 2022, the Company's construction in process related to the Sinton project was $19,422,533 consisting of $11,823,576 in cash payments and $7,598,957 of accrued capital expenditures. The Company expects to fund the remainder of the Sinton capital expenditure through a combination of cash generated from operations and funds drawn under the ABL Facility. The Company expects the remainder of fiscal 2023 to be a ramp up period for the facility and then expects the facility’s annual shipments could be in the range of 110,000 tons to 140,000 tons for fiscal 2024.</w:t>
      </w:r>
    </w:p>
    <w:p>
      <w:pPr>
        <w:spacing w:after="0" w:line="19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tubular product segment consists of the Company’s Texas Tubular Products division (“TTP”) located in Lone Star, Texas. TTP operates two electric resistance welded pipe mills with a combined outside diameter (“OD”) size range of 2 3/8” OD to 8 5/8” OD. Both pipe mills are American Petroleum Institute (“API”) licensed to manufacture line pipe and oil country pipe and also manufacture pipe for structural purposes that meets other recognized industry standards. TTP has a pipe finishing facility capable of applying threads and couplings to oil country tubular goods and performing other services that are customary in the pipe finishing process. The pipe finishing facility is currently idled. TTP’s inventory consists of raw materials and finished goods. Raw material inventory consists of hot-rolled steel coils that TTP will manufacture into pipe. Finished goods inventory consists of pipe TTP has manufactured.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June 30, 2022 Compared to Three Months Ended June 30, 2021</w:t>
      </w:r>
    </w:p>
    <w:p>
      <w:pPr>
        <w:spacing w:after="0" w:line="229"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During the three months ended June 30, 2022 (the “2022 quarter”), sales, costs of goods sold and gross profit increased $95,886,651, $94,544,658 and $1,341,993, respectively, compared to the amounts recorded during the three months ended June 30, 2021 (the “2021 quarter”). The increase in sales was primarily related to an increase in tons sold. Tons sold increased from approximately 54,000 tons in the 2021 quarter to approximately 105,000 tons in the 2022 quarter. The significant growth in sales volume was related to the acquisition of facilities and inventory from Plateplus, Inc. which is discussed in more detail in Note B to the Company's Financial Statements. Discussion of the change in sales is expanded upon at the segment level in the following paragraphs. Gross profit as a percentage of sales decreased from approximately 26.3% for the 2021 quarter to approximately 11.5% for the 2022 quarter. Gross profit for the 2022 quarter included $626,180 in recognized losses related to hedging activities while gross profit for the 2021 quarter included $3,515,820 in recognized losses related to hedging activities. Excluding the recognized hedging gains and losses, gross profit related to physical material as a percentage of sales was approximately 11.9% for the 2022 quarter compared to approximately 29.4% for the 2021 quarter.</w:t>
      </w:r>
    </w:p>
    <w:p>
      <w:pPr>
        <w:spacing w:after="0" w:line="188"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Our operating results are significantly impacted by the market price of hot-rolled steel coil ("HRC"). The Company experienced significant volatility in steel price during both the 2022 quarter and the 2021 quarter. HRC prices increased throughout the 2021 quarter and the two preceding quarters creating a high margin environment in a period of historically high steel prices. HRC prices continued to increase until September 2021 when they peaked at an all-time high of approximately $1,950 per ton. From September 2021 to February 2022, HRC prices declined approximately 52% until the Russian invasion of Ukraine triggered a sharp and abrupt increase. HRC prices increased approximately 60% from the beginning of March 2022 to the end of April 2022 and then declined approximately 30% by the end of the 2022 quarter. These circumstances created strong margins to start the 2022 quarter and then margins contracted in the second half of the quarter.</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Coil Segment</w:t>
      </w:r>
    </w:p>
    <w:p>
      <w:pPr>
        <w:spacing w:after="0" w:line="229"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Coil product segment sales for the 2022 quarter totaled $142,876,972 compared to $52,694,730 for the 2021 quarter. For a more complete understanding of the average selling prices of goods sold, it is helpful to exclude any hedging related gains or losses that are captured in sales and any sales generated from processing of customer owned material. Coil segment sales for the 2022 quarter were reduced by $626,180 for the recognition of hedging related losses. Coil segment sales for the 2021 quarter were reduced by $4,685,680 for the recognition of hedging related losses. Sales generated from processing of customer owned material totaled $365,312 for the 2022 quarter compared to $119,643 for the 2021 quarter. Sales generated from coil segment inventory, excluding the impact of any hedging related gains or losses, totaled $143,137,840 for the 2022 quarter compared to $57,260,767 for the 2021 quarter. The average per ton selling price related to these shipments increased from approximately $1,462 per ton in the 2021 quarter to approximately $1,525 per ton in the 2022 quarter. Inventory tons sold increased from approximately 39,000 tons in the 2021 quarter to approximately 94,000 tons in the 2022 quarter. The significant increase in sales volume was primarily attributable to the facilities and inventory acquired from Plateplus which account for approximately 54,000 tons of the 94,000 tons sold in the 2022 quarter. Coil segment operations recorded operating profits of approximately $13,543,000 and $13,256,000 for the 2022 quarter and 2021 quarter, respectively. The operating profit for the 2022 quarter includes recognized net losses on hedging activities of $626,180 while the 2021 quarter operating profit included recognized net losses on hedging activities of $3,103,480.</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Company’s coil segment purchases its inventory from a limited number of suppliers. Loss of any of these suppliers could have a material adverse effect on the Company’s business.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Tubular Segment</w:t>
      </w:r>
    </w:p>
    <w:p>
      <w:pPr>
        <w:spacing w:after="0" w:line="229"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18"/>
          <w:szCs w:val="18"/>
          <w:color w:val="auto"/>
        </w:rPr>
        <w:t>Tubular product segment sales for the 2022 quarter totaled $18,926,118 compared to $13,221,709 for the 2021 quarter. Sales increased due to an increase in the average selling price per ton, offset by a decrease in tons sold. For a more complete understanding of the average selling prices of goods sold, it is helpful to exclude any hedging related gains or losses that are captured in sales. Tubular segment sales for the 2022 quarter were not impacted by any hedging related gains or losses. Tubular segment sales for the 2021 quarter were reduced by $412,340 for the recognition of hedging related losses. Sales generated from tubular segment inventory, excluding the impact of any hedging related gains or losses, totaled $18,926,118 for the 2022 quarter compared to $13,634,049 for the 2021 quarter. The average per ton selling price related to these shipments increased from approximately $930 per ton in the 2021 quarter to approximately $1,779 per ton in the 2022 quarter. Tons sold decreased from approximately 14,500 tons in the 2021 quarter to approximately 10,500 tons in the 2022 quarter. The decline in sales volume was primarily related to a decline in mill reject pipe sales partially offset by an increase in manufactured pipe sales. U.S. Steel's Lone Star Tubular Operations was the Company's sole source of supply for mill reject pipe. With U.S. Steel's idling of their Lone Star Operations, the Company's receipts of mill reject pipe ceased in August 2020 and the inventory balance started to decline steadily each quarter. The Company only had approximately 1,000 tons of mill reject pipe entering the 2022 quarter and sold out of the inventory during the 2022 quarter. Mill reject pipe sales were approximately 1,000 tons for the 2022 quarter compared to approximately 8,000 tons for the 2021 quarter. Manufactured pipe sales were approximately 9,500 tons for the 2022 quarter compared to approximately 6,500 tons for the 2021 quarter. The average selling price increase was also primarily related to this shift in sales mix between manufactured pipe and mill reject pipe. The selling price associated with manufactured pipe is typically much higher than the selling prices associated with mill reject pipe. The Company will continue to focus on the expansion of its manufactured pipe operations to counteract the impact of mill reject pipe sales ending. The tubular segment recorded operating profits of approximately $2,104,000 and $2,600,000 for the 2022 quarter and 2021 quarter, respectively. The operating profit for the 2021 quarter included recognized net losses on hedging activities of $412,340 while the Company did not have any hedging related gains or losses affecting operating results for the 2022 quarter.</w:t>
      </w:r>
    </w:p>
    <w:p>
      <w:pPr>
        <w:spacing w:after="0" w:line="19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tubular segment purchases its inventory from a limited number of suppliers. Loss of any of these suppliers could have a material adverse effect on the Company’s business.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General, Selling and Administrative Costs</w:t>
      </w:r>
    </w:p>
    <w:p>
      <w:pPr>
        <w:spacing w:after="0" w:line="229"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During the 2022 quarter, general, selling and administrative costs increased $3,002,682 compared to the 2021 quarter. Approximately $750,000 of this increase is associated with one-time expenses related to the Plateplus transaction. Approximately $850,000 of this increase is directly associated with general, selling and administrative costs for the East Chicago and Granite City locations acquired from Plateplus. The remaining increase was related primarily to increased payroll expenses and professional fees. Much of the increased payroll expenses relates to additional sales, purchasing and administrative personnel that converted to Friedman employment after the Plateplus transaction but aren't specifically dedicated to the East Chicago and Granite City operations.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For the 2022 quarter, the Company reported other income of $2,767,703. This income consists primarily of a $2,754,240 gain on derivative instruments not designated for hedge accounting. For the 2021 quarter, the Company reported other income of $312,062. This income consists primarily of a $1,706,614 gain associated with the forgiveness of the Company's Paycheck Protection Program loan partially offset by a loss of $1,388,960 on derivative instruments not designated for hedge accounting.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Income taxes increased from a provision for the 2021 quarter of $2,956,880 to a provision for the 2022 quarter of $3,473,084. Earnings before income taxes for the 2022 quarter and 2021 quarter were fairly comparable at $14,657,458 and $14,268,677, respectively. The 2021 provision was lower due primarily to the non-taxable treatment of the Paycheck Protection Program loan forgiveness which was recognized as part of earnings before income taxes for the 2021 quarter.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POSITION, LIQUIDITY AND CAPITAL RESOURCES</w:t>
      </w:r>
    </w:p>
    <w:p>
      <w:pPr>
        <w:spacing w:after="0" w:line="22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Company’s current ratio was 3.8 at June 30, 2022 and 2.1 at March 31, 2022. Working capital was $153,631,922 at June 30, 2022 and $64,551,208 at March 31, 2022.</w:t>
      </w:r>
    </w:p>
    <w:p>
      <w:pPr>
        <w:spacing w:after="0" w:line="162"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During the three months ended June 30, 2022, the Company maintained assets and liabilities at levels it believed were commensurate with operations. Changes in balance sheet amounts occurred in the ordinary course of business and due to the transaction with Plateplus described in Note B. Accounts receivable and inventories increased significantly due primarily to the Plateplus transaction. Cash and restricted cash decreased primarily from the Company's operating activities and from the purchase of property, plant and equipment partially offset by cash provided from the Company's credit facility. The Company expects to continue to monitor, evaluate and manage balance sheet components depending on changes in market conditions and the Company’s operations.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June 2021, the Small Business Administration authorized full forgiveness of the Company's Paycheck Protection Program loan.</w:t>
      </w:r>
    </w:p>
    <w:p>
      <w:pPr>
        <w:spacing w:after="0" w:line="225"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18"/>
          <w:szCs w:val="18"/>
          <w:color w:val="auto"/>
        </w:rPr>
        <w:t>On April 29, 2022, the Company entered into a Second Amendment to its asset-based lending facility ("ABL Facility") provided by JPMorgan Chase Bank, N.A. The Second Amendment amends the ABL facility in order to increase the asset-based revolving loans available thereunder from an aggregate principal amount of up to $75 million to an aggregate principal amount of up to $150 million. The ABL Facility matures on May 19, 2026 and is secured by substantially all of the assets of the Company. The Company can elect borrowings on a floating rate basis or a term basis. Floating rate borrowings accrue interest at a rate equal to the prime rate minus 1% per annum. Term rate borrowings accrue interest at a rate equal to the SOFR rate applicable to the selected term plus 1.8% per annum. Availability of funds under the ABL Facility is subject to a borrowing base calculation determined as the sum of (a) 90% of eligible accounts receivable, plus (b) the product of 85% multiplied by the net orderly liquidating value percentage identified in the most recent inventory appraisal multiplied by eligible inventory. The ABL Facility contains a springing financial covenant whereby the financial covenant is only tested when availability falls below the greater of 15% of the revolving commitment or $22.5 million. The financial covenant restricts the Company from allowing its fixed charge coverage ratio to be, as of the end of any calendar month, less than 1.10 to 1.00 for the trailing twelve month period then ending. The fixed charge coverage ratio is calculated as the ratio of (a) EBITDA, as defined in the ABL Facility, minus unfinanced capital expenditures to (b) cash interest expense plus scheduled principal payments on indebtedness plus taxes paid in cash plus restricted payments paid in cash plus capital lease obligation payments plus cash contributions to any employee pension benefit plans. The ABL Facility contains other representations and warranties and affirmative and negative covenants that are usual and customary. If certain conditions precedent are satisfied, the ABL facility may be increased by up to an aggregate of $25 million, in minimum increments of $5 million. At June 30, 2022, the Company had a balance of $102,367,007 under the ABL Facility with an applicable interest rate of 3.20%. At June 30, 2022, the Company's borrowing base supported full access to the ABL Facility and the Company was in compliance with all covenants related to the ABL Facility. More details regarding the ABL Facility may be found in Note D. As of the filing date of this Form 10-Q, the Company had borrowings of approximately $36 million outstanding under the ABL Facility and the Company's most recent borrowing base calculation provided access to approximately $114 million of the ABL Facility.</w:t>
      </w:r>
    </w:p>
    <w:p>
      <w:pPr>
        <w:spacing w:after="0" w:line="191"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Company believes that its current cash position along with cash flows from operations and borrowing capability due to its financial position are adequate to fund its expected cash requirements for the next 12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CONTRACTS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From time to time, the Company may use futures contracts to partially manage exposure to commodity price risk. The Company elects hedge accounting for some of its derivatives and classifies the transactions as either cash flow hedges or fair value hedges. All of the Company's derivatives designated for hedge accounting during both the 2022 quarter and 2021 quarter were classified as cash flow hedges. From time to time, the Company may also transact futures contracts where hedge accounting is not elected. For the 2022 quarter, the Company recognized losses related to derivatives designated for hedge accounting of $626,180 and recognized gains related to derivatives not designated for hedge accounting of $2,754,240. For the 2021 quarter, the Company recognized losses related to derivatives designated for hedge accounting of $3,515,820 and recognized losses related to derivatives not designated for hedge accounting of $1,388,960 See Note H for further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expects sales of approximately $150 million on approximately 115,000 tons sold for its second quarter of fiscal 2023. HRC prices continued to decline during July 2022 and August 2022 decreasing approximately 25% from the price level at the end of the June 30, 2022 quarter. As a result of the declining HRC price, the Company experienced margin compression during its second quarter. During September 2022, HRC prices began to stabilize. The Company sees more stable market conditions during the third quarter of fiscal 2023 and expects to have margins closer to historical norms on a sales volume of approximately 105,000 tons. The third quarter volume expectation is slightly lower than the second quarter estimate due primarily to the impact of holidays during the third quarter of fiscal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requires management to make estimates and assumptions that affect the amounts reported in the consolidated financial statements and accompanying notes. The more significant estimates and judgements include forecasted purchases of hot-rolled coil and forecasted sales of prime coil inventory and manufactured pipe inventory in relation to hedging activities and the fair value of the pipe-finishing facility, when impaired. From time to time, the Company hedges these forecasted purchases and sales and may designate those transactions for hedge accounting. If the original forecasts are subsequently reduced, it could result in the Company’s hedged positions exceeding revised forecasts, thus warranting immediate recognition in earnings of previously deferred hedge income or losses associated with excess hedges. A pattern of missed forecasts could call into question the Company’s ability to accurately predict forecasted transactions and the propriety of using hedge accounting in the future for similar forecasted transactions. To mitigate against the negative consequences of missing forecasts we have set an internal policy to designate hedging instruments for accounting purposes only up to 75% of forecasted sales or purchases. Determination of forecasted purchases of hot-rolled coil and forecasted sales of prime coil inventory and manufactured pipe inventory require the Company to make assumptions related to customer demand and the volume and timing of inventory purchases. The pipe-finishing facility impairment analysis requires assumptions related to future operations of the facility and estimates related to the replacement cost and value in exchange for the assets. Actual results could differ from these estimates.</w:t>
      </w:r>
    </w:p>
    <w:p>
      <w:pPr>
        <w:sectPr>
          <w:pgSz w:w="11900" w:h="16838" w:orient="portrait"/>
          <w:cols w:equalWidth="0" w:num="1">
            <w:col w:w="11240"/>
          </w:cols>
          <w:pgMar w:left="320" w:top="121" w:right="339" w:bottom="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441"/>
        <w:spacing w:after="0" w:line="251" w:lineRule="auto"/>
        <w:rPr>
          <w:sz w:val="20"/>
          <w:szCs w:val="20"/>
          <w:color w:val="auto"/>
        </w:rPr>
      </w:pPr>
      <w:r>
        <w:rPr>
          <w:rFonts w:ascii="Times New Roman" w:cs="Times New Roman" w:eastAsia="Times New Roman" w:hAnsi="Times New Roman"/>
          <w:sz w:val="18"/>
          <w:szCs w:val="18"/>
          <w:color w:val="auto"/>
        </w:rPr>
        <w:t>From time to time, the Company may make certain statements that contain forward-looking information (as defined in the Private Securities Litigation Reform Act of 1996, as amended) and that involve risk and uncertainty. Such statements may include those risks disclosed in the Management’s Discussion and Analysis of Financial Condition and Results of Operations section of this report, including the adequacy of cash and expectations as to future sales, prices and margins and our expectations for the construction and performance of our new Sinton, TX facility. These forward-looking statements may include, but are not limited to, future changes in the Company’s financial condition or results of operations, future production capacity, product quality and proposed expansion plans. Forward-looking statements may be made by management orally or in writing including, but not limited to, this Management’s Discussion and Analysis of Financial Condition and Results of Operations and other sections of the Company’s filings with the U.S. Securities and Exchange Commission (the “SEC”) under the Securities Act of 1933, as amended, and the Securities Exchange Act of 1934, as amended (the “Exchange Act”), including the Company’s Annual Report on Form 10-K and its other Quarterly Reports on Form 10-Q. Forward-looking statements include those preceded by, followed by or including the words “will,” “expect,” “intended,” “anticipated,” “believe,” “project,” “forecast,” “propose,” “plan,” “estimate,” “enable,” and similar expressions, including, for example, statements about our business strategy, our industry, our future profitability, growth in the industry sectors we serve, our expectations, beliefs, plans, strategies, objectives, prospects and assumptions, and estimates and projections of future activity and trends in the oil and natural gas industry. These forward-looking statements are not guarantees of future performance. These statements are based on management’s expectations that involve a number of business risks and uncertainties, any of which could cause actual results to differ materially from those expressed in or implied by the forward-looking statements. Although forward-looking statements reflect our current beliefs, reliance should not be placed on forward-looking statements because they involve known and unknown risks, uncertainties and other factors, which may cause our actual results, performance or achievements to differ materially from anticipated future results, performance or achievements expressed or implied by such forward-looking statements. Actual results and trends in the future may differ materially depending on a variety of factors including, but not limited to, changes in the demand for and prices of the Company’s products, changes in government policy regarding steel, changes in the demand for steel and steel products in general and the Company’s success in executing its internal operating plans, changes in and availability of raw materials, unplanned shutdowns of our production facilities due to equipment failures or other issues, increased competition from alternative materials and risks concerning innovation, new technologies, products and increasing customer requirements. Accordingly, undue reliance should not be placed on our forward-looking statements. We undertake no obligation to publicly update or revise any forward-looking statement, whether as a result of new information, future events, changed circumstances or otherwise, except to the extent law requires.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required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and 15(d)-15(f) promulgated under the Securities Exchange Act of 1934, as amended). We have established disclosure controls and procedures designed to ensure that material information required to be disclosed in our reports filed under the Exchange Act is recorded, processed, summarized and reported within the time periods specified by the Securities and Exchange Commission and that any material information relating to us is recorded, processed, summarized and reported to our management including our Chief Executive Officer and Chief Financial Officer, as appropriate, to allow timely decisions regarding required disclosures. In designing and evaluating our disclosure controls and procedures, our management recognizes that controls and procedures, no matter how well designed and operated, can provide only reasonable assurance of achieving desired control objectives. In reaching a reasonable level of assurance, our management necessarily was required to apply its judgment in evaluating the cost-benefit relationship of possible controls and procedures.</w:t>
      </w:r>
    </w:p>
    <w:p>
      <w:pPr>
        <w:spacing w:after="0" w:line="18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required by Rule 13a-15(b) under the Exchange Act, we have evaluated, under the supervision and with the participation of our management, including our Chief Executive Officer and Chief Financial Officer, the effectiveness of the design and operation of our disclosure controls and procedures (as defined in rules 13a-15(e) and 15d-15(e) under the Exchange Act) as of the end of the period covered by this quarterly report. Based upon our evaluation, the Chief Executive Officer and Chief Financial Officer have concluded that the Company’s disclosure controls and procedures were not effective as of the end of the period covered by this Quarterly Report on Form 10-Q because the Company has not yet completed its remediation of the material weaknesses previously identified and disclosed in the Company’s Annual Report on Form 10-K for the fiscal year ended March 31, 2022 and because the Company's Form 10-K for the fiscal year ended March 31, 2022 and this Form 10-Q have not been filed timely.</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Notwithstanding the identified material weaknesses, the Company's management, including our Chief Executive Officer and Chief Financial Officer, believes that the consolidated financial statements included in this Quarterly Report on Form 10-Q fairly present in all material respects our financial condition and results of operations for the three months periods ended June 30, 2022 and 2021 in accordance with U.S. Generally Accepted Accounting Principles.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 in Internal Control Over Financial Reporting</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audit process related to our fiscal year ended March 31, 2022, management, in connection with our independent auditors, identified the following material weaknesses:</w:t>
      </w:r>
    </w:p>
    <w:p>
      <w:pPr>
        <w:spacing w:after="0" w:line="162" w:lineRule="exact"/>
        <w:rPr>
          <w:sz w:val="20"/>
          <w:szCs w:val="20"/>
          <w:color w:val="auto"/>
        </w:rPr>
      </w:pPr>
    </w:p>
    <w:p>
      <w:pPr>
        <w:jc w:val="both"/>
        <w:ind w:firstLine="494"/>
        <w:spacing w:after="0" w:line="257" w:lineRule="auto"/>
        <w:tabs>
          <w:tab w:leader="none" w:pos="63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relevant control activities necessary to address all identified risks of material misstatement or in some circumstances, controls were designed appropriately but were implemented late in the fiscal year not allowing a sufficient period of time to evidence operating effectiveness.</w:t>
      </w:r>
    </w:p>
    <w:p>
      <w:pPr>
        <w:spacing w:after="0" w:line="1" w:lineRule="exact"/>
        <w:rPr>
          <w:rFonts w:ascii="Times New Roman" w:cs="Times New Roman" w:eastAsia="Times New Roman" w:hAnsi="Times New Roman"/>
          <w:sz w:val="18"/>
          <w:szCs w:val="18"/>
          <w:color w:val="auto"/>
        </w:rPr>
      </w:pPr>
    </w:p>
    <w:p>
      <w:pPr>
        <w:ind w:firstLine="494"/>
        <w:spacing w:after="0" w:line="250" w:lineRule="auto"/>
        <w:tabs>
          <w:tab w:leader="none" w:pos="67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implement control activities to ensure completeness and accuracy of key reports used in the performance of certain controls.</w:t>
      </w:r>
    </w:p>
    <w:p>
      <w:pPr>
        <w:ind w:left="640" w:hanging="14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review were not designed to operate at a level of precision sufficient to identify all potential material errors.</w:t>
      </w:r>
    </w:p>
    <w:p>
      <w:pPr>
        <w:spacing w:after="0" w:line="9" w:lineRule="exact"/>
        <w:rPr>
          <w:rFonts w:ascii="Times New Roman" w:cs="Times New Roman" w:eastAsia="Times New Roman" w:hAnsi="Times New Roman"/>
          <w:sz w:val="18"/>
          <w:szCs w:val="18"/>
          <w:color w:val="auto"/>
        </w:rPr>
      </w:pPr>
    </w:p>
    <w:p>
      <w:pPr>
        <w:ind w:left="640" w:hanging="14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controls were not executed or performed or were performed without sufficient documentation supporting the execution of the controls.</w:t>
      </w:r>
    </w:p>
    <w:p>
      <w:pPr>
        <w:spacing w:after="0" w:line="9" w:lineRule="exact"/>
        <w:rPr>
          <w:rFonts w:ascii="Times New Roman" w:cs="Times New Roman" w:eastAsia="Times New Roman" w:hAnsi="Times New Roman"/>
          <w:sz w:val="18"/>
          <w:szCs w:val="18"/>
          <w:color w:val="auto"/>
        </w:rPr>
      </w:pPr>
    </w:p>
    <w:p>
      <w:pPr>
        <w:ind w:left="640" w:hanging="14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had inadequate segregation of duties for certain business transactions.</w:t>
      </w:r>
    </w:p>
    <w:p>
      <w:pPr>
        <w:sectPr>
          <w:pgSz w:w="11900" w:h="16838" w:orient="portrait"/>
          <w:cols w:equalWidth="0" w:num="1">
            <w:col w:w="11240"/>
          </w:cols>
          <w:pgMar w:left="320" w:top="121" w:right="339" w:bottom="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39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970"/>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for Remediation of Material Weakness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Company has determined that the number of accounting personnel and the limited utilization of information technology in its control structure are the primary contributing factors to the material weaknesses identified. As a part of the transaction with Plateplus, the Company planned to have eight additional accounting personnel convert from Plateplus employment to Friedman employment in the September 2022 to October 2022 timeframe. Five of these individuals became Friedman employees on September 1, 2022 and the remaining three individuals became Friedman employees on October 1, 2022. The Company also hired an individual with an internal audit and SOX internal control background during September 2022. Additionally, as part of the Plateplus transaction, the Company transferred the enterprise resource planning (“ERP”) system that was in place at Plateplus to Friedman at the end of August 2022. The Company is currently working to integrate all of its operations into the transferred ERP system. The Company expects the additional accounting personnel to allow for improved segregation of duties and consistent execution of controls. The Company expects the new ERP system to allow for many of the Company’s current manual controls and missing controls to be performed by the design and capabilities of the ERP system rather than relying on manual human execution.</w:t>
      </w:r>
    </w:p>
    <w:p>
      <w:pPr>
        <w:spacing w:after="0" w:line="19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will continue to monitor the design and effectiveness of these procedures and controls and make any further changes the Company determines appropriate. We believe the additional investment in human capital and technology described above will remediate the material weaknesses the Company has identified. However, the material weaknesses will not be considered remediated until the applicable remedial actions operate effectively for a sufficient period of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Except as discussed above, there were no changes in the Company's internal control over financial reporting that occurred during the fiscal quarter ended June 30, 2022 that have materially affected, or are reasonably likely to materially affect, the Company's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FRIEDMAN INDUSTRIES,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June 30,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10220" w:type="dxa"/>
            <w:vAlign w:val="bottom"/>
            <w:gridSpan w:val="10"/>
          </w:tcPr>
          <w:p>
            <w:pPr>
              <w:ind w:left="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42">
              <w:r>
                <w:rPr>
                  <w:rFonts w:ascii="Times New Roman" w:cs="Times New Roman" w:eastAsia="Times New Roman" w:hAnsi="Times New Roman"/>
                  <w:sz w:val="18"/>
                  <w:szCs w:val="18"/>
                  <w:color w:val="0000EE"/>
                </w:rPr>
                <w:t>Articles of Incorporation of the Company, as amended (incorporated by reference from Exhibit 3.1 to the Company’s Form S-8 filed</w:t>
              </w:r>
            </w:hyperlink>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on December 21, 2016).</w:t>
              </w:r>
            </w:hyperlink>
          </w:p>
        </w:tc>
        <w:tc>
          <w:tcPr>
            <w:tcW w:w="7900" w:type="dxa"/>
            <w:vAlign w:val="bottom"/>
            <w:tcBorders>
              <w:top w:val="single" w:sz="8" w:color="0000EE"/>
            </w:tcBorders>
            <w:gridSpan w:val="6"/>
          </w:tcPr>
          <w:p>
            <w:pPr>
              <w:spacing w:after="0"/>
              <w:rPr>
                <w:sz w:val="17"/>
                <w:szCs w:val="17"/>
                <w:color w:val="auto"/>
              </w:rPr>
            </w:pPr>
          </w:p>
        </w:tc>
      </w:tr>
      <w:tr>
        <w:trPr>
          <w:trHeight w:val="412"/>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w:t>
            </w:r>
          </w:p>
        </w:tc>
        <w:tc>
          <w:tcPr>
            <w:tcW w:w="10220" w:type="dxa"/>
            <w:vAlign w:val="bottom"/>
            <w:gridSpan w:val="10"/>
          </w:tcPr>
          <w:p>
            <w:pPr>
              <w:ind w:left="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42">
              <w:r>
                <w:rPr>
                  <w:rFonts w:ascii="Times New Roman" w:cs="Times New Roman" w:eastAsia="Times New Roman" w:hAnsi="Times New Roman"/>
                  <w:sz w:val="18"/>
                  <w:szCs w:val="18"/>
                  <w:color w:val="0000EE"/>
                </w:rPr>
                <w:t>Articles of Amendment to the Articles of Incorporation of the Company, as filed with the Texas Secretary of State on September 22,</w:t>
              </w:r>
            </w:hyperlink>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6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1987 (incorporated by reference from Exhibit 3.1 to the Company’s Form S-8 filed on December 21, 2016).</w:t>
              </w:r>
            </w:hyperlink>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3.3</w:t>
            </w:r>
          </w:p>
        </w:tc>
        <w:tc>
          <w:tcPr>
            <w:tcW w:w="10220" w:type="dxa"/>
            <w:vAlign w:val="bottom"/>
            <w:gridSpan w:val="10"/>
          </w:tcPr>
          <w:p>
            <w:pPr>
              <w:ind w:left="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43">
              <w:r>
                <w:rPr>
                  <w:rFonts w:ascii="Times New Roman" w:cs="Times New Roman" w:eastAsia="Times New Roman" w:hAnsi="Times New Roman"/>
                  <w:sz w:val="18"/>
                  <w:szCs w:val="18"/>
                  <w:color w:val="0000EE"/>
                </w:rPr>
                <w:t>Amended and Restated Bylaws of the Company, as amended on November 8, 2021. (incorporated by reference from Exhibit 3.3 to</w:t>
              </w:r>
            </w:hyperlink>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6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the Company's Form 10-Q filed on November 19, 2021).</w:t>
              </w:r>
            </w:hyperlink>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10220" w:type="dxa"/>
            <w:vAlign w:val="bottom"/>
            <w:gridSpan w:val="10"/>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Certification Pursuant to Section 302 of the Sarbanes-Oxley Act of 2002, signed by Michael J. Taylor.</w:t>
            </w:r>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8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10220" w:type="dxa"/>
            <w:vAlign w:val="bottom"/>
            <w:gridSpan w:val="10"/>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Certification Pursuant to Section 302 of the Sarbanes-Oxley Act of 2002, signed by Alex LaRue.</w:t>
            </w:r>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80" w:type="dxa"/>
            <w:vAlign w:val="bottom"/>
            <w:gridSpan w:val="3"/>
            <w:shd w:val="clear" w:color="auto" w:fill="0000EE"/>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10220" w:type="dxa"/>
            <w:vAlign w:val="bottom"/>
            <w:gridSpan w:val="10"/>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Certification Pursuant to 18 U.S.C. Section 1350, as Adopted Pursuant to Section 906 of the Sarbanes-Oxley Act of 2002, signed by</w:t>
            </w:r>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4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Michael J. Taylor.</w:t>
            </w: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360" w:type="dxa"/>
            <w:vAlign w:val="bottom"/>
            <w:gridSpan w:val="7"/>
          </w:tcPr>
          <w:p>
            <w:pPr>
              <w:spacing w:after="0" w:line="20" w:lineRule="exact"/>
              <w:rPr>
                <w:sz w:val="1"/>
                <w:szCs w:val="1"/>
                <w:color w:val="auto"/>
              </w:rPr>
            </w:pPr>
          </w:p>
        </w:tc>
      </w:tr>
      <w:tr>
        <w:trPr>
          <w:trHeight w:val="412"/>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10220" w:type="dxa"/>
            <w:vAlign w:val="bottom"/>
            <w:gridSpan w:val="10"/>
          </w:tcPr>
          <w:p>
            <w:pPr>
              <w:ind w:left="1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Certification Pursuant to 18 U.S.C. Section 1350, as Adopted Pursuant to Section 906 of the Sarbanes-Oxley Act of 2002, signed by</w:t>
            </w:r>
          </w:p>
        </w:tc>
      </w:tr>
      <w:tr>
        <w:trPr>
          <w:trHeight w:val="196"/>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4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Alex LaRue.</w:t>
            </w: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740" w:type="dxa"/>
            <w:vAlign w:val="bottom"/>
            <w:gridSpan w:val="8"/>
          </w:tcPr>
          <w:p>
            <w:pPr>
              <w:spacing w:after="0" w:line="20" w:lineRule="exact"/>
              <w:rPr>
                <w:sz w:val="1"/>
                <w:szCs w:val="1"/>
                <w:color w:val="auto"/>
              </w:rPr>
            </w:pPr>
          </w:p>
        </w:tc>
      </w:tr>
      <w:tr>
        <w:trPr>
          <w:trHeight w:val="45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20" w:type="dxa"/>
            <w:vAlign w:val="bottom"/>
            <w:gridSpan w:val="10"/>
          </w:tcPr>
          <w:p>
            <w:pPr>
              <w:ind w:left="140"/>
              <w:spacing w:after="0"/>
              <w:rPr>
                <w:sz w:val="20"/>
                <w:szCs w:val="20"/>
                <w:color w:val="auto"/>
              </w:rPr>
            </w:pPr>
            <w:r>
              <w:rPr>
                <w:rFonts w:ascii="Times New Roman" w:cs="Times New Roman" w:eastAsia="Times New Roman" w:hAnsi="Times New Roman"/>
                <w:sz w:val="18"/>
                <w:szCs w:val="18"/>
                <w:color w:val="auto"/>
              </w:rPr>
              <w:t>—   Inline XBRL Instance Document.</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20" w:type="dxa"/>
            <w:vAlign w:val="bottom"/>
            <w:gridSpan w:val="10"/>
          </w:tcPr>
          <w:p>
            <w:pPr>
              <w:ind w:left="140"/>
              <w:spacing w:after="0"/>
              <w:rPr>
                <w:sz w:val="20"/>
                <w:szCs w:val="20"/>
                <w:color w:val="auto"/>
              </w:rPr>
            </w:pPr>
            <w:r>
              <w:rPr>
                <w:rFonts w:ascii="Times New Roman" w:cs="Times New Roman" w:eastAsia="Times New Roman" w:hAnsi="Times New Roman"/>
                <w:sz w:val="18"/>
                <w:szCs w:val="18"/>
                <w:color w:val="auto"/>
              </w:rPr>
              <w:t>—   Inline XBRL Taxonomy Schema Document.</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20" w:type="dxa"/>
            <w:vAlign w:val="bottom"/>
            <w:gridSpan w:val="10"/>
          </w:tcPr>
          <w:p>
            <w:pPr>
              <w:ind w:left="140"/>
              <w:spacing w:after="0"/>
              <w:rPr>
                <w:sz w:val="20"/>
                <w:szCs w:val="20"/>
                <w:color w:val="auto"/>
              </w:rPr>
            </w:pPr>
            <w:r>
              <w:rPr>
                <w:rFonts w:ascii="Times New Roman" w:cs="Times New Roman" w:eastAsia="Times New Roman" w:hAnsi="Times New Roman"/>
                <w:sz w:val="18"/>
                <w:szCs w:val="18"/>
                <w:color w:val="auto"/>
              </w:rPr>
              <w:t>—   Inline XBRL Calculation Linkbase Document.</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20" w:type="dxa"/>
            <w:vAlign w:val="bottom"/>
            <w:gridSpan w:val="10"/>
          </w:tcPr>
          <w:p>
            <w:pPr>
              <w:ind w:left="140"/>
              <w:spacing w:after="0"/>
              <w:rPr>
                <w:sz w:val="20"/>
                <w:szCs w:val="20"/>
                <w:color w:val="auto"/>
              </w:rPr>
            </w:pPr>
            <w:r>
              <w:rPr>
                <w:rFonts w:ascii="Times New Roman" w:cs="Times New Roman" w:eastAsia="Times New Roman" w:hAnsi="Times New Roman"/>
                <w:sz w:val="18"/>
                <w:szCs w:val="18"/>
                <w:color w:val="auto"/>
              </w:rPr>
              <w:t>—   Inline XBRL Definition Linkbase Document.</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20" w:type="dxa"/>
            <w:vAlign w:val="bottom"/>
            <w:gridSpan w:val="10"/>
          </w:tcPr>
          <w:p>
            <w:pPr>
              <w:ind w:left="140"/>
              <w:spacing w:after="0"/>
              <w:rPr>
                <w:sz w:val="20"/>
                <w:szCs w:val="20"/>
                <w:color w:val="auto"/>
              </w:rPr>
            </w:pPr>
            <w:r>
              <w:rPr>
                <w:rFonts w:ascii="Times New Roman" w:cs="Times New Roman" w:eastAsia="Times New Roman" w:hAnsi="Times New Roman"/>
                <w:sz w:val="18"/>
                <w:szCs w:val="18"/>
                <w:color w:val="auto"/>
              </w:rPr>
              <w:t>—   Inline XBRL Label Linkbase Document.</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20" w:type="dxa"/>
            <w:vAlign w:val="bottom"/>
            <w:gridSpan w:val="10"/>
          </w:tcPr>
          <w:p>
            <w:pPr>
              <w:ind w:left="140"/>
              <w:spacing w:after="0"/>
              <w:rPr>
                <w:sz w:val="20"/>
                <w:szCs w:val="20"/>
                <w:color w:val="auto"/>
              </w:rPr>
            </w:pPr>
            <w:r>
              <w:rPr>
                <w:rFonts w:ascii="Times New Roman" w:cs="Times New Roman" w:eastAsia="Times New Roman" w:hAnsi="Times New Roman"/>
                <w:sz w:val="18"/>
                <w:szCs w:val="18"/>
                <w:color w:val="auto"/>
              </w:rPr>
              <w:t>—   Inline XBRL Presentation Linkbase Document.</w:t>
            </w:r>
          </w:p>
        </w:tc>
      </w:tr>
    </w:tbl>
    <w:p>
      <w:pPr>
        <w:spacing w:after="0" w:line="198" w:lineRule="exact"/>
        <w:rPr>
          <w:sz w:val="20"/>
          <w:szCs w:val="20"/>
          <w:color w:val="auto"/>
        </w:rPr>
      </w:pPr>
    </w:p>
    <w:p>
      <w:pPr>
        <w:ind w:left="5540" w:right="3500" w:hanging="5532"/>
        <w:spacing w:after="0" w:line="386" w:lineRule="auto"/>
        <w:tabs>
          <w:tab w:leader="none" w:pos="11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Cover Page Interactive File (formatted as Inline XBRL and contained in Exhibit 101)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FRIEDMAN INDUSTRIES, INCORPORATED</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12, 2022</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2180"/>
        <w:spacing w:after="0"/>
        <w:tabs>
          <w:tab w:leader="none" w:pos="1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ALEX LARUE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-1151255</wp:posOffset>
            </wp:positionH>
            <wp:positionV relativeFrom="paragraph">
              <wp:posOffset>17145</wp:posOffset>
            </wp:positionV>
            <wp:extent cx="34632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3">
            <w:col w:w="4640" w:space="720"/>
            <w:col w:w="1520" w:space="720"/>
            <w:col w:w="3640"/>
          </w:cols>
          <w:pgMar w:left="320" w:top="121" w:right="339" w:bottom="1440" w:gutter="0" w:footer="0" w:header="0"/>
          <w:type w:val="continuous"/>
        </w:sectPr>
      </w:pPr>
    </w:p>
    <w:p>
      <w:pPr>
        <w:jc w:val="center"/>
        <w:ind w:left="5780"/>
        <w:spacing w:after="0"/>
        <w:rPr>
          <w:sz w:val="20"/>
          <w:szCs w:val="20"/>
          <w:color w:val="auto"/>
        </w:rPr>
      </w:pPr>
      <w:r>
        <w:rPr>
          <w:rFonts w:ascii="Times New Roman" w:cs="Times New Roman" w:eastAsia="Times New Roman" w:hAnsi="Times New Roman"/>
          <w:sz w:val="17"/>
          <w:szCs w:val="17"/>
          <w:color w:val="auto"/>
        </w:rPr>
        <w:t>Alex LaRue, Chief Financial Officer – Secretary and</w:t>
      </w:r>
    </w:p>
    <w:p>
      <w:pPr>
        <w:spacing w:after="0" w:line="34"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color w:val="auto"/>
        </w:rPr>
        <w:t>Treasurer (Principal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21" w:right="339" w:bottom="1440" w:gutter="0" w:footer="0" w:header="0"/>
          <w:type w:val="continuous"/>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Taylor, certify that:</w:t>
      </w:r>
    </w:p>
    <w:p>
      <w:pPr>
        <w:spacing w:after="0" w:line="225" w:lineRule="exact"/>
        <w:rPr>
          <w:sz w:val="20"/>
          <w:szCs w:val="20"/>
          <w:color w:val="auto"/>
        </w:rPr>
      </w:pPr>
    </w:p>
    <w:p>
      <w:pPr>
        <w:ind w:left="680" w:hanging="186"/>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Friedman Industries, Incorporated;</w:t>
      </w:r>
    </w:p>
    <w:p>
      <w:pPr>
        <w:spacing w:after="0" w:line="225" w:lineRule="exact"/>
        <w:rPr>
          <w:rFonts w:ascii="Times New Roman" w:cs="Times New Roman" w:eastAsia="Times New Roman" w:hAnsi="Times New Roman"/>
          <w:sz w:val="18"/>
          <w:szCs w:val="18"/>
          <w:color w:val="auto"/>
        </w:rPr>
      </w:pPr>
    </w:p>
    <w:p>
      <w:pPr>
        <w:ind w:right="100" w:firstLine="494"/>
        <w:spacing w:after="0" w:line="282" w:lineRule="auto"/>
        <w:tabs>
          <w:tab w:leader="none" w:pos="66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100" w:hanging="6"/>
        <w:spacing w:after="0" w:line="266"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500" w:right="60" w:firstLine="480"/>
        <w:spacing w:after="0" w:line="266" w:lineRule="auto"/>
        <w:tabs>
          <w:tab w:leader="none" w:pos="117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00" w:right="220" w:firstLine="480"/>
        <w:spacing w:after="0" w:line="266" w:lineRule="auto"/>
        <w:tabs>
          <w:tab w:leader="none" w:pos="118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00" w:right="380" w:firstLine="480"/>
        <w:spacing w:after="0" w:line="282" w:lineRule="auto"/>
        <w:tabs>
          <w:tab w:leader="none" w:pos="117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500" w:right="340" w:firstLine="480"/>
        <w:spacing w:after="0" w:line="266" w:lineRule="auto"/>
        <w:tabs>
          <w:tab w:leader="none" w:pos="118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00" w:right="600" w:firstLine="480"/>
        <w:spacing w:after="0" w:line="282" w:lineRule="auto"/>
        <w:tabs>
          <w:tab w:leader="none" w:pos="117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00" w:right="280" w:firstLine="480"/>
        <w:spacing w:after="0" w:line="282" w:lineRule="auto"/>
        <w:tabs>
          <w:tab w:leader="none" w:pos="118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12,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MICHAEL J.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ectPr>
          <w:pgSz w:w="11900" w:h="16838" w:orient="portrait"/>
          <w:cols w:equalWidth="0" w:num="1">
            <w:col w:w="11240"/>
          </w:cols>
          <w:pgMar w:left="320" w:top="117"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 LaRue, certify that:</w:t>
      </w:r>
    </w:p>
    <w:p>
      <w:pPr>
        <w:spacing w:after="0" w:line="225" w:lineRule="exact"/>
        <w:rPr>
          <w:sz w:val="20"/>
          <w:szCs w:val="20"/>
          <w:color w:val="auto"/>
        </w:rPr>
      </w:pPr>
    </w:p>
    <w:p>
      <w:pPr>
        <w:ind w:left="680" w:hanging="186"/>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Friedman Industries, Incorporated;</w:t>
      </w:r>
    </w:p>
    <w:p>
      <w:pPr>
        <w:spacing w:after="0" w:line="225" w:lineRule="exact"/>
        <w:rPr>
          <w:rFonts w:ascii="Times New Roman" w:cs="Times New Roman" w:eastAsia="Times New Roman" w:hAnsi="Times New Roman"/>
          <w:sz w:val="18"/>
          <w:szCs w:val="18"/>
          <w:color w:val="auto"/>
        </w:rPr>
      </w:pPr>
    </w:p>
    <w:p>
      <w:pPr>
        <w:ind w:right="100" w:firstLine="494"/>
        <w:spacing w:after="0" w:line="282" w:lineRule="auto"/>
        <w:tabs>
          <w:tab w:leader="none" w:pos="6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100" w:hanging="6"/>
        <w:spacing w:after="0" w:line="266"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500" w:right="60" w:firstLine="480"/>
        <w:spacing w:after="0" w:line="266" w:lineRule="auto"/>
        <w:tabs>
          <w:tab w:leader="none" w:pos="117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00" w:right="220" w:firstLine="480"/>
        <w:spacing w:after="0" w:line="266" w:lineRule="auto"/>
        <w:tabs>
          <w:tab w:leader="none" w:pos="118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380" w:firstLine="980"/>
        <w:spacing w:after="0" w:line="282" w:lineRule="auto"/>
        <w:tabs>
          <w:tab w:leader="none" w:pos="115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500" w:right="340" w:firstLine="480"/>
        <w:spacing w:after="0" w:line="266" w:lineRule="auto"/>
        <w:tabs>
          <w:tab w:leader="none" w:pos="118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00" w:right="600" w:firstLine="480"/>
        <w:spacing w:after="0" w:line="282" w:lineRule="auto"/>
        <w:tabs>
          <w:tab w:leader="none" w:pos="117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00" w:right="280" w:firstLine="480"/>
        <w:spacing w:after="0" w:line="282" w:lineRule="auto"/>
        <w:tabs>
          <w:tab w:leader="none" w:pos="118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12, 2022</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ALEX LARUE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Chief Financial Officer – Secretary and Treasurer</w:t>
      </w:r>
    </w:p>
    <w:p>
      <w:pPr>
        <w:sectPr>
          <w:pgSz w:w="11900" w:h="16838" w:orient="portrait"/>
          <w:cols w:equalWidth="0" w:num="1">
            <w:col w:w="11240"/>
          </w:cols>
          <w:pgMar w:left="320" w:top="117"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Filed Pursuant to the Securities Exchange Act of 1934</w:t>
      </w:r>
    </w:p>
    <w:p>
      <w:pPr>
        <w:spacing w:after="0" w:line="22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Friedman Industries, Incorporated (the “Company”) on Form 10-Q for the period ended June 30, 2022, as filed with the U.S. Securities and Exchange Commission on the date hereof (the “Report”), I, Michael J. Taylor, President and Chief Executive Officer of the Company, certify, pursuant to 18 U.S.C. Section 1350, as adopted pursuant to Section 906 of the Sarbanes-Oxley Act of 2002, as amended, that:</w:t>
      </w:r>
    </w:p>
    <w:p>
      <w:pPr>
        <w:spacing w:after="0" w:line="176" w:lineRule="exact"/>
        <w:rPr>
          <w:sz w:val="20"/>
          <w:szCs w:val="20"/>
          <w:color w:val="auto"/>
        </w:rPr>
      </w:pPr>
    </w:p>
    <w:p>
      <w:pPr>
        <w:ind w:left="740" w:hanging="246"/>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right="60" w:firstLine="494"/>
        <w:spacing w:after="0" w:line="563" w:lineRule="auto"/>
        <w:tabs>
          <w:tab w:leader="none" w:pos="73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October 12, 2022</w:t>
      </w:r>
    </w:p>
    <w:p>
      <w:pPr>
        <w:spacing w:after="0" w:line="200" w:lineRule="exact"/>
        <w:rPr>
          <w:sz w:val="20"/>
          <w:szCs w:val="20"/>
          <w:color w:val="auto"/>
        </w:rPr>
      </w:pPr>
    </w:p>
    <w:p>
      <w:pPr>
        <w:spacing w:after="0" w:line="395" w:lineRule="exact"/>
        <w:rPr>
          <w:sz w:val="20"/>
          <w:szCs w:val="20"/>
          <w:color w:val="auto"/>
        </w:rPr>
      </w:pPr>
    </w:p>
    <w:tbl>
      <w:tblPr>
        <w:tblLayout w:type="fixed"/>
        <w:tblInd w:w="676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J. Taylor</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J. Taylor</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117"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Filed Pursuant to the Securities Exchange Act of 1934</w:t>
      </w:r>
    </w:p>
    <w:p>
      <w:pPr>
        <w:spacing w:after="0" w:line="22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Friedman Industries, Incorporated (the “Company”) on Form 10-Q for the period ended June 30, 2022, as filed with the U.S. Securities and Exchange Commission on the date hereof (the “Report”), I, Alex LaRue, Chief Financial Officer – Secretary and Treasurer of the Company, certify, pursuant to 18 U.S.C. Section 1350, as adopted pursuant to Section 906 of the Sarbanes-Oxley Act of 2002, as amended, that:</w:t>
      </w:r>
    </w:p>
    <w:p>
      <w:pPr>
        <w:spacing w:after="0" w:line="180" w:lineRule="exact"/>
        <w:rPr>
          <w:sz w:val="20"/>
          <w:szCs w:val="20"/>
          <w:color w:val="auto"/>
        </w:rPr>
      </w:pPr>
    </w:p>
    <w:p>
      <w:pPr>
        <w:ind w:left="740" w:hanging="246"/>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right="40" w:firstLine="494"/>
        <w:spacing w:after="0" w:line="563" w:lineRule="auto"/>
        <w:tabs>
          <w:tab w:leader="none" w:pos="74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October 12, 2022</w:t>
      </w:r>
    </w:p>
    <w:p>
      <w:pPr>
        <w:spacing w:after="0" w:line="200" w:lineRule="exact"/>
        <w:rPr>
          <w:sz w:val="20"/>
          <w:szCs w:val="20"/>
          <w:color w:val="auto"/>
        </w:rPr>
      </w:pPr>
    </w:p>
    <w:p>
      <w:pPr>
        <w:spacing w:after="0" w:line="395" w:lineRule="exact"/>
        <w:rPr>
          <w:sz w:val="20"/>
          <w:szCs w:val="20"/>
          <w:color w:val="auto"/>
        </w:rPr>
      </w:pPr>
    </w:p>
    <w:tbl>
      <w:tblPr>
        <w:tblLayout w:type="fixed"/>
        <w:tblInd w:w="676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 LaRue</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Alex LaRue</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 Secretary and Treasurer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upperLetter"/>
      <w:start w:val="68"/>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04"/>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2" Type="http://schemas.openxmlformats.org/officeDocument/2006/relationships/hyperlink" Target="http://www.sec.gov/Archives/edgar/data/39092/000143774916043636/ex3-1.htm" TargetMode="External"/><Relationship Id="rId43" Type="http://schemas.openxmlformats.org/officeDocument/2006/relationships/hyperlink" Target="http://www.sec.gov/Archives/edgar/data/39092/000143774921027176/ex_3092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2022-10-12T16:17:21Z</dcterms:created>
  <dcterms:modified xsi:type="dcterms:W3CDTF">2022-10-12T16:17:21Z</dcterms:modified>
</cp:coreProperties>
</file>