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58420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7" w:lineRule="exact"/>
        <w:rPr>
          <w:sz w:val="24"/>
          <w:szCs w:val="24"/>
          <w:color w:val="auto"/>
        </w:rPr>
      </w:pPr>
    </w:p>
    <w:p>
      <w:pPr>
        <w:ind w:left="3180" w:right="1660" w:hanging="3172"/>
        <w:spacing w:after="0" w:line="500" w:lineRule="auto"/>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b w:val="1"/>
                <w:bCs w:val="1"/>
                <w:color w:val="auto"/>
              </w:rPr>
              <w:t>FROM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453"/>
        </w:trPr>
        <w:tc>
          <w:tcPr>
            <w:tcW w:w="4440" w:type="dxa"/>
            <w:vAlign w:val="bottom"/>
            <w:gridSpan w:val="2"/>
          </w:tcPr>
          <w:p>
            <w:pPr>
              <w:ind w:left="1300"/>
              <w:spacing w:after="0"/>
              <w:rPr>
                <w:sz w:val="20"/>
                <w:szCs w:val="20"/>
                <w:color w:val="auto"/>
              </w:rPr>
            </w:pPr>
            <w:r>
              <w:rPr>
                <w:rFonts w:ascii="Arial" w:cs="Arial" w:eastAsia="Arial" w:hAnsi="Arial"/>
                <w:sz w:val="18"/>
                <w:szCs w:val="18"/>
                <w:b w:val="1"/>
                <w:bCs w:val="1"/>
                <w:color w:val="auto"/>
              </w:rPr>
              <w:t>COMMISSION FILE NUMBER 1-7521</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-299720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FRIEDMAN INDUSTRIES,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7"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6"/>
              </w:rPr>
              <w:t>Texas</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89"/>
              </w:rPr>
              <w:t>74-1504405</w:t>
            </w:r>
          </w:p>
        </w:tc>
      </w:t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(State or other jurisdiction of</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incorporation or organization)</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1121 Judson Road, Suite 124, Longview, Texas 75601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(903)758-3431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5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360" w:type="dxa"/>
            <w:vAlign w:val="bottom"/>
          </w:tcPr>
          <w:p>
            <w:pPr>
              <w:spacing w:after="0"/>
              <w:rPr>
                <w:sz w:val="20"/>
                <w:szCs w:val="20"/>
                <w:color w:val="auto"/>
              </w:rPr>
            </w:pPr>
          </w:p>
        </w:tc>
      </w:tr>
      <w:tr>
        <w:trPr>
          <w:trHeight w:val="414"/>
        </w:trPr>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60" w:type="dxa"/>
            <w:vAlign w:val="bottom"/>
          </w:tcPr>
          <w:p>
            <w:pPr>
              <w:spacing w:after="0"/>
              <w:rPr>
                <w:sz w:val="20"/>
                <w:szCs w:val="20"/>
                <w:color w:val="auto"/>
              </w:rPr>
            </w:pPr>
          </w:p>
        </w:tc>
        <w:tc>
          <w:tcPr>
            <w:tcW w:w="3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24"/>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FRD</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NYSE American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162560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1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firstLine="441"/>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9760" w:val="left"/>
          <w:tab w:leader="none" w:pos="10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(Check one):</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February 9, 2023, the number of shares outstanding of the issuer’s only class of stock was 7,375,588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76" w:right="339" w:bottom="20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60" w:type="dxa"/>
            <w:vAlign w:val="bottom"/>
            <w:gridSpan w:val="14"/>
          </w:tcPr>
          <w:p>
            <w:pPr>
              <w:spacing w:after="0"/>
              <w:rPr>
                <w:sz w:val="20"/>
                <w:szCs w:val="20"/>
                <w:color w:val="auto"/>
              </w:rPr>
            </w:pPr>
            <w:r>
              <w:rPr>
                <w:rFonts w:ascii="Arial" w:cs="Arial" w:eastAsia="Arial" w:hAnsi="Arial"/>
                <w:sz w:val="18"/>
                <w:szCs w:val="18"/>
                <w:color w:val="0000EE"/>
              </w:rPr>
              <w:t>Table of Contents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5"/>
          </w:tcPr>
          <w:p>
            <w:pPr>
              <w:jc w:val="center"/>
              <w:ind w:right="94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60" w:type="dxa"/>
            <w:vAlign w:val="bottom"/>
            <w:gridSpan w:val="14"/>
          </w:tcPr>
          <w:p>
            <w:pPr>
              <w:spacing w:after="0" w:line="176" w:lineRule="exact"/>
              <w:rPr>
                <w:sz w:val="20"/>
                <w:szCs w:val="20"/>
                <w:color w:val="auto"/>
              </w:rPr>
            </w:pPr>
            <w:r>
              <w:rPr>
                <w:rFonts w:ascii="Arial" w:cs="Arial" w:eastAsia="Arial" w:hAnsi="Arial"/>
                <w:sz w:val="18"/>
                <w:szCs w:val="18"/>
                <w:color w:val="0000EE"/>
              </w:rPr>
              <w:t>Part I — FINANCIAL INFORMATION</w:t>
            </w: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89"/>
              </w:rPr>
              <w:t>Item 1. Financial Statements</w:t>
            </w:r>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0000EE"/>
                <w:w w:val="94"/>
              </w:rPr>
              <w:t>Item 2.</w:t>
            </w:r>
          </w:p>
        </w:tc>
        <w:tc>
          <w:tcPr>
            <w:tcW w:w="8280" w:type="dxa"/>
            <w:vAlign w:val="bottom"/>
            <w:gridSpan w:val="12"/>
          </w:tcPr>
          <w:p>
            <w:pPr>
              <w:ind w:left="2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4"/>
              </w:rPr>
              <w:t>Item 3.</w:t>
            </w:r>
          </w:p>
        </w:tc>
        <w:tc>
          <w:tcPr>
            <w:tcW w:w="4380" w:type="dxa"/>
            <w:vAlign w:val="bottom"/>
            <w:tcBorders>
              <w:bottom w:val="single" w:sz="8" w:color="0000EE"/>
            </w:tcBorders>
            <w:gridSpan w:val="9"/>
            <w:shd w:val="clear" w:color="auto" w:fill="CCEEFF"/>
          </w:tcPr>
          <w:p>
            <w:pPr>
              <w:ind w:left="20"/>
              <w:spacing w:after="0" w:line="17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3900" w:type="dxa"/>
            <w:vAlign w:val="bottom"/>
            <w:tcBorders>
              <w:bottom w:val="single" w:sz="8" w:color="CCEEFF"/>
            </w:tcBorders>
            <w:gridSpan w:val="3"/>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0000EE"/>
                <w:w w:val="94"/>
              </w:rPr>
              <w:t>Item 4.</w:t>
            </w:r>
          </w:p>
        </w:tc>
        <w:tc>
          <w:tcPr>
            <w:tcW w:w="8280" w:type="dxa"/>
            <w:vAlign w:val="bottom"/>
            <w:gridSpan w:val="12"/>
          </w:tcPr>
          <w:p>
            <w:pPr>
              <w:ind w:left="20"/>
              <w:spacing w:after="0" w:line="176" w:lineRule="exact"/>
              <w:rPr>
                <w:sz w:val="20"/>
                <w:szCs w:val="20"/>
                <w:color w:val="auto"/>
              </w:rPr>
            </w:pPr>
            <w:r>
              <w:rPr>
                <w:rFonts w:ascii="Arial" w:cs="Arial" w:eastAsia="Arial" w:hAnsi="Arial"/>
                <w:sz w:val="18"/>
                <w:szCs w:val="18"/>
                <w:color w:val="0000EE"/>
              </w:rPr>
              <w:t>Controls and Procedures</w:t>
            </w: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6"/>
              </w:rPr>
              <w:t>Part II — OTHER INFORMATION</w:t>
            </w:r>
          </w:p>
        </w:tc>
        <w:tc>
          <w:tcPr>
            <w:tcW w:w="6640" w:type="dxa"/>
            <w:vAlign w:val="bottom"/>
            <w:tcBorders>
              <w:bottom w:val="single" w:sz="8" w:color="CCEEFF"/>
            </w:tcBorders>
            <w:gridSpan w:val="7"/>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Arial" w:cs="Arial" w:eastAsia="Arial" w:hAnsi="Arial"/>
                <w:sz w:val="18"/>
                <w:szCs w:val="18"/>
                <w:color w:val="0000EE"/>
                <w:w w:val="94"/>
              </w:rPr>
              <w:t>Item 6.</w:t>
            </w:r>
          </w:p>
        </w:tc>
        <w:tc>
          <w:tcPr>
            <w:tcW w:w="8280" w:type="dxa"/>
            <w:vAlign w:val="bottom"/>
            <w:gridSpan w:val="12"/>
          </w:tcPr>
          <w:p>
            <w:pPr>
              <w:ind w:left="20"/>
              <w:spacing w:after="0" w:line="176" w:lineRule="exact"/>
              <w:rPr>
                <w:sz w:val="20"/>
                <w:szCs w:val="20"/>
                <w:color w:val="auto"/>
              </w:rPr>
            </w:pPr>
            <w:r>
              <w:rPr>
                <w:rFonts w:ascii="Arial" w:cs="Arial" w:eastAsia="Arial" w:hAnsi="Arial"/>
                <w:sz w:val="18"/>
                <w:szCs w:val="18"/>
                <w:color w:val="0000EE"/>
              </w:rPr>
              <w:t>Exhibits</w:t>
            </w: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1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80" w:type="dxa"/>
            <w:vAlign w:val="bottom"/>
            <w:tcBorders>
              <w:top w:val="single" w:sz="8" w:color="CCEEFF"/>
            </w:tcBorders>
            <w:gridSpan w:val="9"/>
          </w:tcPr>
          <w:p>
            <w:pPr>
              <w:jc w:val="right"/>
              <w:ind w:right="920"/>
              <w:spacing w:after="0"/>
              <w:rPr>
                <w:sz w:val="20"/>
                <w:szCs w:val="20"/>
                <w:color w:val="auto"/>
              </w:rPr>
            </w:pPr>
            <w:r>
              <w:rPr>
                <w:rFonts w:ascii="Arial" w:cs="Arial" w:eastAsia="Arial" w:hAnsi="Arial"/>
                <w:sz w:val="18"/>
                <w:szCs w:val="18"/>
                <w:color w:val="auto"/>
              </w:rPr>
              <w:t>2</w:t>
            </w:r>
          </w:p>
        </w:tc>
        <w:tc>
          <w:tcPr>
            <w:tcW w:w="8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spacing w:after="0"/>
              <w:rPr>
                <w:sz w:val="24"/>
                <w:szCs w:val="24"/>
                <w:color w:val="auto"/>
              </w:rPr>
            </w:pPr>
          </w:p>
        </w:tc>
        <w:tc>
          <w:tcPr>
            <w:tcW w:w="6400" w:type="dxa"/>
            <w:vAlign w:val="bottom"/>
          </w:tcPr>
          <w:p>
            <w:pPr>
              <w:jc w:val="center"/>
              <w:ind w:left="219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400" w:type="dxa"/>
            <w:vAlign w:val="bottom"/>
          </w:tcPr>
          <w:p>
            <w:pPr>
              <w:jc w:val="center"/>
              <w:ind w:left="2210"/>
              <w:spacing w:after="0"/>
              <w:rPr>
                <w:sz w:val="20"/>
                <w:szCs w:val="20"/>
                <w:color w:val="auto"/>
              </w:rPr>
            </w:pPr>
            <w:r>
              <w:rPr>
                <w:rFonts w:ascii="Arial" w:cs="Arial" w:eastAsia="Arial" w:hAnsi="Arial"/>
                <w:sz w:val="18"/>
                <w:szCs w:val="18"/>
                <w:color w:val="auto"/>
                <w:w w:val="96"/>
              </w:rPr>
              <w:t>FRIEDMAN INDUSTRIES, INCORPORATED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280" w:type="dxa"/>
            <w:vAlign w:val="bottom"/>
            <w:gridSpan w:val="5"/>
          </w:tcPr>
          <w:p>
            <w:pPr>
              <w:jc w:val="center"/>
              <w:ind w:left="310"/>
              <w:spacing w:after="0"/>
              <w:rPr>
                <w:sz w:val="20"/>
                <w:szCs w:val="20"/>
                <w:color w:val="auto"/>
              </w:rPr>
            </w:pPr>
            <w:r>
              <w:rPr>
                <w:rFonts w:ascii="Arial" w:cs="Arial" w:eastAsia="Arial" w:hAnsi="Arial"/>
                <w:sz w:val="18"/>
                <w:szCs w:val="18"/>
                <w:b w:val="1"/>
                <w:bCs w:val="1"/>
                <w:color w:val="auto"/>
                <w:w w:val="99"/>
              </w:rPr>
              <w:t>CONDENSED CONSOLIDATED BALANCE SHEETS — UNAUDITED</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MARCH 31, 2022</w:t>
            </w:r>
          </w:p>
        </w:tc>
      </w:tr>
      <w:tr>
        <w:trPr>
          <w:trHeight w:val="210"/>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3,544,508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2,598,102</w:t>
            </w:r>
          </w:p>
        </w:tc>
      </w:tr>
      <w:tr>
        <w:trPr>
          <w:trHeight w:val="202"/>
        </w:trPr>
        <w:tc>
          <w:tcPr>
            <w:tcW w:w="76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0"/>
              </w:rPr>
              <w:t>Accounts receivable, net of allowances for bad debts and cash discounts of $99,819 at 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and March 31, 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43,072,920</w:t>
            </w: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35,670,657</w:t>
            </w: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97,834,103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67,946,122</w:t>
            </w: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Current portion of derivative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808,820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4,240,740</w:t>
            </w: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3,096,007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14,906,194</w:t>
            </w:r>
          </w:p>
        </w:tc>
      </w:tr>
      <w:tr>
        <w:trPr>
          <w:trHeight w:val="20"/>
        </w:trPr>
        <w:tc>
          <w:tcPr>
            <w:tcW w:w="1280" w:type="dxa"/>
            <w:vAlign w:val="bottom"/>
            <w:shd w:val="clear" w:color="auto" w:fill="CCEEFF"/>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680" w:type="dxa"/>
            <w:vAlign w:val="bottom"/>
            <w:gridSpan w:val="2"/>
          </w:tcPr>
          <w:p>
            <w:pPr>
              <w:ind w:left="8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148,356,358</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125,361,815</w:t>
            </w: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1,669,831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1,179,831</w:t>
            </w: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Buildings and yard improvements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30,664,230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8,581,676</w:t>
            </w: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48,495,480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30,422,066</w:t>
            </w: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Construction in process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832,761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15,925,306</w:t>
            </w: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(27,882,265)</w:t>
            </w: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(26,002,820)</w:t>
            </w:r>
          </w:p>
        </w:tc>
      </w:tr>
      <w:tr>
        <w:trPr>
          <w:trHeight w:val="20"/>
        </w:trPr>
        <w:tc>
          <w:tcPr>
            <w:tcW w:w="1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53,780,037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30,106,059</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value of officers’ life insurance and other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464,892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157,248</w:t>
            </w: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Operating lease right-of-use asset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1,281,996</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113,168</w:t>
            </w:r>
          </w:p>
        </w:tc>
      </w:tr>
      <w:tr>
        <w:trPr>
          <w:trHeight w:val="229"/>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 asset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2,133,295</w:t>
            </w: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Income taxes recoverable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1,403,485</w:t>
            </w:r>
          </w:p>
        </w:tc>
      </w:tr>
      <w:tr>
        <w:trPr>
          <w:trHeight w:val="20"/>
        </w:trPr>
        <w:tc>
          <w:tcPr>
            <w:tcW w:w="1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203,883,283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159,275,070</w:t>
            </w:r>
          </w:p>
        </w:tc>
      </w:tr>
      <w:tr>
        <w:trPr>
          <w:trHeight w:val="196"/>
        </w:trPr>
        <w:tc>
          <w:tcPr>
            <w:tcW w:w="768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42,378,677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44,803,602</w:t>
            </w: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147,512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137,120</w:t>
            </w: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Contribution to retirement plan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compensation and related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2,258,823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1,085,676</w:t>
            </w: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2,631,006</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financing lease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106,214</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104,689</w:t>
            </w: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Current portion of derivative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649,700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14,429,520</w:t>
            </w:r>
          </w:p>
        </w:tc>
      </w:tr>
      <w:tr>
        <w:trPr>
          <w:trHeight w:val="210"/>
        </w:trPr>
        <w:tc>
          <w:tcPr>
            <w:tcW w:w="7680" w:type="dxa"/>
            <w:vAlign w:val="bottom"/>
            <w:tcBorders>
              <w:top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48,521,932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60,810,607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POSTRETIREMENT BENEFITS OTHER THAN PENSIONS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96,535</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119,591</w:t>
            </w:r>
          </w:p>
        </w:tc>
      </w:tr>
      <w:tr>
        <w:trPr>
          <w:trHeight w:val="230"/>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820,960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1,274,431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221,767</w:t>
            </w: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BASED LENDING FACILITY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44,510,967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18,436,457</w:t>
            </w:r>
          </w:p>
        </w:tc>
      </w:tr>
      <w:tr>
        <w:trPr>
          <w:trHeight w:val="209"/>
        </w:trPr>
        <w:tc>
          <w:tcPr>
            <w:tcW w:w="7680" w:type="dxa"/>
            <w:vAlign w:val="bottom"/>
            <w:gridSpan w:val="2"/>
          </w:tcPr>
          <w:p>
            <w:pPr>
              <w:ind w:left="8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95,224,825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79,588,422</w:t>
            </w:r>
          </w:p>
        </w:tc>
        <w:tc>
          <w:tcPr>
            <w:tcW w:w="100" w:type="dxa"/>
            <w:vAlign w:val="bottom"/>
          </w:tcPr>
          <w:p>
            <w:pPr>
              <w:spacing w:after="0"/>
              <w:rPr>
                <w:sz w:val="18"/>
                <w:szCs w:val="18"/>
                <w:color w:val="auto"/>
              </w:rPr>
            </w:pPr>
          </w:p>
        </w:tc>
      </w:tr>
      <w:tr>
        <w:trPr>
          <w:trHeight w:val="210"/>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6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Common stock, par value $1: Authorized shares — 10,000,000; Issued shares — 8,868,716 shares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and 8,344,975 shares at December 31, and March 31, 2022, respectively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8,868,716</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8,344,975</w:t>
            </w: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34,926,801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30,442,361</w:t>
            </w: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(846,905)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(10,268,509)</w:t>
            </w:r>
          </w:p>
        </w:tc>
      </w:tr>
      <w:tr>
        <w:trPr>
          <w:trHeight w:val="202"/>
        </w:trPr>
        <w:tc>
          <w:tcPr>
            <w:tcW w:w="76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89"/>
              </w:rPr>
              <w:t>Treasury stock at cost (1,493,128 shares and 1,488,966 shares at December 31, and March 31, 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(7,777,769)</w:t>
            </w:r>
          </w:p>
        </w:tc>
        <w:tc>
          <w:tcPr>
            <w:tcW w:w="1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(7,741,197)</w:t>
            </w: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73,487,615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58,909,018</w:t>
            </w:r>
          </w:p>
        </w:tc>
      </w:tr>
      <w:tr>
        <w:trPr>
          <w:trHeight w:val="20"/>
        </w:trPr>
        <w:tc>
          <w:tcPr>
            <w:tcW w:w="1280" w:type="dxa"/>
            <w:vAlign w:val="bottom"/>
            <w:shd w:val="clear" w:color="auto" w:fill="CCEEFF"/>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680" w:type="dxa"/>
            <w:vAlign w:val="bottom"/>
            <w:gridSpan w:val="2"/>
          </w:tcPr>
          <w:p>
            <w:pPr>
              <w:ind w:left="82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108,658,458</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79,686,648</w:t>
            </w:r>
          </w:p>
        </w:tc>
      </w:tr>
      <w:tr>
        <w:trPr>
          <w:trHeight w:val="20"/>
        </w:trPr>
        <w:tc>
          <w:tcPr>
            <w:tcW w:w="1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203,883,283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159,275,070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280" w:type="dxa"/>
            <w:vAlign w:val="bottom"/>
            <w:gridSpan w:val="5"/>
          </w:tcPr>
          <w:p>
            <w:pPr>
              <w:jc w:val="center"/>
              <w:ind w:left="2330"/>
              <w:spacing w:after="0"/>
              <w:rPr>
                <w:sz w:val="20"/>
                <w:szCs w:val="20"/>
                <w:color w:val="auto"/>
              </w:rPr>
            </w:pPr>
            <w:r>
              <w:rPr>
                <w:rFonts w:ascii="Arial" w:cs="Arial" w:eastAsia="Arial" w:hAnsi="Arial"/>
                <w:sz w:val="18"/>
                <w:szCs w:val="18"/>
                <w:color w:val="auto"/>
                <w:w w:val="96"/>
              </w:rPr>
              <w:t>FRIEDMAN INDUSTRIES, INCORPORATED</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74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w w:val="99"/>
              </w:rPr>
              <w:t>CONDENSED CONSOLIDATED STATEMENTS OF OPERATIONS — UNAUDITED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7"/>
              </w:rPr>
              <w:t>DECEMBER 31,</w:t>
            </w:r>
          </w:p>
        </w:tc>
        <w:tc>
          <w:tcPr>
            <w:tcW w:w="160" w:type="dxa"/>
            <w:vAlign w:val="bottom"/>
          </w:tcPr>
          <w:p>
            <w:pPr>
              <w:spacing w:after="0"/>
              <w:rPr>
                <w:sz w:val="20"/>
                <w:szCs w:val="20"/>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DECEMBER 31,</w:t>
            </w: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111,860,093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51,655,943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423,355,592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210,143,277</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Costs of products sold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105,730,259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55,259,964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393,875,438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166,722,381</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4,700,850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1,994,242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15,661,476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10,634,407</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110,431,109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57,254,206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409,536,914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177,356,788</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EARNINGS (LOSS) FROM OPERATIONS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1,428,984</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(5,598,263)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13,818,678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32,786,489</w:t>
            </w: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(447,551)</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(58,385)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(1,498,147)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(153,891)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826,039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1,727,134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7,349,916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(4,801,121)</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1,807,472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(3,929,514)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19,670,447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27,831,477</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447,995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(855,309)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4,686,413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6,639,198</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(16,416)</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(112,372)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(47,141)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(335,299)</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431,579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(967,681)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4,639,272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6,303,899</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NET EARNINGS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1,375,893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(2,961,833)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15,031,175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21,527,578</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earnings (loss) per share: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0.19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891"/>
        </w:trPr>
        <w:tc>
          <w:tcPr>
            <w:tcW w:w="1280" w:type="dxa"/>
            <w:vAlign w:val="bottom"/>
          </w:tcPr>
          <w:p>
            <w:pPr>
              <w:spacing w:after="0"/>
              <w:rPr>
                <w:sz w:val="24"/>
                <w:szCs w:val="24"/>
                <w:color w:val="auto"/>
              </w:rPr>
            </w:pPr>
          </w:p>
        </w:tc>
        <w:tc>
          <w:tcPr>
            <w:tcW w:w="874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INCOME — UNAUDITED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7"/>
              </w:rPr>
              <w:t>DECEMBER 31,</w:t>
            </w:r>
          </w:p>
        </w:tc>
        <w:tc>
          <w:tcPr>
            <w:tcW w:w="160" w:type="dxa"/>
            <w:vAlign w:val="bottom"/>
          </w:tcPr>
          <w:p>
            <w:pPr>
              <w:spacing w:after="0"/>
              <w:rPr>
                <w:sz w:val="20"/>
                <w:szCs w:val="20"/>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DECEMBER 31,</w:t>
            </w: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1,375,893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(2,961,833)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15,031,175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21,527,578</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flow hedges, net of tax</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669,454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13,795,418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9,421,604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4,329,266</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669,454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13,795,418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9,421,604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4,329,266</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2,045,347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10,833,585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24,452,779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25,856,844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right"/>
        <w:ind w:right="558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37" w:lineRule="exact"/>
        <w:rPr>
          <w:sz w:val="20"/>
          <w:szCs w:val="20"/>
          <w:color w:val="auto"/>
        </w:rPr>
      </w:pPr>
    </w:p>
    <w:p>
      <w:pPr>
        <w:jc w:val="right"/>
        <w:ind w:righ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ind w:left="2600"/>
              <w:spacing w:after="0"/>
              <w:rPr>
                <w:sz w:val="20"/>
                <w:szCs w:val="20"/>
                <w:color w:val="auto"/>
              </w:rPr>
            </w:pPr>
            <w:r>
              <w:rPr>
                <w:rFonts w:ascii="Arial" w:cs="Arial" w:eastAsia="Arial" w:hAnsi="Arial"/>
                <w:sz w:val="18"/>
                <w:szCs w:val="18"/>
                <w:color w:val="auto"/>
              </w:rPr>
              <w:t>FRIEDMAN INDUSTRIES, INCORPORATED</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40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CONDENSED CONSOLIDATED STATEMENTS OF CASH FLOWS — UNAUDITED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NINE MONTHS ENDED DECEMBER</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15,031,175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21,527,578</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Adjustments to reconcile net earnings to cash provided by (used in)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1,879,445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994,209</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Deferred taxes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(47,141)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(335,299)</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Compensation expense for restricted stock</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224,481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375,935</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Change in postretirement benefits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6,559</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Gain recognized on open derivatives not designated for hedge accounting</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(1,353,520)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(1,238,320)</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Deferred realized gain (loss) on derivatives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3,155,821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(3,393,260)</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Forgiveness of Paycheck Protection Program Loan</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(1,706,614)</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Decrease (increase) in operating assets, net of amounts acquired in business combination: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(7,402,263)</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(5,865,531)</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47,658,608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(48,538,400)</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Federal income taxes recoverable</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1,403,485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426,712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(667,196)</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Increase (decrease) in operating liabilities, net of amounts acquired in business combination: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(20,790,614)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17,415,657</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2,631,006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(206,842)</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Contribution to retirement plan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Employee compensation and related expenses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1,173,147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(1,455,785)</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44,098,579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(22,937,309)</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Plateplus business combination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(71,720,208)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(8,278,891)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(7,350,081)</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Proceeds on sale from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160,542</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Increase in cash surrender value of officers’ life insurance</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(10,389)</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(8,686)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(80,009,488)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(7,198,225)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Debt issuance cost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(328,548)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(442,186)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(414,092)</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paid for principal portion of finance lease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(78,327)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(76,831)</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Cash paid for share repurchases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(36,572)</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(102,075)</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Asset based lending facility proceeds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26,074,510</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15,187,824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25,188,877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14,594,826</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CASH AND RESTRICED CASH</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(10,722,032)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(15,540,708)</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AND RESTRICTED CASH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16,121,518</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20,192,486</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5,399,486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4,651,778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Cash and restricted cash at December 31, 2022 and March 31, 2022 included $1,854,978 and $13,523,416, respectively, of cash required to collateralize open derivative positions. These amounts are reported in "Other current assets" on the Company's consolidated balance sheets at December 31, 2022 and March 31, 2022. The Company had $1,585,350 in restricted cash at December 31, 2021.</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QUARTERLY REPORT —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instructions to Form 10-Q and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10-K for the year ended March 31, 2022.</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The results of a business acquired in a business combination are included in the Company’s financial statements from the date of acquisition. The Company allocates the purchase price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 Acquisition-related transaction costs are expensed in the period in which the costs are incurred. Please refer to Note B for additional discussion of the acquisition completed by the Company during the quarter ended June 30, 2022.</w:t>
      </w:r>
    </w:p>
    <w:p>
      <w:pPr>
        <w:spacing w:after="0" w:line="19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The unaudited condensed consolidated financial statements for the previous year may include certain reclassifications to conform to the current presentation. To conform with the current year presentation, “</w:t>
      </w:r>
      <w:r>
        <w:rPr>
          <w:rFonts w:ascii="Arial" w:cs="Arial" w:eastAsia="Arial" w:hAnsi="Arial"/>
          <w:sz w:val="18"/>
          <w:szCs w:val="18"/>
          <w:i w:val="1"/>
          <w:iCs w:val="1"/>
          <w:color w:val="auto"/>
        </w:rPr>
        <w:t>Interest expense</w:t>
      </w:r>
      <w:r>
        <w:rPr>
          <w:rFonts w:ascii="Arial" w:cs="Arial" w:eastAsia="Arial" w:hAnsi="Arial"/>
          <w:sz w:val="18"/>
          <w:szCs w:val="18"/>
          <w:color w:val="auto"/>
        </w:rPr>
        <w:t>” on the unaudited condensed consolidated statements of operations was moved below the calculation of "</w:t>
      </w:r>
      <w:r>
        <w:rPr>
          <w:rFonts w:ascii="Arial" w:cs="Arial" w:eastAsia="Arial" w:hAnsi="Arial"/>
          <w:sz w:val="18"/>
          <w:szCs w:val="18"/>
          <w:i w:val="1"/>
          <w:iCs w:val="1"/>
          <w:color w:val="auto"/>
        </w:rPr>
        <w:t>Earnings (Loss) From Operations</w:t>
      </w:r>
      <w:r>
        <w:rPr>
          <w:rFonts w:ascii="Arial" w:cs="Arial" w:eastAsia="Arial" w:hAnsi="Arial"/>
          <w:sz w:val="18"/>
          <w:szCs w:val="18"/>
          <w:color w:val="auto"/>
        </w:rPr>
        <w:t>". This reclassification had no impact on previously reported net earnings or stockholder's equity.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B — BUSINESS COMBINATIONS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April 30, 2022, (the “Acquisition Date”), the Company acquired certain assets and liabilities of Plateplus, Inc. (“Plateplus”), a wholly owned subsidiary of Metal One, Inc. (“Metal One” or “Seller”), whereby the Company acquired the real estate, buildings, equipment, inventory, and other assets of Plateplus’ East Chicago, IN and Granite City, IL facilities and certain steel inventory at Plateplus’ Loudon, TN and Houston, TX facilities (the “Transaction”). The East Chicago and Granite City facilities are steel coil processing facilities that produce the same type of products as the Company's facilities in Hickman, AR; Decatur, AL and Sinton, TX. As a result of the Transaction, the Company expanded its footprint and distribution capabilities in the mid-western United States.</w:t>
      </w:r>
    </w:p>
    <w:p>
      <w:pPr>
        <w:spacing w:after="0" w:line="19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Transaction resulted in the Company acquiring the assets noted above, for a total consideration of $76.5 million, of which $71.7 million was cash consideration and $4.8 million related to 516,041 shares of the Company's common stock issued to the Seller. The fair value of the 516,041 shares issued was determined based on the closing market price of the Company’s common stock on April 29, 2022, the last trading day prior to the Acquisition Date. At the Acquisition Date, the Transaction was funded with net borrowings of $64.0 million made under the Company's asset-based lending facility ("ABL Facility") provided by JPMorgan Chase Bank. An additional $7.9 million was funded by the ABL Facility during the quarter ended September 30, 2022 to pay the final net working capital adjustment.</w:t>
      </w:r>
    </w:p>
    <w:p>
      <w:pPr>
        <w:spacing w:after="0" w:line="19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The Transaction was accounted for using the acquisition method of accounting, in accordance with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whereby the consideration transferred and the acquired identifiable assets and liabilities assumed are recorded at their respective fair values. The excess of the consideration transferred over the fair values of these identifiable net assets is recorded as goodwill. The Transaction resulted in no residual goodwill. The estimated fair values of assets acquired and liabilities assumed are provisional and are based on the information that was available as of the Acquisition Date to estimate the fair value of assets acquired and liabilities assumed. Therefore, the provisional measurements of fair value reflected are subject to change and such changes could be significant. The Company expects to finalize its fair value estimates as soon as practicable but no later than one year from the Acquisition Date.</w:t>
      </w:r>
    </w:p>
    <w:p>
      <w:pPr>
        <w:spacing w:after="0" w:line="195"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7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Fair value of assets acquired and liabilities assumed</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77,546,000</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18,022,000</w:t>
            </w:r>
          </w:p>
        </w:tc>
        <w:tc>
          <w:tcPr>
            <w:tcW w:w="80" w:type="dxa"/>
            <w:vAlign w:val="bottom"/>
          </w:tcPr>
          <w:p>
            <w:pPr>
              <w:spacing w:after="0"/>
              <w:rPr>
                <w:sz w:val="18"/>
                <w:szCs w:val="18"/>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1,237,097</w:t>
            </w:r>
          </w:p>
        </w:tc>
        <w:tc>
          <w:tcPr>
            <w:tcW w:w="8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(19,065,000)</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(1,237,097)</w:t>
            </w:r>
          </w:p>
        </w:tc>
      </w:tr>
      <w:tr>
        <w:trPr>
          <w:trHeight w:val="210"/>
        </w:trPr>
        <w:tc>
          <w:tcPr>
            <w:tcW w:w="79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76,503,000</w:t>
            </w:r>
          </w:p>
        </w:tc>
        <w:tc>
          <w:tcPr>
            <w:tcW w:w="80" w:type="dxa"/>
            <w:vAlign w:val="bottom"/>
            <w:tcBorders>
              <w:top w:val="single" w:sz="8" w:color="CCEEFF"/>
            </w:tcBorders>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following unaudited pro forma consolidated operating results give effect to the Transaction as if it had been completed as of April 1, 2021. These pro forma amounts are not necessarily indicative of the operating results that would have occurred if the Transaction had occurred on such date. The pro forma adjustments are based on certain assumptions that we believe are reasonable.</w:t>
      </w:r>
    </w:p>
    <w:p>
      <w:pPr>
        <w:spacing w:after="0" w:line="180"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Three Months Ended December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ind w:left="20"/>
              <w:spacing w:after="0"/>
              <w:rPr>
                <w:sz w:val="20"/>
                <w:szCs w:val="20"/>
                <w:color w:val="auto"/>
              </w:rPr>
            </w:pPr>
            <w:r>
              <w:rPr>
                <w:rFonts w:ascii="Arial" w:cs="Arial" w:eastAsia="Arial" w:hAnsi="Arial"/>
                <w:sz w:val="18"/>
                <w:szCs w:val="18"/>
                <w:b w:val="1"/>
                <w:bCs w:val="1"/>
                <w:color w:val="auto"/>
                <w:w w:val="93"/>
              </w:rPr>
              <w:t>Nine Months Ended December 31,</w:t>
            </w:r>
          </w:p>
        </w:tc>
      </w:tr>
      <w:tr>
        <w:trPr>
          <w:trHeight w:val="210"/>
        </w:trPr>
        <w:tc>
          <w:tcPr>
            <w:tcW w:w="3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111,860,093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122,495,733</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442,756,025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391,652,365</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Earnings (loss)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981,433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(20,068,874)</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12,291,240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14,918,837</w:t>
            </w:r>
          </w:p>
        </w:tc>
      </w:tr>
    </w:tbl>
    <w:p>
      <w:pPr>
        <w:spacing w:after="0" w:line="18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Our consolidated statements of operations for the three month and nine month periods ended December 31, 2022, include net sales of approximately $52.0 million and $175.0 million, respectively, and earnings from operations of approximately $4.6 million and $10.3 million, respectively,</w:t>
      </w:r>
    </w:p>
    <w:p>
      <w:pPr>
        <w:sectPr>
          <w:pgSz w:w="11900" w:h="16996" w:orient="portrait"/>
          <w:cols w:equalWidth="0" w:num="1">
            <w:col w:w="11240"/>
          </w:cols>
          <w:pgMar w:left="320" w:top="125" w:right="339" w:bottom="0" w:gutter="0" w:footer="0" w:header="0"/>
        </w:sectPr>
      </w:pPr>
    </w:p>
    <w:bookmarkStart w:id="7" w:name="page8"/>
    <w:bookmarkEnd w:id="7"/>
    <w:p>
      <w:pPr>
        <w:jc w:val="both"/>
        <w:spacing w:after="0" w:line="269" w:lineRule="auto"/>
        <w:rPr>
          <w:sz w:val="20"/>
          <w:szCs w:val="20"/>
          <w:color w:val="auto"/>
        </w:rPr>
      </w:pPr>
      <w:r>
        <w:rPr>
          <w:rFonts w:ascii="Arial" w:cs="Arial" w:eastAsia="Arial" w:hAnsi="Arial"/>
          <w:sz w:val="17"/>
          <w:szCs w:val="17"/>
          <w:color w:val="auto"/>
        </w:rPr>
        <w:t>attributable to the East Chicago and Granite City facilities acquired from Plateplus. At the Acquisition Date, the Company acquired the inventory on hand at Plateplus' Houston and Loudon facilities and also assumed inventory on order related to these locations. Plateplus provided toll processing services for this material for a period of time following the Acquisition Date with these services having concluded by August 31, 2022 resulting in no impact to sales and earnings from operations for the three months ended December 31, 2022. In addition to the East Chicago and Granite City sales and earnings from operations, our consolidated statement of operations for the nine month period ended December 31, 2022, include net sales of approximately $43.4 million and earnings from operations of approximately $300,000 attributable to sales of inventory from Houston and Loudon where the fixed assets were not acquired. The Company did not have any transaction specific costs during the three months ended December 31, 2022. For the nine months ended December 31, 2022, the Company recorded transaction specific costs of approximately $1.2 million as a component of "Selling, general and administrative" expenses on the Condensed Consolidated Statements of Operations. Information about the debt issuance costs associated with the acquisition financing is provided in Note 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C — INVENTORIES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Inventories consist of prime coil, non-standard coil and tubular materials. Prime coil inventory consists primarily of raw materials, non-standard coil inventory consists primarily of raw materials and tubular inventory consists of both raw materials and finished goods. Cost for prime coil inventory is determined using the average cost method. Cost for non-standard coil inventory is determined using the specific identification method. Cost for tubular inventory is determined using the average cost method. All inventories are valued at the lower of cost or net realizable value.</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A summary of inventory values by product group follows:</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December 31, 2022</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March 31, 2022</w:t>
            </w:r>
          </w:p>
        </w:tc>
        <w:tc>
          <w:tcPr>
            <w:tcW w:w="8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Prime Coil Inventory</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89,007,944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50,482,022</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Non-Standard Coil Inventory</w:t>
            </w:r>
          </w:p>
        </w:tc>
        <w:tc>
          <w:tcPr>
            <w:tcW w:w="4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295,925</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1,063,374</w:t>
            </w:r>
          </w:p>
        </w:tc>
      </w:tr>
      <w:tr>
        <w:trPr>
          <w:trHeight w:val="216"/>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Tubular Raw Material</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4,542,470</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9,049,598</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Tubular Finished Goods</w:t>
            </w:r>
          </w:p>
        </w:tc>
        <w:tc>
          <w:tcPr>
            <w:tcW w:w="4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3,987,764</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7,351,128</w:t>
            </w:r>
          </w:p>
        </w:tc>
      </w:tr>
      <w:tr>
        <w:trPr>
          <w:trHeight w:val="20"/>
        </w:trPr>
        <w:tc>
          <w:tcPr>
            <w:tcW w:w="4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00" w:type="dxa"/>
            <w:vAlign w:val="bottom"/>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97,834,103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67,946,122</w:t>
            </w:r>
          </w:p>
        </w:tc>
      </w:tr>
      <w:tr>
        <w:trPr>
          <w:trHeight w:val="20"/>
        </w:trPr>
        <w:tc>
          <w:tcPr>
            <w:tcW w:w="40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Tubular raw material inventory consists of hot-rolled steel coils that the Company will manufacture into pipe. Tubular finished goods inventory consists of pipe the Company has manufactured.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D – DEBT</w:t>
      </w:r>
    </w:p>
    <w:p>
      <w:pPr>
        <w:spacing w:after="0" w:line="225" w:lineRule="exact"/>
        <w:rPr>
          <w:sz w:val="20"/>
          <w:szCs w:val="20"/>
          <w:color w:val="auto"/>
        </w:rPr>
      </w:pPr>
    </w:p>
    <w:p>
      <w:pPr>
        <w:jc w:val="both"/>
        <w:ind w:firstLine="511"/>
        <w:spacing w:after="0" w:line="263" w:lineRule="auto"/>
        <w:rPr>
          <w:sz w:val="20"/>
          <w:szCs w:val="20"/>
          <w:color w:val="auto"/>
        </w:rPr>
      </w:pPr>
      <w:r>
        <w:rPr>
          <w:rFonts w:ascii="Arial" w:cs="Arial" w:eastAsia="Arial" w:hAnsi="Arial"/>
          <w:sz w:val="18"/>
          <w:szCs w:val="18"/>
          <w:color w:val="auto"/>
        </w:rPr>
        <w:t>On June 22, 2021, the Small Business Administration authorized full forgiveness of the Company's Paycheck Protection Program loan. The gain of $1,706,614 from this extinguishment of debt included both principal and interest and is recorded as a component of "Other income (loss), net" on the Company's Condensed Consolidated Statement of Operations for the nine months ended December 31, 2021.</w:t>
      </w:r>
    </w:p>
    <w:p>
      <w:pPr>
        <w:spacing w:after="0" w:line="184"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7"/>
          <w:szCs w:val="17"/>
          <w:color w:val="auto"/>
        </w:rPr>
        <w:t>On March 8, 2021, the Company entered into a Credit Agreement providing for a $10 million revolving line of credit facility (the "Interim Credit Facility) with JPMorgan Chase Bank, N.A. (the "Bank"). The Interim Credit Facility had an expiration date of July 15, 2021 because the Company was evaluating options for longer term credit arrangements. On April 12, 2021, the Company executed a first amendment to the Interim Credit Facility that increased the size of the facility from $10 million to $20 million. On May 19, 2021, the Company entered into an Amended and Restated Credit Agreement ("ABL Facility") with the Bank that amended and restated the Interim Credit Facility and provided for asset-based revolving loans in an aggregate principal amount up to $40 million. On March 11, 2022, the Company executed a first amendment to the ABL Facility which increased the size of the facility from $40 million to $75 million. On April 29, 2022, the Company entered into a Second Amendment to the ABL Facility. The Second Amendment increased the revolving loans available under the ABL facility from an aggregate principal amount of up to $75 million to an aggregate principal amount of up to $150 million. On July 6, 2022, the Company entered into a Third Amendment to the ABL Facility. The Third Amendment to the ABL Facility provided for the syndication of the asset-based revolving loans available thereunder with BMO Harris Bank, N.A. ("BMO") with JPMorgan Chase Bank serving as the arranging agent (the "Agent"). The Third Amendment also amended provisions of the ABL Facility authorizing the Agent to make protective advances under the ABL Facility and added a covenant requiring each of the Company and its subsidiaries to maintain the Agent as its principal depository bank. In connection with the Third Amendment, the Company also entered into a Revolving Note payable to BMO in a principal amount of up to $50 million establishing BMO as a one-third syndicated participant in the Company's ABL facility.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December 31, 2022, the Company had a balance of $44,510,967 under the ABL Facility with an applicable interest rate of 6.5%. At December 31, 2022, the Company's applicable borrowing base calculation supported access to $99 million of the ABL Facility.</w:t>
      </w:r>
    </w:p>
    <w:p>
      <w:pPr>
        <w:spacing w:after="0" w:line="198"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Company incurred debt issuance costs of $239,887 in connection with the Second Amendment to the ABL Facility and $154,000 in connection with the Third Amendment to the ABL Facility. The Company recorded these debt issuance costs as non-current other assets and will amortize these costs on an equal monthly basis over the remaining term of the ABL facility.</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E — LEASES</w:t>
      </w:r>
    </w:p>
    <w:p>
      <w:pPr>
        <w:spacing w:after="0" w:line="225"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The Company was assigned an operating lease associated with the real property and leasehold improvements for the Granite City, IL facility acquired from Plateplus pursuant to the Transaction disclosed in Note B. The current lease expires August 31, 2023 but contains a 20 year extension option in favor of the Company which the Company expects to exercise. The lease calls for quarterly rental payments of $18,832. The Company recognized an initial right-of-use ("ROU") asset and lease liability of $1,237,097 during the June 30, 2022 quarter related to this lease. The anticipated 20 year extension of this lease is included in the ROU asset and lease liability calculation. The Company’s lease of its office space in Longview, Texas is the only other operating lease included in the Company's ROU assets and lease liabilities. The lease calls for monthly rent payments of $4,878 and expires on April 30, 2024. The Company’s other operating leases for items such as IT equipment and storage space are either short-term in nature or immaterial.</w:t>
      </w:r>
    </w:p>
    <w:p>
      <w:pPr>
        <w:spacing w:after="0" w:line="16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October 2019, the Company received a new heavy-duty forklift under a 5-year finance lease arrangement with a financed amount of $518,616 and a monthly payment of $9,074.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expense related to leases for the three and nine months ended December 31, 2022 and 2021 are as follows: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2021</w:t>
            </w:r>
          </w:p>
        </w:tc>
        <w:tc>
          <w:tcPr>
            <w:tcW w:w="80" w:type="dxa"/>
            <w:vAlign w:val="bottom"/>
          </w:tcPr>
          <w:p>
            <w:pPr>
              <w:spacing w:after="0"/>
              <w:rPr>
                <w:sz w:val="18"/>
                <w:szCs w:val="18"/>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 amortization of ROU asset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25,734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78,327</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76,831</w:t>
            </w: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Finance lease – interest on lease liability</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1,489</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3,342</w:t>
            </w: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4,838</w:t>
            </w: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14,634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94,120</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43,902</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60,689</w:t>
            </w:r>
          </w:p>
        </w:tc>
        <w:tc>
          <w:tcPr>
            <w:tcW w:w="200" w:type="dxa"/>
            <w:vAlign w:val="bottom"/>
          </w:tcPr>
          <w:p>
            <w:pPr>
              <w:spacing w:after="0"/>
              <w:rPr>
                <w:sz w:val="18"/>
                <w:szCs w:val="18"/>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41,857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175,789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125,571</w:t>
            </w:r>
          </w:p>
        </w:tc>
      </w:tr>
      <w:tr>
        <w:trPr>
          <w:trHeight w:val="20"/>
        </w:trPr>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following table illustrates the balance sheet classification for ROU assets and lease liabilities as of December 31, 2022 and March 31, 2022:</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Balance Sheet Classification</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1,281,996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113,168</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Operating lease right-of-use asset</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Finance lease right-of-use asset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436,499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455,948</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Property, plant &amp; equipment</w:t>
            </w:r>
          </w:p>
        </w:tc>
      </w:tr>
      <w:tr>
        <w:trPr>
          <w:trHeight w:val="209"/>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Arial" w:cs="Arial" w:eastAsia="Arial" w:hAnsi="Arial"/>
                <w:sz w:val="18"/>
                <w:szCs w:val="18"/>
                <w:color w:val="auto"/>
              </w:rPr>
              <w:t>Total right-of-use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1,718,495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569,116</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liability, current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100,744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52,270</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7"/>
              </w:rPr>
              <w:t>Accrued expenses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lease liability, current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104,689</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Current portion of finance lease</w:t>
            </w: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liability, non-current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1,193,415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60,898</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Other non-current liabilities</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Finance lease liability, non-current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160,869</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Other non-current liabilities</w:t>
            </w:r>
          </w:p>
        </w:tc>
      </w:tr>
      <w:tr>
        <w:trPr>
          <w:trHeight w:val="210"/>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Arial" w:cs="Arial" w:eastAsia="Arial" w:hAnsi="Arial"/>
                <w:sz w:val="18"/>
                <w:szCs w:val="18"/>
                <w:color w:val="auto"/>
              </w:rPr>
              <w:t>Total lease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1,481,389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378,726</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As of December 31, 2022, the weighted-average remaining lease term was 19.6 years for operating leases and 1.7 years for finance leases. The weighted average discount rate was 2.7% for operating leases and 1.9% for finance leases.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Maturities of lease liabilities as of December 31,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Operating Leases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Finance Leases</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 (remainder of fiscal year)</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33,466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27,223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133,863</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108,892</w:t>
            </w: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80,205</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54,446</w:t>
            </w:r>
          </w:p>
        </w:tc>
        <w:tc>
          <w:tcPr>
            <w:tcW w:w="860" w:type="dxa"/>
            <w:vAlign w:val="bottom"/>
          </w:tcPr>
          <w:p>
            <w:pPr>
              <w:spacing w:after="0"/>
              <w:rPr>
                <w:sz w:val="19"/>
                <w:szCs w:val="19"/>
                <w:color w:val="auto"/>
              </w:rPr>
            </w:pPr>
          </w:p>
        </w:tc>
      </w:tr>
      <w:tr>
        <w:trPr>
          <w:trHeight w:val="216"/>
        </w:trPr>
        <w:tc>
          <w:tcPr>
            <w:tcW w:w="8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75,327</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 and beyond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1,311,941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880" w:type="dxa"/>
            <w:vAlign w:val="bottom"/>
          </w:tcPr>
          <w:p>
            <w:pPr>
              <w:ind w:left="500"/>
              <w:spacing w:after="0"/>
              <w:rPr>
                <w:sz w:val="20"/>
                <w:szCs w:val="20"/>
                <w:color w:val="auto"/>
              </w:rPr>
            </w:pPr>
            <w:r>
              <w:rPr>
                <w:rFonts w:ascii="Arial" w:cs="Arial" w:eastAsia="Arial" w:hAnsi="Arial"/>
                <w:sz w:val="18"/>
                <w:szCs w:val="18"/>
                <w:color w:val="auto"/>
              </w:rPr>
              <w:t>Total undiscounted lease payments</w:t>
            </w:r>
          </w:p>
        </w:tc>
        <w:tc>
          <w:tcPr>
            <w:tcW w:w="2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1,634,802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190,561</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imputed interest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(340,643)</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(3,331)</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4"/>
        </w:trPr>
        <w:tc>
          <w:tcPr>
            <w:tcW w:w="840" w:type="dxa"/>
            <w:vAlign w:val="bottom"/>
          </w:tcPr>
          <w:p>
            <w:pPr>
              <w:spacing w:after="0"/>
              <w:rPr>
                <w:sz w:val="19"/>
                <w:szCs w:val="19"/>
                <w:color w:val="auto"/>
              </w:rPr>
            </w:pPr>
          </w:p>
        </w:tc>
        <w:tc>
          <w:tcPr>
            <w:tcW w:w="3880" w:type="dxa"/>
            <w:vAlign w:val="bottom"/>
          </w:tcPr>
          <w:p>
            <w:pPr>
              <w:ind w:left="500"/>
              <w:spacing w:after="0"/>
              <w:rPr>
                <w:sz w:val="20"/>
                <w:szCs w:val="20"/>
                <w:color w:val="auto"/>
              </w:rPr>
            </w:pPr>
            <w:r>
              <w:rPr>
                <w:rFonts w:ascii="Arial" w:cs="Arial" w:eastAsia="Arial" w:hAnsi="Arial"/>
                <w:sz w:val="18"/>
                <w:szCs w:val="18"/>
                <w:color w:val="auto"/>
              </w:rPr>
              <w:t>Present value of lease liability</w:t>
            </w:r>
          </w:p>
        </w:tc>
        <w:tc>
          <w:tcPr>
            <w:tcW w:w="2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1,294,159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187,230</w:t>
            </w:r>
          </w:p>
        </w:tc>
        <w:tc>
          <w:tcPr>
            <w:tcW w:w="860" w:type="dxa"/>
            <w:vAlign w:val="bottom"/>
          </w:tcPr>
          <w:p>
            <w:pPr>
              <w:spacing w:after="0"/>
              <w:rPr>
                <w:sz w:val="19"/>
                <w:szCs w:val="19"/>
                <w:color w:val="auto"/>
              </w:rPr>
            </w:pPr>
          </w:p>
        </w:tc>
      </w:tr>
      <w:tr>
        <w:trPr>
          <w:trHeight w:val="418"/>
        </w:trPr>
        <w:tc>
          <w:tcPr>
            <w:tcW w:w="8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40" w:type="dxa"/>
            <w:vAlign w:val="bottom"/>
          </w:tcPr>
          <w:p>
            <w:pPr>
              <w:jc w:val="right"/>
              <w:ind w:right="13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F — PROPERTY, PLANT AND EQUIPMENT</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May 25, 2021, the Company announced plans for a new facility in Sinton, Texas that would be part of the coil product segment. The new facility is on the campus of Steel Dynamics, Inc.'s ("SDI") new flat roll steel mill in Sinton, Texas. The Company's new location consists of an approximately 70,000 square foot building located on approximately 26.5 acres leased from SDI under a 99-year agreement with an annual rental payment of $1. The facility is equipped with a stretcher leveler cut-to-length line that is capable of handling material up to 1” thick, widths up to 96” and yields exceeding 100,000 psi. The Company put the facility into service at the end of October 2022 and estimates the total cost of the project to be approximately $22.3 million. At December 31, 2022, the Company had paid approximately $14,826,000 related to the project and accrued approximately $7,448,000 to be paid during the three months ending March 31, 2023.</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G — STOCK BASED COMPENSATION</w:t>
      </w:r>
    </w:p>
    <w:p>
      <w:pPr>
        <w:spacing w:after="0" w:line="225"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related to restricted stock units ("RSUs") for the nine months ended December 31, 2022:</w:t>
      </w:r>
    </w:p>
    <w:p>
      <w:pPr>
        <w:sectPr>
          <w:pgSz w:w="11900" w:h="16838" w:orient="portrait"/>
          <w:cols w:equalWidth="0" w:num="1">
            <w:col w:w="11240"/>
          </w:cols>
          <w:pgMar w:left="320" w:top="125" w:right="339" w:bottom="4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Unvested at March 31, 2022</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Cancelled or forfeited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Vested</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Unvested at December 31, 2022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Number 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Value Per Share</w:t>
            </w:r>
          </w:p>
        </w:tc>
      </w:tr>
      <w:tr>
        <w:trPr>
          <w:trHeight w:val="195"/>
        </w:trPr>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139,523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5.96</w:t>
            </w:r>
          </w:p>
        </w:tc>
      </w:tr>
      <w:tr>
        <w:trPr>
          <w:trHeight w:val="216"/>
        </w:trPr>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spacing w:after="0"/>
              <w:rPr>
                <w:sz w:val="20"/>
                <w:szCs w:val="20"/>
                <w:color w:val="auto"/>
              </w:rPr>
            </w:pPr>
            <w:r>
              <w:rPr>
                <w:rFonts w:ascii="Arial" w:cs="Arial" w:eastAsia="Arial" w:hAnsi="Arial"/>
                <w:sz w:val="18"/>
                <w:szCs w:val="18"/>
                <w:color w:val="auto"/>
              </w:rPr>
              <w:t>7,700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30"/>
        </w:trPr>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(46,857)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09"/>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-719455</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-445135</wp:posOffset>
            </wp:positionV>
            <wp:extent cx="64122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-162560</wp:posOffset>
            </wp:positionV>
            <wp:extent cx="641223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40" w:space="720"/>
            <w:col w:w="3880"/>
          </w:cols>
          <w:pgMar w:left="320" w:top="125" w:right="339" w:bottom="487" w:gutter="0" w:footer="0" w:header="0"/>
          <w:type w:val="continuous"/>
        </w:sectPr>
      </w:pPr>
    </w:p>
    <w:p>
      <w:pPr>
        <w:spacing w:after="0" w:line="2"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The Company measures compensation expense for RSUs at the market price of the common stock as of the grant date. Compensation expense is recognized over the requisite service period applicable to each award. The Company recorded compensation expense of $224,481 and $375,935 in the nine months ended December 31, 2022 and 2021, respectively, relating to the RSUs issued under the Plan. As of December 31, 2022, unrecognized compensation expense related to unvested RSUs was approximately $391,000, which is expected to be recognized over a weighted average period of approximately 1.5 years. As of December 31, 2022, a total of 122,485 shares were still available to be issued under the Plan.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H — DERIVATIVE FINANCIAL INSTRUMENTS</w:t>
      </w:r>
    </w:p>
    <w:p>
      <w:pPr>
        <w:spacing w:after="0" w:line="225"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From time to time, we expect to use derivative financial instruments to minimize our exposure to commodity price risk that is inherent in our business. At the time derivative contracts are entered into, we assess whether the nature of the instrument qualifies for hedge accounting treatment according to the requirements of ASC 815 – Derivatives and Hedging (“ASC 815”).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those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68"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From time to time, derivatives designated for hedge accounting may be closed prior to contract expiration. The accounting treatment of closed positions depends on whether the closure occurred due to the hedged transaction occurring early or if the hedged transaction is still expected to occur as originally forecasted. For hedged transactions that occur early, the closure results in the realized gain or loss from closure being recognized in the same period the accelerated hedged transaction affects earnings. For hedged transactions that are still expected to occur as originally forecasted, the closure results in the realized gain or loss being deferred until the hedged transaction affects earnings.</w:t>
      </w:r>
    </w:p>
    <w:p>
      <w:pPr>
        <w:spacing w:after="0" w:line="176"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If it is determined that hedged transactions associated with cash flow hedges are no longer probable of occurring, the gain or loss associated with the instrument is recognized immediately into earnings.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From time to time, we may have derivative financial instruments for which we do not elect hedge accounting.</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Company has forward physical purchase supply agreements in place with some of its suppliers for a portion of its monthly physical steel needs. These supply agreements are not subject to mark-to-market accounting due to the Company electing the normal purchase normal sale exclusion provided in ASC 815.</w:t>
      </w:r>
    </w:p>
    <w:p>
      <w:pPr>
        <w:sectPr>
          <w:pgSz w:w="11900" w:h="16838" w:orient="portrait"/>
          <w:cols w:equalWidth="0" w:num="1">
            <w:col w:w="11240"/>
          </w:cols>
          <w:pgMar w:left="320" w:top="125" w:right="339" w:bottom="487" w:gutter="0" w:footer="0" w:header="0"/>
          <w:type w:val="continuous"/>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87"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At December 31, 2022 and March 31, 2022, the Company held hot-rolled coil futures contracts which were designated as hedging instruments and classified as cash flow hedges, either as hedges of variable purchase prices or as hedges of variable sales prices. Accordingly, realized and unrealized gains and losses associated with the instruments are reported as a component of other comprehensive income and reclassified into earnings during the period in which the hedged transaction affects earnings. During the three and nine months ended December 31, 2022, the Company also entered into hot-rolled coil futures contracts that were not designated as hedging instruments for accounting purposes. Accordingly, the change in fair value related to these instruments was immediately recognized in earnings.</w:t>
      </w:r>
    </w:p>
    <w:p>
      <w:pPr>
        <w:spacing w:after="0" w:line="19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table summarizes the fair value of the Company’s derivative financial instruments and the respective line in which they were recorded in the Consolidated Balance Sheet as of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Asset Derivatives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Liability Derivatives</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w w:val="97"/>
              </w:rPr>
              <w:t>Derivatives designated as cash flow</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040" w:type="dxa"/>
            <w:vAlign w:val="bottom"/>
            <w:vMerge w:val="continue"/>
          </w:tcPr>
          <w:p>
            <w:pPr>
              <w:spacing w:after="0"/>
              <w:rPr>
                <w:sz w:val="15"/>
                <w:szCs w:val="15"/>
                <w:color w:val="auto"/>
              </w:rPr>
            </w:pPr>
          </w:p>
        </w:tc>
        <w:tc>
          <w:tcPr>
            <w:tcW w:w="2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2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1"/>
        </w:trPr>
        <w:tc>
          <w:tcPr>
            <w:tcW w:w="3040" w:type="dxa"/>
            <w:vAlign w:val="bottom"/>
          </w:tcPr>
          <w:p>
            <w:pPr>
              <w:spacing w:after="0"/>
              <w:rPr>
                <w:sz w:val="20"/>
                <w:szCs w:val="20"/>
                <w:color w:val="auto"/>
              </w:rPr>
            </w:pPr>
            <w:r>
              <w:rPr>
                <w:rFonts w:ascii="Arial" w:cs="Arial" w:eastAsia="Arial" w:hAnsi="Arial"/>
                <w:sz w:val="18"/>
                <w:szCs w:val="18"/>
                <w:b w:val="1"/>
                <w:bCs w:val="1"/>
                <w:color w:val="auto"/>
              </w:rPr>
              <w:t>hedges: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4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4"/>
              </w:rPr>
              <w:t>Hot-rolled coil steel contracts hedging</w:t>
            </w:r>
          </w:p>
        </w:tc>
        <w:tc>
          <w:tcPr>
            <w:tcW w:w="2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Current portion of derivative</w:t>
            </w: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22,100</w:t>
            </w:r>
          </w:p>
        </w:tc>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Derivatives not designated as hedging</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instruments:</w:t>
            </w:r>
          </w:p>
        </w:tc>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rPr>
                <w:sz w:val="17"/>
                <w:szCs w:val="17"/>
                <w:color w:val="auto"/>
              </w:rPr>
            </w:pPr>
          </w:p>
        </w:tc>
        <w:tc>
          <w:tcPr>
            <w:tcW w:w="226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 derivative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 derivative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226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786,720</w:t>
            </w:r>
          </w:p>
        </w:tc>
        <w:tc>
          <w:tcPr>
            <w:tcW w:w="258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649,700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fair value of the Company’s derivative financial instruments and the respective line in which they were recorded in the Consolidated Balance Sheet as of March 31, 2022:</w:t>
      </w:r>
    </w:p>
    <w:p>
      <w:pPr>
        <w:sectPr>
          <w:pgSz w:w="11900" w:h="16838" w:orient="portrait"/>
          <w:cols w:equalWidth="0" w:num="1">
            <w:col w:w="11240"/>
          </w:cols>
          <w:pgMar w:left="320" w:top="125" w:right="339" w:bottom="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Derivatives designated as cash flow hedges:</w:t>
      </w:r>
    </w:p>
    <w:p>
      <w:pPr>
        <w:ind w:left="180"/>
        <w:spacing w:after="0" w:line="260" w:lineRule="auto"/>
        <w:rPr>
          <w:sz w:val="20"/>
          <w:szCs w:val="20"/>
          <w:color w:val="auto"/>
        </w:rPr>
      </w:pPr>
      <w:r>
        <w:rPr>
          <w:rFonts w:ascii="Arial" w:cs="Arial" w:eastAsia="Arial" w:hAnsi="Arial"/>
          <w:sz w:val="18"/>
          <w:szCs w:val="18"/>
          <w:color w:val="auto"/>
        </w:rPr>
        <w:t>Hot-rolled coil steel contracts hedging sales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Borders>
              <w:bottom w:val="single" w:sz="8" w:color="auto"/>
            </w:tcBorders>
            <w:gridSpan w:val="3"/>
          </w:tcPr>
          <w:p>
            <w:pPr>
              <w:ind w:left="1260"/>
              <w:spacing w:after="0"/>
              <w:rPr>
                <w:sz w:val="20"/>
                <w:szCs w:val="20"/>
                <w:color w:val="auto"/>
              </w:rPr>
            </w:pPr>
            <w:r>
              <w:rPr>
                <w:rFonts w:ascii="Arial" w:cs="Arial" w:eastAsia="Arial" w:hAnsi="Arial"/>
                <w:sz w:val="18"/>
                <w:szCs w:val="18"/>
                <w:b w:val="1"/>
                <w:bCs w:val="1"/>
                <w:color w:val="auto"/>
                <w:w w:val="91"/>
              </w:rPr>
              <w:t>Asset Derivatives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Liability Derivatives</w:t>
            </w:r>
          </w:p>
        </w:tc>
        <w:tc>
          <w:tcPr>
            <w:tcW w:w="1220" w:type="dxa"/>
            <w:vAlign w:val="bottom"/>
            <w:tcBorders>
              <w:bottom w:val="single" w:sz="8" w:color="auto"/>
            </w:tcBorders>
          </w:tcPr>
          <w:p>
            <w:pPr>
              <w:spacing w:after="0"/>
              <w:rPr>
                <w:sz w:val="20"/>
                <w:szCs w:val="20"/>
                <w:color w:val="auto"/>
              </w:rPr>
            </w:pPr>
          </w:p>
        </w:tc>
      </w:tr>
      <w:tr>
        <w:trPr>
          <w:trHeight w:val="228"/>
        </w:trPr>
        <w:tc>
          <w:tcPr>
            <w:tcW w:w="2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Balance Sheet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00"/>
        </w:trPr>
        <w:tc>
          <w:tcPr>
            <w:tcW w:w="2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Location</w:t>
            </w:r>
          </w:p>
        </w:tc>
        <w:tc>
          <w:tcPr>
            <w:tcW w:w="1200" w:type="dxa"/>
            <w:vAlign w:val="bottom"/>
          </w:tcPr>
          <w:p>
            <w:pPr>
              <w:ind w:left="6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195"/>
        </w:trPr>
        <w:tc>
          <w:tcPr>
            <w:tcW w:w="2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Current portion of derivative</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8,905,500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-273685</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2920" w:space="120"/>
            <w:col w:w="8200"/>
          </w:cols>
          <w:pgMar w:left="320" w:top="125" w:right="339" w:bottom="69"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Derivatives not designated as hedging</w:t>
            </w:r>
          </w:p>
        </w:tc>
        <w:tc>
          <w:tcPr>
            <w:tcW w:w="2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4"/>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instruments:</w:t>
            </w:r>
          </w:p>
        </w:tc>
        <w:tc>
          <w:tcPr>
            <w:tcW w:w="2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3020" w:type="dxa"/>
            <w:vAlign w:val="bottom"/>
          </w:tcPr>
          <w:p>
            <w:pPr>
              <w:spacing w:after="0"/>
              <w:rPr>
                <w:sz w:val="17"/>
                <w:szCs w:val="17"/>
                <w:color w:val="auto"/>
              </w:rPr>
            </w:pPr>
          </w:p>
        </w:tc>
        <w:tc>
          <w:tcPr>
            <w:tcW w:w="230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 derivative</w:t>
            </w: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2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 derivative</w:t>
            </w: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02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230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4,240,740</w:t>
            </w:r>
          </w:p>
        </w:tc>
        <w:tc>
          <w:tcPr>
            <w:tcW w:w="242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5,524,020</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derivatives are presented on a gross basis on the Consolidated Balance Sheets.</w:t>
      </w:r>
    </w:p>
    <w:p>
      <w:pPr>
        <w:spacing w:after="0" w:line="225"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At March 31, 2022, the Company reported $933,200 in "Other current assets" on its Consolidated Balance Sheet related to futures contracts which were closed but were pending cash settlement. At December 31, 2022, the Company did not have any closed futures contracts pending cash settlement.</w:t>
      </w:r>
    </w:p>
    <w:p>
      <w:pPr>
        <w:spacing w:after="0" w:line="12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notional amount (quantity) of our cash flow hedges outstanding at December 31, 2022 consisted of 2,080 tons hedging sales with maturity dates ranging from February 2023 to March 2023.</w:t>
      </w:r>
    </w:p>
    <w:p>
      <w:pPr>
        <w:spacing w:after="0" w:line="170"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The following table summarizes the pre-tax gain (loss) recognized in other comprehensive income and the gain (loss) reclassified from accumulated other comprehensive loss into earnings for derivative financial instruments designated as cash flow hedges for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Pre- Tax Gain</w:t>
            </w:r>
          </w:p>
        </w:tc>
      </w:t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Pre-Tax Gain</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 of Gain (Loss)</w:t>
            </w:r>
          </w:p>
        </w:tc>
        <w:tc>
          <w:tcPr>
            <w:tcW w:w="1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(Loss) Reclassified</w:t>
            </w:r>
          </w:p>
        </w:tc>
      </w:t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5"/>
              </w:rPr>
              <w:t>Reclassified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AOCI into Net</w:t>
            </w:r>
          </w:p>
        </w:tc>
      </w:tr>
      <w:tr>
        <w:trPr>
          <w:trHeight w:val="234"/>
        </w:trPr>
        <w:tc>
          <w:tcPr>
            <w:tcW w:w="546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8"/>
              </w:rPr>
              <w:t>Recognized in OCI</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4"/>
              </w:rPr>
              <w:t>from AOCI into Net Earnings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December 31, 2022:</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22,100</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0"/>
              </w:rPr>
              <w:t>Sales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(860,620)</w:t>
            </w:r>
          </w:p>
        </w:tc>
      </w:tr>
      <w:tr>
        <w:trPr>
          <w:trHeight w:val="250"/>
        </w:trPr>
        <w:tc>
          <w:tcPr>
            <w:tcW w:w="5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6"/>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December 31, 2021: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46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3,473,300</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0"/>
              </w:rPr>
              <w:t>Sales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(14,766,060)</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Hot-rolled coil steel contracts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Costs of goods sold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49,200</w:t>
            </w:r>
          </w:p>
        </w:tc>
      </w:tr>
      <w:tr>
        <w:trPr>
          <w:trHeight w:val="209"/>
        </w:trPr>
        <w:tc>
          <w:tcPr>
            <w:tcW w:w="546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3,473,300</w:t>
            </w: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(14,716,860)</w:t>
            </w:r>
          </w:p>
        </w:tc>
        <w:tc>
          <w:tcPr>
            <w:tcW w:w="10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For the nine months ended December 31, 2022:</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Hot-rolled coil steel contracts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9,445,840</w:t>
            </w: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0"/>
              </w:rPr>
              <w:t>Sales</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(2,977,160)</w:t>
            </w:r>
          </w:p>
        </w:tc>
      </w:tr>
      <w:tr>
        <w:trPr>
          <w:trHeight w:val="209"/>
        </w:trPr>
        <w:tc>
          <w:tcPr>
            <w:tcW w:w="546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9,445,840</w:t>
            </w: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(2,977,160)</w:t>
            </w:r>
          </w:p>
        </w:tc>
        <w:tc>
          <w:tcPr>
            <w:tcW w:w="10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For the nine months ended December 31, 2021:</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Hot-rolled coil steel contracts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(6,609,540)</w:t>
            </w: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0"/>
              </w:rPr>
              <w:t>Sales</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(22,950,860)</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4"/>
              </w:rPr>
              <w:t>Costs of goods sold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10,632,900</w:t>
            </w:r>
          </w:p>
        </w:tc>
      </w:tr>
      <w:tr>
        <w:trPr>
          <w:trHeight w:val="249"/>
        </w:trPr>
        <w:tc>
          <w:tcPr>
            <w:tcW w:w="5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(6,609,540)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ectPr>
          <w:pgSz w:w="11900" w:h="16838" w:orient="portrait"/>
          <w:cols w:equalWidth="0" w:num="1">
            <w:col w:w="11240"/>
          </w:cols>
          <w:pgMar w:left="320" w:top="125" w:right="339" w:bottom="69" w:gutter="0" w:footer="0" w:header="0"/>
          <w:type w:val="continuous"/>
        </w:sectPr>
      </w:pPr>
    </w:p>
    <w:bookmarkStart w:id="12" w:name="page13"/>
    <w:bookmarkEnd w:id="12"/>
    <w:p>
      <w:pPr>
        <w:jc w:val="both"/>
        <w:ind w:firstLine="441"/>
        <w:spacing w:after="0" w:line="259" w:lineRule="auto"/>
        <w:rPr>
          <w:sz w:val="20"/>
          <w:szCs w:val="20"/>
          <w:color w:val="auto"/>
        </w:rPr>
      </w:pPr>
      <w:r>
        <w:rPr>
          <w:rFonts w:ascii="Arial" w:cs="Arial" w:eastAsia="Arial" w:hAnsi="Arial"/>
          <w:sz w:val="18"/>
          <w:szCs w:val="18"/>
          <w:color w:val="auto"/>
        </w:rPr>
        <w:t>The estimated amount of net losses recognized in AOCI at December 31, 2022 expected to be reclassified into net earnings (loss) within the succeeding twelve months is $1,116,700. This amount consists of $1,138,800 in realized losses associated with closed hedges and $22,100 in unrealized gains associated with open hedges that was computed using the fair value of the cash flow hedges as of December 31, 2022 and is subject to change before actual reclassification from AOCI to net earnings (loss).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summarizes the gains recognized in earnings for derivative instruments not designated as hedging instruments during the three and nine months ended December 31, 2022:</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December 31, 2022</w:t>
            </w:r>
          </w:p>
        </w:tc>
        <w:tc>
          <w:tcPr>
            <w:tcW w:w="80" w:type="dxa"/>
            <w:vAlign w:val="bottom"/>
          </w:tcPr>
          <w:p>
            <w:pPr>
              <w:spacing w:after="0"/>
              <w:rPr>
                <w:sz w:val="20"/>
                <w:szCs w:val="20"/>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Other income (loss), net</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822,200</w:t>
            </w:r>
          </w:p>
        </w:tc>
      </w:tr>
      <w:tr>
        <w:trPr>
          <w:trHeight w:val="414"/>
        </w:trPr>
        <w:tc>
          <w:tcPr>
            <w:tcW w:w="4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for the Nine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December 31, 2022</w:t>
            </w:r>
          </w:p>
        </w:tc>
        <w:tc>
          <w:tcPr>
            <w:tcW w:w="80" w:type="dxa"/>
            <w:vAlign w:val="bottom"/>
          </w:tcPr>
          <w:p>
            <w:pPr>
              <w:spacing w:after="0"/>
              <w:rPr>
                <w:sz w:val="20"/>
                <w:szCs w:val="20"/>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Other income (loss), net</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7,325,860</w:t>
            </w:r>
          </w:p>
        </w:tc>
      </w:tr>
    </w:tbl>
    <w:p>
      <w:pPr>
        <w:spacing w:after="0" w:line="20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summarizes the losses recognized in earnings for derivative instruments not designated as hedging instruments during the three and nine months ended December 31, 2021:</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December 31, 2021</w:t>
            </w:r>
          </w:p>
        </w:tc>
        <w:tc>
          <w:tcPr>
            <w:tcW w:w="80" w:type="dxa"/>
            <w:vAlign w:val="bottom"/>
          </w:tcPr>
          <w:p>
            <w:pPr>
              <w:spacing w:after="0"/>
              <w:rPr>
                <w:sz w:val="20"/>
                <w:szCs w:val="20"/>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Other income (loss), net</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1,721,700</w:t>
            </w:r>
          </w:p>
        </w:tc>
      </w:tr>
      <w:tr>
        <w:trPr>
          <w:trHeight w:val="414"/>
        </w:trPr>
        <w:tc>
          <w:tcPr>
            <w:tcW w:w="4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Loss Recognized in 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Location of Loss</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for the Nine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December 31, 2021</w:t>
            </w:r>
          </w:p>
        </w:tc>
        <w:tc>
          <w:tcPr>
            <w:tcW w:w="80" w:type="dxa"/>
            <w:vAlign w:val="bottom"/>
          </w:tcPr>
          <w:p>
            <w:pPr>
              <w:spacing w:after="0"/>
              <w:rPr>
                <w:sz w:val="20"/>
                <w:szCs w:val="20"/>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Other income (loss), net</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(6,498,040)</w:t>
            </w:r>
          </w:p>
        </w:tc>
      </w:tr>
    </w:tbl>
    <w:p>
      <w:pPr>
        <w:spacing w:after="0" w:line="20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notional amount (quantity) of our derivative instruments not designated as hedging instruments at December 31, 2022 consisted of 35,040 tons of short positions with maturity dates ranging from January 2023 to December 2023.</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reflects the change in accumulated other comprehensive income (loss), net of tax, for the periods presented:</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Gain (Loss) on</w:t>
            </w:r>
          </w:p>
        </w:tc>
      </w:tr>
      <w:tr>
        <w:trPr>
          <w:trHeight w:val="234"/>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8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(10,268,509)</w:t>
            </w:r>
          </w:p>
        </w:tc>
      </w:tr>
      <w:tr>
        <w:trPr>
          <w:trHeight w:val="216"/>
        </w:trPr>
        <w:tc>
          <w:tcPr>
            <w:tcW w:w="7380" w:type="dxa"/>
            <w:vAlign w:val="bottom"/>
          </w:tcPr>
          <w:p>
            <w:pPr>
              <w:ind w:left="160"/>
              <w:spacing w:after="0"/>
              <w:rPr>
                <w:sz w:val="20"/>
                <w:szCs w:val="20"/>
                <w:color w:val="auto"/>
              </w:rPr>
            </w:pPr>
            <w:r>
              <w:rPr>
                <w:rFonts w:ascii="Arial" w:cs="Arial" w:eastAsia="Arial" w:hAnsi="Arial"/>
                <w:sz w:val="18"/>
                <w:szCs w:val="18"/>
                <w:color w:val="auto"/>
              </w:rPr>
              <w:t>Other comprehensive income, net of loss,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7,163,726</w:t>
            </w:r>
          </w:p>
        </w:tc>
      </w:tr>
      <w:tr>
        <w:trPr>
          <w:trHeight w:val="216"/>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2,257,878</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9,421,604</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(846,905)</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56"/>
        <w:spacing w:after="0" w:line="277" w:lineRule="auto"/>
        <w:tabs>
          <w:tab w:leader="none" w:pos="9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reclassified from AOCI is presented net of tax benefits of $719,282 which are included in the provision for (benefit from) income taxes on the Company's Consolidated Statement of Operations for the nine months ended December 31, 2022.</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Gain (Loss) on</w:t>
            </w:r>
          </w:p>
        </w:tc>
      </w:tr>
      <w:tr>
        <w:trPr>
          <w:trHeight w:val="234"/>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8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(11,187,841)</w:t>
            </w:r>
          </w:p>
        </w:tc>
      </w:tr>
      <w:tr>
        <w:trPr>
          <w:trHeight w:val="216"/>
        </w:trPr>
        <w:tc>
          <w:tcPr>
            <w:tcW w:w="7380" w:type="dxa"/>
            <w:vAlign w:val="bottom"/>
          </w:tcPr>
          <w:p>
            <w:pPr>
              <w:ind w:left="160"/>
              <w:spacing w:after="0"/>
              <w:rPr>
                <w:sz w:val="20"/>
                <w:szCs w:val="20"/>
                <w:color w:val="auto"/>
              </w:rPr>
            </w:pPr>
            <w:r>
              <w:rPr>
                <w:rFonts w:ascii="Arial" w:cs="Arial" w:eastAsia="Arial" w:hAnsi="Arial"/>
                <w:sz w:val="18"/>
                <w:szCs w:val="18"/>
                <w:color w:val="auto"/>
              </w:rPr>
              <w:t>Other comprehensive loss, net of income,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(5,012,675)</w:t>
            </w:r>
          </w:p>
        </w:tc>
      </w:tr>
      <w:tr>
        <w:trPr>
          <w:trHeight w:val="216"/>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9,341,941</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4,329,266</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(6,858,575)</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20" w:firstLine="656"/>
        <w:spacing w:after="0" w:line="277" w:lineRule="auto"/>
        <w:tabs>
          <w:tab w:leader="none" w:pos="9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reclassified from AOCI is presented net of tax benefits of $2,976,019 which are included in the provision for (benefit from) income taxes on the Company's Consolidated Statement of Operations for the nine months ended December 31, 2021.</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December 31, 2022 and March 31, 2022, cash of $1,854,978 and $13,523,416, respectively, was held by our clearing agent to collateralize our open derivative positions. These cash requirements are included in "Other current assets" on the Company's Consolidated Balance Sheets at December 31, 2022 and March 31, 2022.</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MEASUREMENTS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8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assets and liabilities in active markets.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for the assets and liabilities, either directly or indirectly.</w:t>
      </w:r>
    </w:p>
    <w:p>
      <w:pPr>
        <w:spacing w:after="0" w:line="32" w:lineRule="exact"/>
        <w:rPr>
          <w:rFonts w:ascii="Arial" w:cs="Arial" w:eastAsia="Arial" w:hAnsi="Arial"/>
          <w:sz w:val="16"/>
          <w:szCs w:val="16"/>
          <w:color w:val="auto"/>
        </w:rPr>
      </w:pPr>
    </w:p>
    <w:p>
      <w:pPr>
        <w:ind w:left="980" w:right="20" w:hanging="324"/>
        <w:spacing w:after="0" w:line="26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and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2022, our financial assets,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Commodity futures – financial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159,120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159,120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159,120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2022, our financial liabilities,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(10,188,780)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(10,188,780)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(10,188,780)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(10,188,780)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1600" w:hanging="5039"/>
        <w:spacing w:after="0" w:line="527" w:lineRule="auto"/>
        <w:rPr>
          <w:sz w:val="20"/>
          <w:szCs w:val="20"/>
          <w:color w:val="auto"/>
        </w:rPr>
      </w:pPr>
      <w:r>
        <w:rPr>
          <w:rFonts w:ascii="Arial" w:cs="Arial" w:eastAsia="Arial" w:hAnsi="Arial"/>
          <w:sz w:val="18"/>
          <w:szCs w:val="18"/>
          <w:color w:val="auto"/>
        </w:rPr>
        <w:t>At December 31, 2022 and March 31, 2022, the Company did not have any fair value measurements on a non-recurring basis.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96"/>
        </w:trPr>
        <w:tc>
          <w:tcPr>
            <w:tcW w:w="4780" w:type="dxa"/>
            <w:vAlign w:val="bottom"/>
            <w:gridSpan w:val="3"/>
          </w:tcPr>
          <w:p>
            <w:pPr>
              <w:spacing w:after="0"/>
              <w:rPr>
                <w:sz w:val="20"/>
                <w:szCs w:val="20"/>
                <w:color w:val="auto"/>
              </w:rPr>
            </w:pPr>
            <w:r>
              <w:rPr>
                <w:rFonts w:ascii="Arial" w:cs="Arial" w:eastAsia="Arial" w:hAnsi="Arial"/>
                <w:sz w:val="18"/>
                <w:szCs w:val="18"/>
                <w:color w:val="auto"/>
              </w:rPr>
              <w:t>NOTE J — SEGMENT INFORMATION (in thousands)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50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2021</w:t>
            </w:r>
          </w:p>
        </w:tc>
        <w:tc>
          <w:tcPr>
            <w:tcW w:w="4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2021</w:t>
            </w: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Coil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100,231</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41,795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372,830</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172,814</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Tubular</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11,629</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9,861</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50,526</w:t>
            </w: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37,329</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Total net sales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111,860</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51,656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423,356</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210,143</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profit (loss)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Coil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3,259</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15,684</w:t>
            </w:r>
          </w:p>
        </w:tc>
        <w:tc>
          <w:tcPr>
            <w:tcW w:w="62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33,497</w:t>
            </w: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Tubular</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692</w:t>
            </w:r>
          </w:p>
        </w:tc>
        <w:tc>
          <w:tcPr>
            <w:tcW w:w="42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(647)</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6,136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3,951</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profit (loss)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3,951</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(4,679)</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37,448</w:t>
            </w: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2,522</w:t>
            </w:r>
          </w:p>
        </w:tc>
        <w:tc>
          <w:tcPr>
            <w:tcW w:w="42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920</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8,002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4,662</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826</w:t>
            </w:r>
          </w:p>
        </w:tc>
        <w:tc>
          <w:tcPr>
            <w:tcW w:w="42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1,727</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7,350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(4,801)</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Total earnings (loss) before income taxes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1,807</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62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27,831</w:t>
            </w:r>
          </w:p>
        </w:tc>
      </w:tr>
      <w:tr>
        <w:trPr>
          <w:trHeight w:val="20"/>
        </w:trPr>
        <w:tc>
          <w:tcPr>
            <w:tcW w:w="84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628"/>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1"/>
              </w:rPr>
              <w:t>December 31, 2022</w:t>
            </w:r>
          </w:p>
        </w:tc>
        <w:tc>
          <w:tcPr>
            <w:tcW w:w="120" w:type="dxa"/>
            <w:vAlign w:val="bottom"/>
          </w:tcPr>
          <w:p>
            <w:pPr>
              <w:spacing w:after="0"/>
              <w:rPr>
                <w:sz w:val="24"/>
                <w:szCs w:val="24"/>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6"/>
              </w:rPr>
              <w:t>March 31, 2022</w:t>
            </w:r>
          </w:p>
        </w:tc>
      </w:tr>
      <w:tr>
        <w:trPr>
          <w:trHeight w:val="210"/>
        </w:trPr>
        <w:tc>
          <w:tcPr>
            <w:tcW w:w="840" w:type="dxa"/>
            <w:vAlign w:val="bottom"/>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Coil</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185,210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115,232</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Tubular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12,651</w:t>
            </w: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24,017</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197,861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139,249</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20,026</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203,883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159,275</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Operating profit is total net sales less operating expenses, excluding general corporate expenses, interest expense and other income (loss). General corporate expenses reflect general and administrative expenses not directly associated with segment operations and consist primarily of corporate and accounting salaries, professional fees and services, bad debts, retirement plan contribution expense, corporate insurance expenses, restricted stock plan compensation expense and office supplies. Other income (loss) for the three and nine month periods ended December 31, 2022 consisted primarily of gains related to derivatives not designated for hedge accounting of $822,200 and $7,325,860, respectively. Other income (loss) for the three months ended December 31, 2021 consisted primarily of a $1,721,700 gain related to derivatives not designated for hedge accounting. Other income (loss) for the nine months ended December 31, 2021 consisted primarily of a $6,498,040 loss related to derivatives not designated for hedge accounting partially offset by a $1,706,614 gain from the PPP Loan forgiveness. Corporate assets consist primarily of cash, restricted cash and the cash value of officers’ life insurance. Although inventory is transferred at cost between product groups, there are no sales between product groups.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NOTE K — REVENUE</w:t>
      </w:r>
    </w:p>
    <w:p>
      <w:pPr>
        <w:spacing w:after="0" w:line="22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Revenue is generated primarily from contracts to manufacture or process steel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1"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Company has two reportable segments: Coil and Tubular. Coil primarily generates revenue from cutting to length hot-rolled steel coils. Coil segment revenue consists of three main product types: Prime Coil, Non-Standard Coil and Customer Owned Coil. Tubular primarily generates revenue from manufacturing and distributing steel pipe. Tubular segment revenue has consisted of two main product types: Manufactured Pipe and Mill Reject Pipe. In March 2020, U.S. Steel announced the idling of their Lone Star Tubular Operations which was the Company's sole supplier of mill reject pipe. U.S. Steel's facility was idled as announced and the Company's receipts of mill reject pipe ceased in August 2020. At June 30, 2022, the Company was sold out of mill reject pipe so manufactured pipe was the sole revenue stream for the tubular segment for the three months ended December 31, 2022. The Company has expanded its focus on manufactured pipe sales to counteract the impact of mill reject pipe revenue concluding. The following table disaggregates our revenue by product for each of our reportable business segments for the three and nine months ended December 31, 2022 and 2021, respectively:</w:t>
      </w:r>
    </w:p>
    <w:p>
      <w:pPr>
        <w:spacing w:after="0" w:line="19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r>
      <w:tr>
        <w:trPr>
          <w:trHeight w:val="209"/>
        </w:trPr>
        <w:tc>
          <w:tcPr>
            <w:tcW w:w="2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Coil Segment:</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Prime Coil</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99,100,019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39,588,438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368,583,106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164,096,180</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Non-standard Coil</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796,112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1,852,272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3,219,043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7,704,262</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Customer Owned Coil</w:t>
            </w: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334,870</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1,028,037</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1,013,801</w:t>
            </w:r>
          </w:p>
        </w:tc>
        <w:tc>
          <w:tcPr>
            <w:tcW w:w="80" w:type="dxa"/>
            <w:vAlign w:val="bottom"/>
          </w:tcPr>
          <w:p>
            <w:pPr>
              <w:spacing w:after="0"/>
              <w:rPr>
                <w:sz w:val="18"/>
                <w:szCs w:val="18"/>
                <w:color w:val="auto"/>
              </w:rPr>
            </w:pPr>
          </w:p>
        </w:tc>
      </w:tr>
      <w:tr>
        <w:trPr>
          <w:trHeight w:val="250"/>
        </w:trPr>
        <w:tc>
          <w:tcPr>
            <w:tcW w:w="2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100,231,001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41,795,586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372,830,186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172,814,243</w:t>
            </w:r>
          </w:p>
        </w:tc>
      </w:tr>
      <w:tr>
        <w:trPr>
          <w:trHeight w:val="197"/>
        </w:trPr>
        <w:tc>
          <w:tcPr>
            <w:tcW w:w="24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Tubular Segment:</w:t>
            </w:r>
          </w:p>
        </w:tc>
        <w:tc>
          <w:tcPr>
            <w:tcW w:w="8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Manufactured Pipe</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11,629,092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6,906,450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50,071,386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27,889,886</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Mill Reject Pipe</w:t>
            </w: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2,953,907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454,020</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9,439,148</w:t>
            </w:r>
          </w:p>
        </w:tc>
        <w:tc>
          <w:tcPr>
            <w:tcW w:w="80" w:type="dxa"/>
            <w:vAlign w:val="bottom"/>
          </w:tcPr>
          <w:p>
            <w:pPr>
              <w:spacing w:after="0"/>
              <w:rPr>
                <w:sz w:val="18"/>
                <w:szCs w:val="18"/>
                <w:color w:val="auto"/>
              </w:rPr>
            </w:pPr>
          </w:p>
        </w:tc>
      </w:tr>
      <w:tr>
        <w:trPr>
          <w:trHeight w:val="230"/>
        </w:trPr>
        <w:tc>
          <w:tcPr>
            <w:tcW w:w="2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11,629,092</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9,860,357</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50,525,406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37,329,034</w:t>
            </w:r>
          </w:p>
        </w:tc>
      </w:tr>
      <w:tr>
        <w:trPr>
          <w:trHeight w:val="20"/>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L —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tables reflect the changes in stockholders’ equity for each of the nine months ended December 31, 2022 and December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Net of Tax</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8,344,975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(10,268,509)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30,442,361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(7,741,197)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58,909,018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79,686,648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11,184,374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11,184,374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7,174,117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7,174,117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73,153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73,153</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 Plateplus business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combination</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516,041</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4,267,659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4,783,700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(29,268)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(29,268)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(157,694)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(157,694)</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ind w:left="820"/>
              <w:spacing w:after="0"/>
              <w:rPr>
                <w:sz w:val="20"/>
                <w:szCs w:val="20"/>
                <w:color w:val="auto"/>
              </w:rPr>
            </w:pPr>
            <w:r>
              <w:rPr>
                <w:rFonts w:ascii="Arial" w:cs="Arial" w:eastAsia="Arial" w:hAnsi="Arial"/>
                <w:sz w:val="18"/>
                <w:szCs w:val="18"/>
                <w:color w:val="auto"/>
              </w:rPr>
              <w:t>BALANCE AT JUNE 30, 2022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8,861,016</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(3,094,392)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34,783,173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(7,770,465)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69,935,698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102,715,030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80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2,470,908</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2,470,908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1,578,033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1,578,033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73,153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73,153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(147,372)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(147,372)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SEPTEMBER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8,861,016</w:t>
            </w:r>
          </w:p>
        </w:tc>
        <w:tc>
          <w:tcPr>
            <w:tcW w:w="2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(1,516,359)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34,856,326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(7,770,465)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72,259,234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3"/>
              </w:rPr>
              <w:t>106,689,752</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820"/>
              <w:spacing w:after="0" w:line="190" w:lineRule="exact"/>
              <w:rPr>
                <w:sz w:val="20"/>
                <w:szCs w:val="20"/>
                <w:color w:val="auto"/>
              </w:rPr>
            </w:pPr>
            <w:r>
              <w:rPr>
                <w:rFonts w:ascii="Arial" w:cs="Arial" w:eastAsia="Arial" w:hAnsi="Arial"/>
                <w:sz w:val="18"/>
                <w:szCs w:val="18"/>
                <w:color w:val="auto"/>
              </w:rPr>
              <w:t>30, 2022</w:t>
            </w: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Pr>
          <w:p>
            <w:pPr>
              <w:spacing w:after="0" w:line="196" w:lineRule="exact"/>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7"/>
                <w:szCs w:val="17"/>
                <w:color w:val="auto"/>
              </w:rPr>
            </w:pPr>
          </w:p>
        </w:tc>
        <w:tc>
          <w:tcPr>
            <w:tcW w:w="1240" w:type="dxa"/>
            <w:vAlign w:val="bottom"/>
            <w:gridSpan w:val="2"/>
          </w:tcPr>
          <w:p>
            <w:pPr>
              <w:ind w:left="80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1,375,893</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1,375,893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669,454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669,454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(7,700)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78,175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78,175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(7,304)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(147,512)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(147,512)</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tcPr>
          <w:p>
            <w:pPr>
              <w:ind w:left="820"/>
              <w:spacing w:after="0" w:line="195" w:lineRule="exact"/>
              <w:rPr>
                <w:sz w:val="20"/>
                <w:szCs w:val="20"/>
                <w:color w:val="auto"/>
              </w:rPr>
            </w:pPr>
            <w:r>
              <w:rPr>
                <w:rFonts w:ascii="Arial" w:cs="Arial" w:eastAsia="Arial" w:hAnsi="Arial"/>
                <w:sz w:val="18"/>
                <w:szCs w:val="18"/>
                <w:color w:val="auto"/>
              </w:rPr>
              <w:t>BALANCE AT DECEMBER</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8,868,716</w:t>
            </w:r>
          </w:p>
        </w:tc>
        <w:tc>
          <w:tcPr>
            <w:tcW w:w="26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(846,905)</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34,926,801</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(7,777,769)</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73,487,615</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3"/>
              </w:rPr>
              <w:t>108,658,458</w:t>
            </w:r>
          </w:p>
        </w:tc>
        <w:tc>
          <w:tcPr>
            <w:tcW w:w="0" w:type="dxa"/>
            <w:vAlign w:val="bottom"/>
          </w:tcPr>
          <w:p>
            <w:pPr>
              <w:spacing w:after="0"/>
              <w:rPr>
                <w:sz w:val="1"/>
                <w:szCs w:val="1"/>
                <w:color w:val="auto"/>
              </w:rPr>
            </w:pPr>
          </w:p>
        </w:tc>
      </w:tr>
      <w:tr>
        <w:trPr>
          <w:trHeight w:val="190"/>
        </w:trPr>
        <w:tc>
          <w:tcPr>
            <w:tcW w:w="3280" w:type="dxa"/>
            <w:vAlign w:val="bottom"/>
          </w:tcPr>
          <w:p>
            <w:pPr>
              <w:ind w:left="820"/>
              <w:spacing w:after="0" w:line="190" w:lineRule="exact"/>
              <w:rPr>
                <w:sz w:val="20"/>
                <w:szCs w:val="20"/>
                <w:color w:val="auto"/>
              </w:rPr>
            </w:pPr>
            <w:r>
              <w:rPr>
                <w:rFonts w:ascii="Arial" w:cs="Arial" w:eastAsia="Arial" w:hAnsi="Arial"/>
                <w:sz w:val="18"/>
                <w:szCs w:val="18"/>
                <w:color w:val="auto"/>
              </w:rPr>
              <w:t>31, 2022</w:t>
            </w:r>
          </w:p>
        </w:tc>
        <w:tc>
          <w:tcPr>
            <w:tcW w:w="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Common</w:t>
            </w: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Net of Tax</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240" w:type="dxa"/>
            <w:vAlign w:val="bottom"/>
            <w:gridSpan w:val="2"/>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MARCH 31,</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2021</w:t>
            </w:r>
          </w:p>
        </w:tc>
        <w:tc>
          <w:tcPr>
            <w:tcW w:w="19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8,334,785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(11,187,841)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30,003,462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(7,203,342)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45,392,912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65,339,976</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11,311,797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11,311,797</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(13,693,337)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(13,693,337)</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Paid in capital – restricted stock awards</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121,704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121,704</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(137,865)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gridSpan w:val="2"/>
          </w:tcPr>
          <w:p>
            <w:pPr>
              <w:ind w:left="820"/>
              <w:spacing w:after="0"/>
              <w:rPr>
                <w:sz w:val="20"/>
                <w:szCs w:val="20"/>
                <w:color w:val="auto"/>
              </w:rPr>
            </w:pPr>
            <w:r>
              <w:rPr>
                <w:rFonts w:ascii="Arial" w:cs="Arial" w:eastAsia="Arial" w:hAnsi="Arial"/>
                <w:sz w:val="18"/>
                <w:szCs w:val="18"/>
                <w:color w:val="auto"/>
              </w:rPr>
              <w:t>BALANCE AT JUNE 30,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8,334,785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(24,881,178)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30,125,166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(7,203,342)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56,566,844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62,942,275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earnings</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13,177,614</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13,177,614</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4,227,185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4,227,185</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Paid in capital – restricted stock awards</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126,037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126,037</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(138,110)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(138,110)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40" w:type="dxa"/>
            <w:vAlign w:val="bottom"/>
            <w:gridSpan w:val="2"/>
          </w:tcPr>
          <w:p>
            <w:pPr>
              <w:ind w:left="820"/>
              <w:spacing w:after="0" w:line="195" w:lineRule="exact"/>
              <w:rPr>
                <w:sz w:val="20"/>
                <w:szCs w:val="20"/>
                <w:color w:val="auto"/>
              </w:rPr>
            </w:pPr>
            <w:r>
              <w:rPr>
                <w:rFonts w:ascii="Arial" w:cs="Arial" w:eastAsia="Arial" w:hAnsi="Arial"/>
                <w:sz w:val="18"/>
                <w:szCs w:val="18"/>
                <w:color w:val="auto"/>
              </w:rPr>
              <w:t>BALANCE AT SEPTEMBER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8,340,785</w:t>
            </w:r>
          </w:p>
        </w:tc>
        <w:tc>
          <w:tcPr>
            <w:tcW w:w="16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(20,653,993)</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30,245,203</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(7,203,342)</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69,606,348</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80,335,001</w:t>
            </w:r>
          </w:p>
        </w:tc>
        <w:tc>
          <w:tcPr>
            <w:tcW w:w="0" w:type="dxa"/>
            <w:vAlign w:val="bottom"/>
          </w:tcPr>
          <w:p>
            <w:pPr>
              <w:spacing w:after="0"/>
              <w:rPr>
                <w:sz w:val="1"/>
                <w:szCs w:val="1"/>
                <w:color w:val="auto"/>
              </w:rPr>
            </w:pPr>
          </w:p>
        </w:tc>
      </w:tr>
      <w:tr>
        <w:trPr>
          <w:trHeight w:val="190"/>
        </w:trPr>
        <w:tc>
          <w:tcPr>
            <w:tcW w:w="3240" w:type="dxa"/>
            <w:vAlign w:val="bottom"/>
            <w:gridSpan w:val="2"/>
          </w:tcPr>
          <w:p>
            <w:pPr>
              <w:ind w:left="820"/>
              <w:spacing w:after="0" w:line="190" w:lineRule="exact"/>
              <w:rPr>
                <w:sz w:val="20"/>
                <w:szCs w:val="20"/>
                <w:color w:val="auto"/>
              </w:rPr>
            </w:pPr>
            <w:r>
              <w:rPr>
                <w:rFonts w:ascii="Arial" w:cs="Arial" w:eastAsia="Arial" w:hAnsi="Arial"/>
                <w:sz w:val="18"/>
                <w:szCs w:val="18"/>
                <w:color w:val="auto"/>
              </w:rPr>
              <w:t>30, 2021</w:t>
            </w:r>
          </w:p>
        </w:tc>
        <w:tc>
          <w:tcPr>
            <w:tcW w:w="1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(2,961,833)</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(2,961,833)</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13,795,418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13,795,418</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Paid in capital – restricted stock awards</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128,194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128,194</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(102,075)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(102,075)</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Cash dividends ($0.02 per share)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(138,024)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(138,024)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40" w:type="dxa"/>
            <w:vAlign w:val="bottom"/>
            <w:gridSpan w:val="2"/>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DECEMBER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8,344,975</w:t>
            </w:r>
          </w:p>
        </w:tc>
        <w:tc>
          <w:tcPr>
            <w:tcW w:w="16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(6,858,575)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30,369,207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(7,305,417)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66,506,491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91,056,681</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820"/>
              <w:spacing w:after="0" w:line="190" w:lineRule="exact"/>
              <w:rPr>
                <w:sz w:val="20"/>
                <w:szCs w:val="20"/>
                <w:color w:val="auto"/>
              </w:rPr>
            </w:pPr>
            <w:r>
              <w:rPr>
                <w:rFonts w:ascii="Arial" w:cs="Arial" w:eastAsia="Arial" w:hAnsi="Arial"/>
                <w:sz w:val="18"/>
                <w:szCs w:val="18"/>
                <w:color w:val="auto"/>
              </w:rPr>
              <w:t>31, 2021</w:t>
            </w: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M — OTHER COMPREHENSIVE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tax effects on each component of Other Comprehensive Income (Loss)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0"/>
              </w:rPr>
              <w:t>Three Months Ended December 31, 2022</w:t>
            </w:r>
          </w:p>
        </w:tc>
      </w:tr>
      <w:tr>
        <w:trPr>
          <w:trHeight w:val="209"/>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882,720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(213,266)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669,454</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882,720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(213,266)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669,454</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0"/>
              </w:rPr>
              <w:t>Three Months Ended December 31, 2021</w:t>
            </w: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18,190,160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(4,394,742)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13,795,418</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18,190,160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(4,394,742)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13,795,418</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0"/>
              </w:rPr>
              <w:t>Nine Months Ended December 31, 2022</w:t>
            </w:r>
          </w:p>
        </w:tc>
      </w:tr>
      <w:tr>
        <w:trPr>
          <w:trHeight w:val="209"/>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12,423,000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(3,001,396)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9,421,604</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12,423,000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(3,001,396)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9,421,604</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0"/>
              </w:rPr>
              <w:t>Nine Months Ended December 31, 2021</w:t>
            </w: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r>
      <w:tr>
        <w:trPr>
          <w:trHeight w:val="209"/>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5,708,420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(1,379,154)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4,329,266</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5,708,420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(1,379,154)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4,329,266</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N — EARNINGS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dilutive net earnings per share is computed based on the following information:</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 (basic and diluted)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1,375,893</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(2,961,833)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15,031,175</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21,527,578</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Less: Allocation to unvested restricted stock</w:t>
            </w:r>
          </w:p>
        </w:tc>
        <w:tc>
          <w:tcPr>
            <w:tcW w:w="2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18,656</w:t>
            </w:r>
          </w:p>
        </w:tc>
        <w:tc>
          <w:tcPr>
            <w:tcW w:w="4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5,992</w:t>
            </w:r>
          </w:p>
        </w:tc>
        <w:tc>
          <w:tcPr>
            <w:tcW w:w="26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240,482</w:t>
            </w:r>
          </w:p>
        </w:tc>
        <w:tc>
          <w:tcPr>
            <w:tcW w:w="4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966,761</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w:t>
            </w:r>
          </w:p>
        </w:tc>
        <w:tc>
          <w:tcPr>
            <w:tcW w:w="2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40" w:type="dxa"/>
            <w:vAlign w:val="bottom"/>
          </w:tcPr>
          <w:p>
            <w:pPr>
              <w:ind w:left="20"/>
              <w:spacing w:after="0" w:line="195" w:lineRule="exact"/>
              <w:rPr>
                <w:sz w:val="20"/>
                <w:szCs w:val="20"/>
                <w:color w:val="auto"/>
              </w:rPr>
            </w:pPr>
            <w:r>
              <w:rPr>
                <w:rFonts w:ascii="Arial" w:cs="Arial" w:eastAsia="Arial" w:hAnsi="Arial"/>
                <w:sz w:val="18"/>
                <w:szCs w:val="18"/>
                <w:color w:val="auto"/>
                <w:w w:val="97"/>
              </w:rPr>
              <w:t>Net earnings (loss) attributable to common</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1,357,237</w:t>
            </w:r>
          </w:p>
        </w:tc>
        <w:tc>
          <w:tcPr>
            <w:tcW w:w="420" w:type="dxa"/>
            <w:vAlign w:val="bottom"/>
            <w:vMerge w:val="restart"/>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5"/>
              </w:rPr>
              <w:t>(2,967,825)</w:t>
            </w:r>
          </w:p>
        </w:tc>
        <w:tc>
          <w:tcPr>
            <w:tcW w:w="260" w:type="dxa"/>
            <w:vAlign w:val="bottom"/>
            <w:vMerge w:val="restart"/>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14,790,693</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86"/>
              </w:rPr>
              <w:t>20,560,817</w:t>
            </w:r>
          </w:p>
        </w:tc>
        <w:tc>
          <w:tcPr>
            <w:tcW w:w="0" w:type="dxa"/>
            <w:vAlign w:val="bottom"/>
          </w:tcPr>
          <w:p>
            <w:pPr>
              <w:spacing w:after="0"/>
              <w:rPr>
                <w:sz w:val="1"/>
                <w:szCs w:val="1"/>
                <w:color w:val="auto"/>
              </w:rPr>
            </w:pPr>
          </w:p>
        </w:tc>
      </w:tr>
      <w:tr>
        <w:trPr>
          <w:trHeight w:val="190"/>
        </w:trPr>
        <w:tc>
          <w:tcPr>
            <w:tcW w:w="3340" w:type="dxa"/>
            <w:vAlign w:val="bottom"/>
          </w:tcPr>
          <w:p>
            <w:pPr>
              <w:ind w:left="20"/>
              <w:spacing w:after="0" w:line="190" w:lineRule="exact"/>
              <w:rPr>
                <w:sz w:val="20"/>
                <w:szCs w:val="20"/>
                <w:color w:val="auto"/>
              </w:rPr>
            </w:pPr>
            <w:r>
              <w:rPr>
                <w:rFonts w:ascii="Arial" w:cs="Arial" w:eastAsia="Arial" w:hAnsi="Arial"/>
                <w:sz w:val="18"/>
                <w:szCs w:val="18"/>
                <w:color w:val="auto"/>
              </w:rPr>
              <w:t>shareholders</w:t>
            </w:r>
          </w:p>
        </w:tc>
        <w:tc>
          <w:tcPr>
            <w:tcW w:w="28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Denominator (basic and diluted)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common shares</w:t>
            </w:r>
          </w:p>
        </w:tc>
        <w:tc>
          <w:tcPr>
            <w:tcW w:w="2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7,275,212</w:t>
            </w:r>
          </w:p>
        </w:tc>
        <w:tc>
          <w:tcPr>
            <w:tcW w:w="4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6,610,204</w:t>
            </w:r>
          </w:p>
        </w:tc>
        <w:tc>
          <w:tcPr>
            <w:tcW w:w="26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7,196,452</w:t>
            </w:r>
          </w:p>
        </w:tc>
        <w:tc>
          <w:tcPr>
            <w:tcW w:w="4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7"/>
              </w:rPr>
              <w:t>6,593,343</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outstanding</w:t>
            </w:r>
          </w:p>
        </w:tc>
        <w:tc>
          <w:tcPr>
            <w:tcW w:w="2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0" w:right="560" w:firstLine="324"/>
        <w:spacing w:after="0" w:line="277" w:lineRule="auto"/>
        <w:rPr>
          <w:sz w:val="20"/>
          <w:szCs w:val="20"/>
          <w:color w:val="auto"/>
        </w:rPr>
      </w:pPr>
      <w:r>
        <w:rPr>
          <w:rFonts w:ascii="Arial" w:cs="Arial" w:eastAsia="Arial" w:hAnsi="Arial"/>
          <w:sz w:val="18"/>
          <w:szCs w:val="18"/>
          <w:color w:val="auto"/>
        </w:rPr>
        <w:t>For the three and nine month periods ended December 31, 2022 and 2021, the Company allocated dividends and undistributed earnings to the unvested restricted stock units.</w:t>
      </w:r>
    </w:p>
    <w:p>
      <w:pPr>
        <w:spacing w:after="0" w:line="170" w:lineRule="exact"/>
        <w:rPr>
          <w:sz w:val="20"/>
          <w:szCs w:val="20"/>
          <w:color w:val="auto"/>
        </w:rPr>
      </w:pPr>
    </w:p>
    <w:p>
      <w:pPr>
        <w:ind w:left="160" w:right="300" w:firstLine="324"/>
        <w:spacing w:after="0" w:line="277" w:lineRule="auto"/>
        <w:rPr>
          <w:sz w:val="20"/>
          <w:szCs w:val="20"/>
          <w:color w:val="auto"/>
        </w:rPr>
      </w:pPr>
      <w:r>
        <w:rPr>
          <w:rFonts w:ascii="Arial" w:cs="Arial" w:eastAsia="Arial" w:hAnsi="Arial"/>
          <w:sz w:val="18"/>
          <w:szCs w:val="18"/>
          <w:color w:val="auto"/>
        </w:rPr>
        <w:t>As the restricted stock qualifies as participating securities, the following restricted stock units were not accounted in the computation of weighted average diluted common shares outstanding under the two-class method:</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9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Three Months Ended</w:t>
            </w:r>
          </w:p>
        </w:tc>
        <w:tc>
          <w:tcPr>
            <w:tcW w:w="27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334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0"/>
              </w:rPr>
              <w:t>December 31,</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r>
      <w:tr>
        <w:trPr>
          <w:trHeight w:val="210"/>
        </w:trPr>
        <w:tc>
          <w:tcPr>
            <w:tcW w:w="33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56,621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239,485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48,510</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232,601</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O — SUPPLEMENTAL CASH FLOW INFORMATION</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Company paid interest of approximately $1,316,000 during the nine months ended December 31, 2022 and $154,000 during the nine months ended December 31, 2021. The Company paid income taxes of approximately $428,000 during the nine months ended December 31, 2022 and paid income taxes of approximately $7,487,000, net of a tax refund of approximately $423,000, during the nine months ended December 31, 2021. At December 31, 2022, the “Machinery and equipment” balance on the Consolidated Balance Sheet includes non-cash investing activities of approximately $7,448,000 in accrued capital expenditures for the balance due related to the new Sinton, Texas facility. During the nine months ended December 31, 2022, the Company issued 516,041 shares of common stock as part of the Plateplus business combination resulting in non-cash investing activity of $4,783,700. During the three months ended December 31, 2022, there was a non-cash transaction of approximately $31,000 for the transfer of ownership of a life insurance policy maintained by the Company with respect to an officer from the Company to such officer upon his retirement.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P — INCOME TAXES</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For the nine months ended December 31, 2022, the Company recorded an income tax provision of $4,639,272, or 23.6% of earnings before income taxes, compared to an income tax provision of $6,303,899, or 22.7% of earnings before income taxes for the nine months ended December 31, 2021. For the nine months ended December 31, 2022, the effective tax rate differed from the federal statutory rate due primarily to the inclusion of state tax expenses in the provision. For the nine months ended December 31, 2021, the Company’s effective tax rate differed from the federal statutory rate due to a combination of the inclusion of state tax expenses in the provision and the exclusion of the non-taxable gain associated with forgiveness of the Company’s PPP Loan from the provision.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Friedman Industries, Incorporated is a manufacturer and processor of steel products and operates in two reportable segments; coil products and tubular products.</w:t>
      </w:r>
    </w:p>
    <w:p>
      <w:pPr>
        <w:spacing w:after="0" w:line="170"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The coil product segment includes the operation of five hot-rolled coil processing facilities located in Hickman, AR; Decatur, AL; Granite City, IL; East Chicago, IN and Sinton, TX. The facilities in Granite City and East Chicago were acquired on April 30, 2022 from Plateplus, Inc ("Plateplus"). More information about the Plateplus transaction can be found in Note B to the Company's Financial Statements. The facility in Sinton is a newly constructed facility that commenced operations during October 2022. The Hickman, Granite City and East Chicago facilities operate temper mills and cut-to-length lines. The Decatur and Sinton facilities operate stretcher leveler cut-to-length lines. The equipment at all locations improves the flatness and surface quality of the coils and cuts the coils into sheet and plate of prescribed lengths. On a combined basis, the facilities are capable of cutting sheet and plate with thicknesses ranging from 16 gauge to 1” thick in widths ranging from 36” wide to 96” wide. The coil product segment sells its prime grade inventory under the Friedman Industries name but also maintains an inventory of non-standard coil products, consisting primarily of mill secondary and excess prime coils, which are sold through the Company’s XSCP division. The coil product segment also processes customer-owned coils on a fee basis.</w:t>
      </w:r>
    </w:p>
    <w:p>
      <w:pPr>
        <w:spacing w:after="0" w:line="16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As discussed above, the Company commenced operations at its new facility in Sinton, Texas in October 2022 which is part of the coil product segment. The new facility is on the campus of Steel Dynamics, Inc.'s ("SDI") new flat roll steel mill in Sinton, Texas. The Company's new location consists of an approximately 70,000 square foot building located on approximately 26.5 acres leased from SDI under a 99-year agreement. The facility is equipped with one of the world’s largest stretcher leveler cut-to-length lines, capable of handling material up to 1” thick, widths up to 96” and yields exceeding 100,000 psi. The total cost of the project is estimated to be approximately $22.3 million. At December 31, 2022, the Company had paid approximately $14,826,000 related to the project and accrued approximately $7,448,000 to be paid during the three months ended March 31, 2023. The Company expects to fund the remainder of the Sinton capital expenditure through a combination of cash generated from operations and funds drawn under the ABL Facility. The Company expects the remainder of fiscal 2023 to be a ramp up period for the facility and then expects the facility’s annual shipments could be in the range of 110,000 tons to 140,000 tons for fiscal 2024.</w:t>
      </w:r>
    </w:p>
    <w:p>
      <w:pPr>
        <w:spacing w:after="0" w:line="18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 pipe finishing facility capable of applying threads and couplings to oil country tubular goods and performing other services that are customary in the pipe finishing process. The pipe finishing facility is currently idled. TTP’s inventory consists of raw materials and finished goods. Raw material inventory consists of hot-rolled steel coils that TTP will manufacture into pipe. Finished goods inventory consists of pipe TTP has manufactured.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Nine Months Ended December 31, 2022 Compared to Nine Months Ended December 31, 2021</w:t>
      </w:r>
    </w:p>
    <w:p>
      <w:pPr>
        <w:spacing w:after="0" w:line="225"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During the nine months ended December 31, 2022 (the “2022 period”), sales and costs of goods sold increased $213,212,315 and $227,153,057, respectively, and gross profit decreased $13,940,742 compared to the amounts recorded during the nine months ended December 31, 2021 (the “2021 period”). The increase in sales was primarily related to an increase in tons sold. Tons sold increased from approximately 147,500 tons in the 2021 period to approximately 335,000 tons in the 2022 period. The significant growth in sales volume was primarily related to the acquisition of facilities and inventory from Plateplus, Inc. which is discussed in more detail in Note B to the Company's Financial Statements. Discussion of the change in sales is expanded upon at the segment level in the following paragraphs. Gross profit decreased from $43,420,896 for the 2021 period to $29,480,154 for the 2022 period. Gross profit as a percentage of sales decreased from approximately 20.7% for the 2021 period to approximately 7.0% for the 2022 period. Gross profit for the 2022 period included $2,977,160 in recognized losses related to hedging activities while gross profit for the 2021 period included $12,317,960 in recognized net losses related to hedging activities. Excluding the recognized hedging losses, gross profit related to physical material as a percentage of sales was approximately 7.6% for the 2022 period compared to approximately 23.9% for the 2021 period.</w:t>
      </w:r>
    </w:p>
    <w:p>
      <w:pPr>
        <w:spacing w:after="0" w:line="168"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Our operating results are significantly impacted by the market price of hot-rolled steel coil ("HRC"). The Company experienced significant volatility in steel price during both the 2022 period and the 2021 period. HRC prices were on a historic rise entering the 2021 period that continued until reaching an all-time high of approximately $1,950 per ton at the end of August 2021. These circumstances created a high margin environment during the 2021 period in a period of historically high steel prices. From September 2021 to February 2022, HRC prices declined approximately 52% until the Russian invasion of Ukraine triggered a sharp and abrupt increase. HRC prices increased approximately 60% from the beginning of March 2022 to the end of April 2022 and then declined approximately 60% until the middle of December 2022. In late November 2022 and December 2022, domestic steel producers announced price increases which caused HRC prices to increase at the end of the 2022 period. These circumstances created strong margins to start the 2022 period and then margin compression for the remainder of the 2022 period due to the prevailing downward trend in HRC price.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Coil Segment</w:t>
      </w:r>
    </w:p>
    <w:p>
      <w:pPr>
        <w:spacing w:after="0" w:line="225"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Coil product segment sales for the 2022 period totaled $372,830,186 compared to $172,814,243 for the 2021 period. For a more complete understanding of the average selling prices of goods sold, it is helpful to exclude any hedging related gains or losses that are captured in sales and any sales generated from processing of customer owned material. Coil segment sales for the 2022 period were reduced by $2,977,160 for the recognition of hedging related losses. Coil segment sales for the 2021 period were reduced by $20,920,640 for the recognition of hedging related losses. Sales generated from processing of customer owned material totaled $1,028,037 for the 2022 period compared to $1,013,801 for the 2021 period. Sales generated from coil segment inventory, excluding the impact of any hedging related gains or losses, totaled $374,779,309 for the 2022 period compared to $192,721,082 for the 2021 period. The average per ton selling price related to these shipments decreased from approximately $1,737 per ton in the 2021 period to approximately $1,222 per ton in the 2022 period. Inventory tons sold increased from approximately 111,000 tons in the 2021 period to approximately 306,500 tons in the 2022 period. The significant increase in sales volume was primarily attributable to the facilities and inventory acquired from Plateplus which account for approximately 170,000 tons of the 306,500 tons sold in the 2022 period. Coil segment operations recorded operating profits of approximately $15,684,000 and $33,497,000 for the 2022 period and 2021 period, respectively. The operating profit for the 2022 period includes recognized net losses on hedging activities of $2,977,160 while the 2021 period operating profit included recognized net losses on hedging activities of $10,511,300.</w:t>
      </w:r>
    </w:p>
    <w:p>
      <w:pPr>
        <w:spacing w:after="0" w:line="16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Company’s coil segment purchases its inventory from a limited number of suppliers. Loss of any of these suppliers could have a material adverse effect on the Company’s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Tubular Segment</w:t>
      </w:r>
    </w:p>
    <w:p>
      <w:pPr>
        <w:spacing w:after="0" w:line="225"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color w:val="auto"/>
        </w:rPr>
        <w:t>Tubular product segment sales for the 2022 period totaled $50,525,406 compared to $37,329,034 for the 2021 period. Sales increased due to an increase in the average selling price per ton, partially offset by a decline in the volume sold. For a more complete understanding of the average selling prices of goods sold, it is helpful to exclude any hedging related gains or losses that are captured in sales. Tubular segment sales for the 2022 period were not impacted by any hedging related gains or losses. Tubular segment sales for the 2021 period were reduced by $2,030,220 for the recognition of hedging related losses. Sales generated from tubular segment inventory, excluding the impact of any hedging related gains or losses, totaled $50,525,406 for the 2022 period compared to $39,359,254 for the 2021 period. The average per ton selling price related to these shipments increased from approximately $1,074 per ton in the 2021 period to approximately $1,785 per ton in the 2022 period. Tons sold decreased from approximately 36,500 tons in the 2021 period to approximately 28,500 tons in the 2022 period. The decline in sales volume was primarily related to a decline in mill reject pipe sales partially offset by an increase in manufactured pipe sales. U.S. Steel's Lone Star Tubular Operations was the Company's sole source of supply for mill reject pipe. With U.S. Steel's idling of their Lone Star Operations, the Company's receipts of mill reject pipe ceased in August 2020 and the inventory balance started to decline steadily each quarter. The Company sold out of mill reject pipe during the quarter ended June 30, 2022. Mill reject pipe sales volume was approximately 1,000 tons for the 2022 period compared to approximately 19,500 tons for the 2021 period. Manufactured pipe sales volume was approximately 27,500 tons for the 2022 period compared to approximately 17,000 tons for the 2021 period. The average selling price increase was also primarily related to this shift in sales mix between manufactured pipe and mill reject pipe. The selling price associated with manufactured pipe is typically much higher than the selling prices associated with mill reject pipe. The Company will continue to focus on the expansion of its manufactured pipe operations to counteract the impact of mill reject pipe sales ending. The tubular segment recorded operating profits of approximately $6,136,000 and $3,951,000 for the 2022 period and 2021 period, respectively. The operating profit for the 2021 period included recognized net losses on hedging activities of $1,806,660 while the Company did not have any hedging related gains or losses affecting operating results for the 2022 period.</w:t>
      </w:r>
    </w:p>
    <w:p>
      <w:pPr>
        <w:spacing w:after="0" w:line="17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tubular segment purchases its inventory from a limited number of suppliers. Loss of any of these suppliers could have a material adverse effect on the Company’s business.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Selling and Administrative Costs</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During the 2022 period, general, selling and administrative costs increased $5,027,069 compared to the 2021 period. This increase is primarily associated with costs associated with the Plateplus transaction and increased personnel but partially offset by less incentive based compensation expense for the 2022 period. Cost for the 2022 period includes approximately $1.2 million of one-time expenses related to the Plateplus transaction. Cost for the 2022 period includes approximately $2.9 million of general, selling and administrative costs associated with the East Chicago and Granite City locations acquired from Plateplus and approximately $1.4 million in personnel costs for additional sales, accounting, IT and corporate employees hired during the 2022 period.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For the 2022 period, the Company reported other income of $7,349,916. This income consists primarily of a $7,325,860 gain on derivative instruments not designated for hedge accounting. For the 2021 period, the Company reported other loss of $4,801,121. This loss consists primarily of a loss of $6,498,040 on derivative instruments not designated for hedge accounting partially offset by a $1,706,614 gain associated with the forgiveness of the Company's Paycheck Protection Program loan.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Income taxes decreased from a provision for the 2021 period of $6,303,899 to a provision for the 2022 period of $4,639,272. This decrease was primarily related to the lower earnings before income tax for the 2022 period but partially offset by the non-taxable treatment of the Paycheck Protection Program loan forgiveness which was recognized as part of earnings before income taxes for the 2021 period.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Three Months Ended December 31, 2022 Compared to Three Months Ended December 31, 2021</w:t>
      </w:r>
    </w:p>
    <w:p>
      <w:pPr>
        <w:spacing w:after="0" w:line="225"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During the three months ended December 31, 2022 (the “2022 quarter”), sales, costs of goods sold and gross profit increased $60,204,150, $50,470,295 and $9,733,855, respectively, compared to the amounts recorded during the three months ended December 31, 2021 (the “2021 quarter”). The increase in sales was primarily related to an increase in tons sold. Tons sold increased from approximately 39,000 tons in the 2021 quarter to approximately 113,000 tons in the 2022 quarter. The significant growth in sales volume was related to the acquisition of facilities and inventory from Plateplus, Inc. which is discussed in more detail in Note B to the Company's Financial Statements. Discussion of the change in sales is expanded upon at the segment level in the following paragraphs. Gross margin improved from a loss of $3,604,021 for the 2021 quarter to a profit of $6,129,834 for the 2022 quarter. Gross margin as a percentage of sales improved from a negative margin of approximately 7.0% for the 2021 quarter to a positive margin of approximately 5.5% for the 2022 quarter. Gross margin for the 2022 quarter included $860,620 in recognized losses related to hedging activities while gross margin for the 2021 quarter included $14,716,860 in recognized net losses related to hedging activities. Excluding the recognized hedging gains and losses, gross profit related to physical material as a percentage of sales was approximately 6.2% for the 2022 quarter compared to approximately 16.7% for the 2021 quarter.</w:t>
      </w:r>
    </w:p>
    <w:p>
      <w:pPr>
        <w:spacing w:after="0" w:line="168"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Our operating results are significantly impacted by the market price of hot-rolled steel coil ("HRC"). Entering the 2022 quarter, HRC prices had seen an overall declining trend since April 2022. The downward trend continued until December 2022 when HRC prices stabilized and started increasing in response to price increase announcements from various domestic steel producers. The Company experienced lower physical margins during the 2022 quarter due to the declining HRC price environment. Physical margins for the 2021 quarter were declining after HRC prices reached an all-time high in August 2021 but were still at a historically higher level because margins declined from all-time high levels.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Coil Segment</w:t>
      </w:r>
    </w:p>
    <w:p>
      <w:pPr>
        <w:spacing w:after="0" w:line="225"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Coil product segment sales for the 2022 quarter totaled $100,231,001 compared to $41,795,586 for the 2021 quarter. For a more complete understanding of the average selling prices of goods sold, it is helpful to exclude any hedging related gains or losses that are captured in sales and any sales generated from processing of customer owned material. Coil segment sales for the 2022 quarter were reduced by $860,620 for the recognition of hedging related losses. Coil segment sales for the 2021 quarter were reduced by $13,169,420 for the recognition of hedging related losses. Sales generated from processing of customer owned material totaled $334,870 for the 2022 quarter compared to $354,876 for the 2021 quarter. Sales generated from coil segment inventory, excluding the impact of any hedging related gains or losses, totaled $100,756,751 for the 2022 quarter compared to $54,610,130 for the 2021 quarter. The average per ton selling price related to these shipments decreased from approximately $1,899 per ton in the 2021 quarter to approximately $949 per ton in the 2022 quarter. Inventory tons sold increased from approximately 29,000 tons in the 2021 quarter to approximately 106,000 tons in the 2022 quarter. The significant increase in sales volume was primarily attributable to the facilities acquired from Plateplus which account for approximately 51,500 tons of the 106,000 tons sold in the 2022 quarter. Coil segment operations recorded an operating profit of approximately $3,259,000 for the 2022 quarter compared to an operating loss of approximately $4,032,000 for the 2021 quarter. The operating profit for the 2022 quarter includes recognized net losses on hedging activities of $860,620 while the 2021 quarter operating loss included recognized net losses on hedging activities of $13,120,220.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Company’s coil segment purchases its inventory from a limited number of suppliers. Loss of any of these suppliers could have a material adverse effect on the Company’s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Tubular Segment</w:t>
      </w:r>
    </w:p>
    <w:p>
      <w:pPr>
        <w:spacing w:after="0" w:line="225"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color w:val="auto"/>
        </w:rPr>
        <w:t>Tubular product segment sales for the 2022 quarter totaled $11,629,092 compared to $9,860,357 for the 2021 quarter. Sales increased due to an increase in the average selling price per ton, offset by a decrease in tons sold. For a more complete understanding of the average selling prices of goods sold, it is helpful to exclude any hedging related gains or losses that are captured in sales. Tubular segment sales for the 2022 quarter were not impacted by any hedging related gains or losses. Tubular segment sales for the 2021 quarter were reduced by $1,596,640 for the recognition of hedging related losses. Sales generated from tubular segment inventory, excluding the impact of any hedging related gains or losses, totaled $11,629,092 for the 2022 quarter compared to $11,456,997 for the 2021 quarter. The average per ton selling price related to these shipments increased from approximately $1,111 per ton in the 2021 quarter to approximately $1,648 per ton in the 2022 quarter. Tons sold decreased from approximately 10,500 tons in the 2021 quarter to approximately 7,000 tons in the 2022 quarter. The decline in sales volume was primarily related to a decline in mill reject pipe sales partially offset by an increase in manufactured pipe sales. U.S. Steel's Lone Star Tubular Operations was the Company's sole source of supply for mill reject pipe. With U.S. Steel's idling of their Lone Star Operations, the Company's receipts of mill reject pipe ceased in August 2020 and the inventory balance started to decline steadily each quarter. The Company sold out of mill reject pipe during the quarter ended June 30, 2022. Mill reject pipe sales were approximately 6,000 tons for the 2021 quarter. All of the 2022 quarter's sales volume of approximately 7,000 tons was from manufactured pipe sales compared to approximately 4,500 tons for the 2021 period. The average selling price increase was also primarily related to this shift in sales mix between manufactured pipe and mill reject pipe. The selling price associated with manufactured pipe is typically much higher than the selling prices associated with mill reject pipe. The Company will continue to focus on the expansion of its manufactured pipe operations to counteract the impact of mill reject pipe sales ending. The tubular segment recorded operating profit of approximately $692,000 for the 2022 quarter compared to an operating loss of approximately $647,000 for the 2021 quarter. The operating loss for the 2021 quarter included recognized net losses on hedging activities of $1,596,640 while the Company did not have any hedging related gains or losses affecting operating results for the 2022 quarter.</w:t>
      </w:r>
    </w:p>
    <w:p>
      <w:pPr>
        <w:spacing w:after="0" w:line="17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tubular segment purchases its inventory from a limited number of suppliers. Loss of any of these suppliers could have a material adverse effect on the Company’s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Selling and Administrative Costs</w:t>
      </w:r>
    </w:p>
    <w:p>
      <w:pPr>
        <w:spacing w:after="0" w:line="225"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During the 2022 quarter, general, selling and administrative costs increased $2,706,608 compared to the 2021 quarter. This increase is due primarily to increased payroll expenses associated with the additional sales, purchasing and administrative personnel that converted to Friedman employment after the Plateplus transaction, increased professional fees, increased insurance expenses, increased IT expenses and increased incentive related compensation. Approximately $600,000 of the increase is associated with the East Chicago and Granite City locations acquired from Plateplus and approximately $900,000 of the increase is associated with other additional sales, accounting, IT and corporate personnel employed during the 2022 quarter. In addition to these amounts, accrued incentive based compensation was approximately $400,000 higher for the 2022 quarter compared to the 2021 quarter.</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For the 2022 quarter, the Company reported other income of $826,039. This income consists primarily of a $822,200 gain on derivative instruments not designated for hedge accounting. For the 2021 quarter, the Company reported other income of $1,727,134. This income consists primarily of a $1,721,700 gain on derivative instruments not designated for hedge accounting.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Income taxes increased from a benefit for the 2021 quarter of $967,681 to a provision for the 2022 quarter of $431,579. The increase in the provision for income taxes is primarily associated with the higher earnings before income taxes for the 2022 quarter.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Company’s current ratio was 3.1 at December 31, 2022 and 2.1 at March 31, 2022. Working capital was $99,834,426 at December 31, 2022 and $64,551,208 at March 31, 2022.</w:t>
      </w:r>
    </w:p>
    <w:p>
      <w:pPr>
        <w:spacing w:after="0" w:line="170"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During the nine months ended December 31, 2022, the Company maintained assets and liabilities at levels it believed were commensurate with operations. Changes in balance sheet amounts occurred in the ordinary course of business and due to the transaction with Plateplus described in Note B. Accounts receivable and inventories increased significantly due primarily to the Plateplus transaction. Cash and restricted cash decreased primarily due to the Plateplus acquisition investing activities partially offset by cash generated from the Company's operating activities and by cash provided from the Company's credit facility. The Company expects to continue to monitor, evaluate and manage balance sheet components depending on changes in market conditions and the Company’s operations.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June 2021, the Small Business Administration authorized full forgiveness of the Company's Paycheck Protection Program loan.</w:t>
      </w:r>
    </w:p>
    <w:p>
      <w:pPr>
        <w:spacing w:after="0" w:line="225" w:lineRule="exact"/>
        <w:rPr>
          <w:sz w:val="20"/>
          <w:szCs w:val="20"/>
          <w:color w:val="auto"/>
        </w:rPr>
      </w:pPr>
    </w:p>
    <w:p>
      <w:pPr>
        <w:jc w:val="both"/>
        <w:ind w:firstLine="441"/>
        <w:spacing w:after="0" w:line="284" w:lineRule="auto"/>
        <w:rPr>
          <w:sz w:val="20"/>
          <w:szCs w:val="20"/>
          <w:color w:val="auto"/>
        </w:rPr>
      </w:pPr>
      <w:r>
        <w:rPr>
          <w:rFonts w:ascii="Arial" w:cs="Arial" w:eastAsia="Arial" w:hAnsi="Arial"/>
          <w:sz w:val="16"/>
          <w:szCs w:val="16"/>
          <w:color w:val="auto"/>
        </w:rPr>
        <w:t>On April 29, 2022, the Company entered into a Second Amendment to its asset-based lending facility ("ABL Facility") provided by JPMorgan Chase Bank, N.A. The Second Amendment increased the revolving loans available under the ABL facility from an aggregate principal amount of up to $75 million to an aggregate principal amount of up to $150 million.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On July 6, 2022, the Company entered into a Third Amendment to the ABL Facility. The Third Amendment to the ABL Facility provides for the syndication of the asset based revolving loans available thereunder with BMO Harris Bank, N.A. ("BMO") with JPMorgan Chase Bank serving as the arranging agent (the "Agent"). The Third Amendment also amends provisions of the ABL Facility authorizing the Agent to make protective advances under the ABL Facility and adds a covenant requiring each of the Company and its subsidiaries to maintain the Agent as its principal depository bank. In connection with the Third Amendment, the Company also entered into a Revolving Note payable to BMO in a principal amount of up to $50 million establishing BMO as a one-third syndicated participant in the Company's ABL facility. At December 31, 2022, the Company had a balance of $44,510,967 under the ABL Facility with an applicable interest rate of 6.5%. At December 31, 2022, the Company's applicable borrowing base calculation supported access to approximately $99 million of the ABL Facility. As of the filing date of this Form 10-Q, the Company had borrowings of approximately $44 million outstanding under the ABL Facility and the Company's most recent borrowing base calculation provided access to approximately $100 million of the ABL Facility.</w:t>
      </w:r>
    </w:p>
    <w:p>
      <w:pPr>
        <w:spacing w:after="0" w:line="393"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CONTRACTS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From time to time, the Company may use futures contracts to partially manage exposure to commodity price risk. The Company elects hedge accounting for some of its derivatives and classifies the transactions as either cash flow hedges or fair value hedges. From time to time, the Company may also transact futures contracts where hedge accounting is not elected. The Company recognized losses related to derivatives designated for hedge accounting of $860,620 and $2,977,160 for the three month and nine month periods ended December 31, 2022. For derivatives not designated for hedge accounting, the Company recognized gains of $822,200 and $7,325,860 for the three month and nine month periods ended December 31, 2022. See Note H for further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expects sales volume of approximately 115,000 tons to 125,000 tons for its fourth quarter of fiscal 2023. The fourth quarter volume expectation is higher than the third quarter due primarily to increasing sales volume at the new Sinton, Texas facility and the third quarter volume being impacted by holidays and fewer shipping days. The Company expects margin improvement during the fourth quarter. From November 2022 to February 2023, four rounds of hot-rolled coil price increases were announced by multiple domestic steel producers. The Company expects margin improvement during the fourth quarter due to the rising price environment.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amounts reported in the consolidated financial statements and accompanying notes. The more significant estimates and judgements include forecasted purchases of hot-rolled coil and forecasted sales of prime coil inventory and manufactured pipe inventory in relation to hedging activities and the fair value of the pipe-finishing facility, when impaired. From time to time, the Company hedges these forecasted purchases and sales and may designate those transactions for hedge accounting. If the original forecasts are subsequently reduced, it could result in the Company’s hedged positions exceeding revised forecasts, thus warranting immediate recognition in earnings of previously deferred hedge income or losses associated with excess hedges. A pattern of missed forecasts could call into question the Company’s ability to accurately predict forecasted transactions and the propriety of using hedge accounting in the future for similar forecasted transactions. To mitigate against the negative consequences of missing forecasts we have set an internal policy to designate hedging instruments for accounting purposes only up to 75% of forecasted sales or purchases. Determination of forecasted purchases of hot-rolled coil and forecasted sales of prime coil inventory and manufactured pipe inventory require the Company to make assumptions related to customer demand and the volume and timing of inventory purchases. The pipe-finishing facility impairment analysis requires assumptions related to future operations of the facility and estimates related to the replacement cost and value in exchange for the assets. Actual results could differ from these estimates.</w:t>
      </w:r>
    </w:p>
    <w:p>
      <w:pPr>
        <w:sectPr>
          <w:pgSz w:w="11900" w:h="16838" w:orient="portrait"/>
          <w:cols w:equalWidth="0" w:num="1">
            <w:col w:w="11240"/>
          </w:cols>
          <w:pgMar w:left="320" w:top="125" w:right="339" w:bottom="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84" w:lineRule="auto"/>
        <w:rPr>
          <w:sz w:val="20"/>
          <w:szCs w:val="20"/>
          <w:color w:val="auto"/>
        </w:rPr>
      </w:pPr>
      <w:r>
        <w:rPr>
          <w:rFonts w:ascii="Arial" w:cs="Arial" w:eastAsia="Arial" w:hAnsi="Arial"/>
          <w:sz w:val="16"/>
          <w:szCs w:val="16"/>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including the adequacy of cash and expectations as to future sales, prices and margins and our expectations for the construction and performance of our new Sinton, TX facility.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and trends in the oil and natural gas industry.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w:t>
      </w:r>
    </w:p>
    <w:p>
      <w:pPr>
        <w:spacing w:after="0" w:line="19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upon our evaluation, the Chief Executive Officer and Chief Financial Officer have concluded that the Company’s disclosure controls and procedures were not effective as of the end of the period covered by this Quarterly Report on Form 10-Q because the Company has not yet completed its remediation of the material weaknesses previously identified and disclosed in the Company’s Annual Report on Form 10-K for the fiscal year ended March 31, 2022 and because the Company's Form 10-K for the fiscal year ended March 31, 2022 and Form 10-Q's for the three months ended June 30, 2022 and the three and six months ended September 30, 2022 were not filed timely.</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Notwithstanding the identified material weaknesses, the Company's management, including our Chief Executive Officer and Chief Financial Officer, believes that the consolidated financial statements included in this Quarterly Report on Form 10-Q fairly present in all material respects our financial condition and results of operations for the three month and nine month periods ended December 31, 2022 and 2021 in accordance with U.S. Generally Accepted Accounting Principles.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audit process related to our fiscal year ended March 31, 2022, management, in connection with our independent auditors, identified the following material weaknesses:</w:t>
      </w:r>
    </w:p>
    <w:p>
      <w:pPr>
        <w:spacing w:after="0" w:line="170" w:lineRule="exact"/>
        <w:rPr>
          <w:sz w:val="20"/>
          <w:szCs w:val="20"/>
          <w:color w:val="auto"/>
        </w:rPr>
      </w:pPr>
    </w:p>
    <w:p>
      <w:pPr>
        <w:jc w:val="both"/>
        <w:ind w:firstLine="494"/>
        <w:spacing w:after="0" w:line="255" w:lineRule="auto"/>
        <w:tabs>
          <w:tab w:leader="none" w:pos="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did not design relevant control activities necessary to address all identified risks of material misstatement or in some circumstances, controls were designed appropriately but were implemented late in the fiscal year not allowing a sufficient period of time to evidence operating effectiveness.</w:t>
      </w:r>
    </w:p>
    <w:p>
      <w:pPr>
        <w:spacing w:after="0" w:line="2" w:lineRule="exact"/>
        <w:rPr>
          <w:rFonts w:ascii="Arial" w:cs="Arial" w:eastAsia="Arial" w:hAnsi="Arial"/>
          <w:sz w:val="18"/>
          <w:szCs w:val="18"/>
          <w:color w:val="auto"/>
        </w:rPr>
      </w:pPr>
    </w:p>
    <w:p>
      <w:pPr>
        <w:ind w:firstLine="494"/>
        <w:spacing w:after="0" w:line="250" w:lineRule="auto"/>
        <w:tabs>
          <w:tab w:leader="none" w:pos="6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did not design and implement control activities to ensure completeness and accuracy of key reports used in the performance of certain controls.</w:t>
      </w:r>
    </w:p>
    <w:p>
      <w:pPr>
        <w:ind w:left="640" w:hanging="14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review were not designed to operate at a level of precision sufficient to identify all potential material errors.</w:t>
      </w:r>
    </w:p>
    <w:p>
      <w:pPr>
        <w:spacing w:after="0" w:line="9" w:lineRule="exact"/>
        <w:rPr>
          <w:rFonts w:ascii="Arial" w:cs="Arial" w:eastAsia="Arial" w:hAnsi="Arial"/>
          <w:sz w:val="18"/>
          <w:szCs w:val="18"/>
          <w:color w:val="auto"/>
        </w:rPr>
      </w:pPr>
    </w:p>
    <w:p>
      <w:pPr>
        <w:ind w:left="640" w:hanging="146"/>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Certain controls were not executed or performed or were performed without sufficient documentation supporting the execution of the controls.</w:t>
      </w:r>
    </w:p>
    <w:p>
      <w:pPr>
        <w:spacing w:after="0" w:line="32" w:lineRule="exact"/>
        <w:rPr>
          <w:rFonts w:ascii="Arial" w:cs="Arial" w:eastAsia="Arial" w:hAnsi="Arial"/>
          <w:sz w:val="16"/>
          <w:szCs w:val="16"/>
          <w:color w:val="auto"/>
        </w:rPr>
      </w:pPr>
    </w:p>
    <w:p>
      <w:pPr>
        <w:ind w:left="640" w:hanging="14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had inadequate segregation of duties for certain business transactions.</w:t>
      </w:r>
    </w:p>
    <w:p>
      <w:pPr>
        <w:sectPr>
          <w:pgSz w:w="11900" w:h="16838" w:orient="portrait"/>
          <w:cols w:equalWidth="0" w:num="1">
            <w:col w:w="11240"/>
          </w:cols>
          <w:pgMar w:left="320" w:top="125" w:right="339" w:bottom="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for Remediation of Material Weakness</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Company has determined that the number of accounting personnel and the limited utilization of information technology in its control structure are the primary contributing factors to the material weaknesses identified. As a part of the transaction with Plateplus, the Company had eight additional accounting personnel convert from Plateplus employment to Friedman employment with five of these individuals becoming Friedman employees on September 1, 2022 and the remaining three individuals becoming Friedman employees on October 1, 2022. The Company also hired an individual with an internal audit and SOX internal control background during September 2022. Additionally, as part of the Plateplus transaction, the Company transferred the enterprise resource planning (“ERP”) system that was in place at Plateplus to Friedman at the end of August 2022. The Company is currently working to integrate all of its operations into the transferred ERP system. The Company expects the additional accounting personnel to allow for improved segregation of duties and consistent execution of controls. The Company expects the new ERP system to allow for many of the Company’s current manual controls and missing controls to be performed by the design and capabilities of the ERP system rather than relying on manual human execution.</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will continue to monitor the design and effectiveness of these procedures and controls and make any further changes the Company determines appropriate. We believe the additional investment in human capital and technology described above will remediate the material weaknesses the Company has identified. However, the material weaknesses will not be considered remediated until the applicable remedial actions operate effectively for a sufficient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Except as discussed above, there were no changes in the Company's internal control over financial reporting that occurred during the fiscal quarter ended December 31, 2022 that have materially affected, or are reasonably likely to materially affect, the Company's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FRIEDMAN INDUSTRIES,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020" w:type="dxa"/>
            <w:vAlign w:val="bottom"/>
          </w:tcPr>
          <w:p>
            <w:pPr>
              <w:ind w:left="100"/>
              <w:spacing w:after="0"/>
              <w:rPr>
                <w:sz w:val="20"/>
                <w:szCs w:val="20"/>
                <w:color w:val="auto"/>
              </w:rPr>
            </w:pPr>
            <w:r>
              <w:rPr>
                <w:rFonts w:ascii="Arial" w:cs="Arial" w:eastAsia="Arial" w:hAnsi="Arial"/>
                <w:sz w:val="18"/>
                <w:szCs w:val="18"/>
                <w:color w:val="auto"/>
              </w:rPr>
              <w:t>3.1</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43">
              <w:r>
                <w:rPr>
                  <w:rFonts w:ascii="Arial" w:cs="Arial" w:eastAsia="Arial" w:hAnsi="Arial"/>
                  <w:sz w:val="18"/>
                  <w:szCs w:val="18"/>
                  <w:color w:val="0000EE"/>
                  <w:w w:val="93"/>
                </w:rPr>
                <w:t>Articles of Incorporation of the Company, as amended (incorporated by reference from Exhibit 3.1 to the Company’s Form S-8 filed</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43">
              <w:r>
                <w:rPr>
                  <w:rFonts w:ascii="Arial" w:cs="Arial" w:eastAsia="Arial" w:hAnsi="Arial"/>
                  <w:sz w:val="18"/>
                  <w:szCs w:val="18"/>
                  <w:color w:val="0000EE"/>
                  <w:w w:val="89"/>
                </w:rPr>
                <w:t>on December 21, 2016).</w:t>
              </w:r>
            </w:hyperlink>
          </w:p>
        </w:tc>
        <w:tc>
          <w:tcPr>
            <w:tcW w:w="7900" w:type="dxa"/>
            <w:vAlign w:val="bottom"/>
            <w:tcBorders>
              <w:top w:val="single" w:sz="8" w:color="0000EE"/>
            </w:tcBorders>
            <w:gridSpan w:val="6"/>
          </w:tcPr>
          <w:p>
            <w:pPr>
              <w:spacing w:after="0"/>
              <w:rPr>
                <w:sz w:val="17"/>
                <w:szCs w:val="17"/>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43">
              <w:r>
                <w:rPr>
                  <w:rFonts w:ascii="Arial" w:cs="Arial" w:eastAsia="Arial" w:hAnsi="Arial"/>
                  <w:sz w:val="18"/>
                  <w:szCs w:val="18"/>
                  <w:color w:val="0000EE"/>
                  <w:w w:val="93"/>
                </w:rPr>
                <w:t>Articles of Amendment to the Articles of Incorporation of the Company, as filed with the Texas Secretary of State on September 22,</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1987 (incorporated by reference from Exhibit 3.1 to the Company’s Form S-8 filed on December 21, 2016).</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3.3</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44">
              <w:r>
                <w:rPr>
                  <w:rFonts w:ascii="Arial" w:cs="Arial" w:eastAsia="Arial" w:hAnsi="Arial"/>
                  <w:sz w:val="18"/>
                  <w:szCs w:val="18"/>
                  <w:color w:val="0000EE"/>
                  <w:w w:val="93"/>
                </w:rPr>
                <w:t>Amended and Restated Bylaws of the Company, as amended on November 8, 2021. (incorporated by reference from Exhibit 3.3 to</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the Company's Form 10-Q filed on November 19, 2021).</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Certification Pursuant to Section 302 of the Sarbanes-Oxley Act of 2002, signed by Michael J. Taylor.</w:t>
            </w: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Certification Pursuant to Section 302 of the Sarbanes-Oxley Act of 2002, signed by Alex LaRue.</w:t>
            </w: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color w:val="0000EE"/>
                <w:w w:val="92"/>
              </w:rPr>
              <w:t>Certification Pursuant to 18 U.S.C. Section 1350, as Adopted Pursuant to Section 906 of the Sarbanes-Oxley Act of 2002, signed by</w:t>
            </w: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Michael J. Taylor.</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360" w:type="dxa"/>
            <w:vAlign w:val="bottom"/>
            <w:gridSpan w:val="7"/>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color w:val="0000EE"/>
                <w:w w:val="92"/>
              </w:rPr>
              <w:t>Certification Pursuant to 18 U.S.C. Section 1350, as Adopted Pursuant to Section 906 of the Sarbanes-Oxley Act of 2002, signed by</w:t>
            </w: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Alex LaRue.</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740" w:type="dxa"/>
            <w:vAlign w:val="bottom"/>
            <w:gridSpan w:val="8"/>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Instance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Taxonomy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Presentation Linkbase Document.</w:t>
            </w:r>
          </w:p>
        </w:tc>
      </w:tr>
    </w:tbl>
    <w:p>
      <w:pPr>
        <w:spacing w:after="0" w:line="202" w:lineRule="exact"/>
        <w:rPr>
          <w:sz w:val="20"/>
          <w:szCs w:val="20"/>
          <w:color w:val="auto"/>
        </w:rPr>
      </w:pPr>
    </w:p>
    <w:p>
      <w:pPr>
        <w:ind w:left="5540" w:right="3500" w:hanging="5532"/>
        <w:spacing w:after="0" w:line="527" w:lineRule="auto"/>
        <w:tabs>
          <w:tab w:leader="none" w:pos="1134" w:val="left"/>
        </w:tabs>
        <w:numPr>
          <w:ilvl w:val="0"/>
          <w:numId w:val="7"/>
        </w:numPr>
        <w:rPr>
          <w:rFonts w:ascii="Arial" w:cs="Arial" w:eastAsia="Arial" w:hAnsi="Arial"/>
          <w:sz w:val="18"/>
          <w:szCs w:val="18"/>
          <w:color w:val="auto"/>
        </w:rPr>
      </w:pPr>
      <w:r>
        <w:rPr>
          <w:rFonts w:ascii="Arial" w:cs="Arial" w:eastAsia="Arial" w:hAnsi="Arial"/>
          <w:sz w:val="18"/>
          <w:szCs w:val="18"/>
          <w:color w:val="auto"/>
        </w:rPr>
        <w:t>— Cover Page Interactive File (formatted as Inline XBRL and contained in Exhibit 101)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FRIEDMAN INDUSTRIES, INCORPORATED</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February 9, 2023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80"/>
        <w:spacing w:after="0"/>
        <w:tabs>
          <w:tab w:leader="none" w:pos="140" w:val="left"/>
        </w:tabs>
        <w:rPr>
          <w:sz w:val="20"/>
          <w:szCs w:val="20"/>
          <w:color w:val="auto"/>
        </w:rPr>
      </w:pPr>
      <w:r>
        <w:rPr>
          <w:rFonts w:ascii="Arial" w:cs="Arial" w:eastAsia="Arial" w:hAnsi="Arial"/>
          <w:sz w:val="18"/>
          <w:szCs w:val="18"/>
          <w:color w:val="auto"/>
        </w:rPr>
        <w:t>/s/</w:t>
        <w:tab/>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14605</wp:posOffset>
            </wp:positionV>
            <wp:extent cx="34632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3">
            <w:col w:w="4640" w:space="720"/>
            <w:col w:w="1520" w:space="720"/>
            <w:col w:w="3640"/>
          </w:cols>
          <w:pgMar w:left="320" w:top="125" w:right="339" w:bottom="1440" w:gutter="0" w:footer="0" w:header="0"/>
          <w:type w:val="continuous"/>
        </w:sectPr>
      </w:pPr>
    </w:p>
    <w:p>
      <w:pPr>
        <w:jc w:val="center"/>
        <w:ind w:left="5780"/>
        <w:spacing w:after="0"/>
        <w:rPr>
          <w:sz w:val="20"/>
          <w:szCs w:val="20"/>
          <w:color w:val="auto"/>
        </w:rPr>
      </w:pPr>
      <w:r>
        <w:rPr>
          <w:rFonts w:ascii="Arial" w:cs="Arial" w:eastAsia="Arial" w:hAnsi="Arial"/>
          <w:sz w:val="16"/>
          <w:szCs w:val="16"/>
          <w:color w:val="auto"/>
        </w:rPr>
        <w:t>Alex LaRue, Chief Financial Officer – Secretary and</w:t>
      </w:r>
    </w:p>
    <w:p>
      <w:pPr>
        <w:spacing w:after="0" w:line="46"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Treasurer (Principal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5" w:right="3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Taylor, certify that:</w:t>
      </w:r>
    </w:p>
    <w:p>
      <w:pPr>
        <w:spacing w:after="0" w:line="225" w:lineRule="exact"/>
        <w:rPr>
          <w:sz w:val="20"/>
          <w:szCs w:val="20"/>
          <w:color w:val="auto"/>
        </w:rPr>
      </w:pPr>
    </w:p>
    <w:p>
      <w:pPr>
        <w:ind w:left="680" w:hanging="18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report on Form 10-Q of Friedman Industries, Incorporated;</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00" w:right="100" w:hanging="6"/>
        <w:spacing w:after="0" w:line="26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60" w:firstLine="480"/>
        <w:spacing w:after="0" w:line="263" w:lineRule="auto"/>
        <w:tabs>
          <w:tab w:leader="none" w:pos="117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right="220" w:firstLine="480"/>
        <w:spacing w:after="0" w:line="263" w:lineRule="auto"/>
        <w:tabs>
          <w:tab w:leader="none" w:pos="118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right="380" w:firstLine="480"/>
        <w:spacing w:after="0" w:line="342" w:lineRule="auto"/>
        <w:tabs>
          <w:tab w:leader="none" w:pos="1171"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340" w:firstLine="480"/>
        <w:spacing w:after="0" w:line="263" w:lineRule="auto"/>
        <w:tabs>
          <w:tab w:leader="none" w:pos="1181"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600" w:firstLine="480"/>
        <w:spacing w:after="0" w:line="308" w:lineRule="auto"/>
        <w:tabs>
          <w:tab w:leader="none" w:pos="1171"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280" w:firstLine="480"/>
        <w:spacing w:after="0" w:line="277" w:lineRule="auto"/>
        <w:tabs>
          <w:tab w:leader="none" w:pos="118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2023</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Alex LaRue, certify that:</w:t>
      </w:r>
    </w:p>
    <w:p>
      <w:pPr>
        <w:spacing w:after="0" w:line="225" w:lineRule="exact"/>
        <w:rPr>
          <w:sz w:val="20"/>
          <w:szCs w:val="20"/>
          <w:color w:val="auto"/>
        </w:rPr>
      </w:pPr>
    </w:p>
    <w:p>
      <w:pPr>
        <w:ind w:left="680" w:hanging="18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report on Form 10-Q of Friedman Industries, Incorporated;</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00" w:right="100" w:hanging="6"/>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60" w:firstLine="480"/>
        <w:spacing w:after="0" w:line="263" w:lineRule="auto"/>
        <w:tabs>
          <w:tab w:leader="none" w:pos="117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right="220" w:firstLine="480"/>
        <w:spacing w:after="0" w:line="263" w:lineRule="auto"/>
        <w:tabs>
          <w:tab w:leader="none" w:pos="118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380" w:firstLine="980"/>
        <w:spacing w:after="0" w:line="342" w:lineRule="auto"/>
        <w:tabs>
          <w:tab w:leader="none" w:pos="1157"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340" w:firstLine="480"/>
        <w:spacing w:after="0" w:line="263" w:lineRule="auto"/>
        <w:tabs>
          <w:tab w:leader="none" w:pos="118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600" w:firstLine="480"/>
        <w:spacing w:after="0" w:line="308" w:lineRule="auto"/>
        <w:tabs>
          <w:tab w:leader="none" w:pos="1171"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280" w:firstLine="480"/>
        <w:spacing w:after="0" w:line="277" w:lineRule="auto"/>
        <w:tabs>
          <w:tab w:leader="none" w:pos="118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2023</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Financial Officer – Secretary and Treasurer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Filed Pursuant to the Securities Exchange Act of 1934</w:t>
      </w:r>
    </w:p>
    <w:p>
      <w:pPr>
        <w:spacing w:after="0" w:line="229"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 connection with the Quarterly Report of Friedman Industries, Incorporated (the “Company”) on Form 10-Q for the period ended December 31, 2022,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87" w:lineRule="exact"/>
        <w:rPr>
          <w:sz w:val="20"/>
          <w:szCs w:val="20"/>
          <w:color w:val="auto"/>
        </w:rPr>
      </w:pPr>
    </w:p>
    <w:p>
      <w:pPr>
        <w:ind w:left="740" w:hanging="246"/>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60" w:firstLine="494"/>
        <w:spacing w:after="0" w:line="559" w:lineRule="auto"/>
        <w:tabs>
          <w:tab w:leader="none" w:pos="7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9, 2023</w:t>
      </w:r>
    </w:p>
    <w:p>
      <w:pPr>
        <w:spacing w:after="0" w:line="14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Taylor</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Michael J. Taylor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connection with the Quarterly Report of Friedman Industries, Incorporated (the “Company”) on Form 10-Q for the period ended December 31, 2022,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spacing w:after="0" w:line="187" w:lineRule="exact"/>
        <w:rPr>
          <w:sz w:val="20"/>
          <w:szCs w:val="20"/>
          <w:color w:val="auto"/>
        </w:rPr>
      </w:pPr>
    </w:p>
    <w:p>
      <w:pPr>
        <w:ind w:left="740" w:hanging="246"/>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 w:firstLine="494"/>
        <w:spacing w:after="0" w:line="559" w:lineRule="auto"/>
        <w:tabs>
          <w:tab w:leader="none" w:pos="7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9, 2023</w:t>
      </w:r>
    </w:p>
    <w:p>
      <w:pPr>
        <w:spacing w:after="0" w:line="14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 LaRue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95" w:lineRule="exact"/>
              <w:rPr>
                <w:sz w:val="20"/>
                <w:szCs w:val="20"/>
                <w:color w:val="auto"/>
              </w:rPr>
            </w:pPr>
            <w:r>
              <w:rPr>
                <w:rFonts w:ascii="Arial" w:cs="Arial" w:eastAsia="Arial" w:hAnsi="Arial"/>
                <w:sz w:val="18"/>
                <w:szCs w:val="18"/>
                <w:color w:val="auto"/>
              </w:rPr>
              <w:t>Alex LaRue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w w:val="96"/>
              </w:rPr>
              <w:t>Chief Financial Officer – Secretary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3" Type="http://schemas.openxmlformats.org/officeDocument/2006/relationships/hyperlink" Target="http://www.sec.gov/Archives/edgar/data/39092/000143774916043636/ex3-1.htm" TargetMode="External"/><Relationship Id="rId44" Type="http://schemas.openxmlformats.org/officeDocument/2006/relationships/hyperlink" Target="http://www.sec.gov/Archives/edgar/data/39092/000143774921027176/ex_3092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2023-02-09T17:00:47Z</dcterms:created>
  <dcterms:modified xsi:type="dcterms:W3CDTF">2023-02-09T17:00:47Z</dcterms:modified>
</cp:coreProperties>
</file>