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rd20250630_10q.htm"/>
      <w:bookmarkStart w:id="1" w:name="ksfrd2025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UNITED STATES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SECURITIES AND EXCHANGE COMMISSION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150" w:type="dxa"/>
        <w:jc w:val="left"/>
        <w:tblInd w:w="0" w:type="dxa"/>
        <w:tblLayout w:type="fixed"/>
        <w:tblCellMar>
          <w:top w:w="0" w:type="dxa"/>
          <w:left w:w="0" w:type="dxa"/>
          <w:bottom w:w="0" w:type="dxa"/>
          <w:right w:w="0" w:type="dxa"/>
        </w:tblCellMar>
      </w:tblPr>
      <w:tblGrid>
        <w:gridCol w:w="230"/>
        <w:gridCol w:w="9920"/>
      </w:tblGrid>
      <w:tr>
        <w:trPr/>
        <w:tc>
          <w:tcPr>
            <w:tcW w:w="230" w:type="dxa"/>
            <w:tcBorders/>
            <w:vAlign w:val="center"/>
          </w:tcPr>
          <w:p>
            <w:pPr>
              <w:pStyle w:val="TableContents"/>
              <w:bidi w:val="0"/>
              <w:spacing w:before="0" w:after="0"/>
              <w:ind w:left="0" w:right="0" w:hanging="0"/>
              <w:jc w:val="left"/>
              <w:rPr/>
            </w:pPr>
            <w:r>
              <w:rPr/>
              <w:t>☒</w:t>
            </w:r>
          </w:p>
        </w:tc>
        <w:tc>
          <w:tcPr>
            <w:tcW w:w="9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w:t>
      </w:r>
      <w:r>
        <w:rPr>
          <w:rFonts w:ascii="Times New Roman;Times;serif" w:hAnsi="Times New Roman;Times;serif"/>
          <w:sz w:val="20"/>
        </w:rPr>
        <w:t xml:space="preserve"> </w:t>
      </w:r>
      <w:r>
        <w:rPr>
          <w:rFonts w:ascii="Times New Roman;Times;serif" w:hAnsi="Times New Roman;Times;serif"/>
          <w:b/>
          <w:sz w:val="20"/>
        </w:rPr>
        <w:t>June 30, 2025</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OR </w:t>
      </w:r>
    </w:p>
    <w:p>
      <w:pPr>
        <w:pStyle w:val="TextBody"/>
        <w:bidi w:val="0"/>
        <w:spacing w:before="0" w:after="0"/>
        <w:ind w:left="0" w:right="0" w:hanging="0"/>
        <w:jc w:val="left"/>
        <w:rPr/>
      </w:pPr>
      <w:r>
        <w:rPr/>
        <w:t> </w:t>
      </w:r>
    </w:p>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pPr>
            <w:r>
              <w:rPr/>
              <w:t>☐</w:t>
            </w:r>
          </w:p>
        </w:tc>
        <w:tc>
          <w:tcPr>
            <w:tcW w:w="9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FROM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u w:val="single"/>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COMMISSION FILE NUMBER 1-7521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 xml:space="preserve">FRIEDMAN INDUSTRIES, INCORPORATED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600" w:type="dxa"/>
        <w:jc w:val="left"/>
        <w:tblInd w:w="0" w:type="dxa"/>
        <w:tblLayout w:type="fixed"/>
        <w:tblCellMar>
          <w:top w:w="0" w:type="dxa"/>
          <w:left w:w="0" w:type="dxa"/>
          <w:bottom w:w="0" w:type="dxa"/>
          <w:right w:w="0" w:type="dxa"/>
        </w:tblCellMar>
      </w:tblPr>
      <w:tblGrid>
        <w:gridCol w:w="2645"/>
        <w:gridCol w:w="1955"/>
      </w:tblGrid>
      <w:tr>
        <w:trPr/>
        <w:tc>
          <w:tcPr>
            <w:tcW w:w="26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Texas</w:t>
            </w:r>
          </w:p>
        </w:tc>
        <w:tc>
          <w:tcPr>
            <w:tcW w:w="19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74-1504405</w:t>
            </w:r>
          </w:p>
        </w:tc>
      </w:tr>
      <w:tr>
        <w:trPr/>
        <w:tc>
          <w:tcPr>
            <w:tcW w:w="26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19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1121 Judson Road, Suite 124, Longview, Texas 75601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(Address of principal executive offices) (Zip Code)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(903)758-3431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former address and former fiscal year,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 </w:t>
      </w:r>
    </w:p>
    <w:tbl>
      <w:tblPr>
        <w:tblW w:w="6330" w:type="dxa"/>
        <w:jc w:val="left"/>
        <w:tblInd w:w="0" w:type="dxa"/>
        <w:tblLayout w:type="fixed"/>
        <w:tblCellMar>
          <w:top w:w="0" w:type="dxa"/>
          <w:left w:w="0" w:type="dxa"/>
          <w:bottom w:w="28" w:type="dxa"/>
          <w:right w:w="0" w:type="dxa"/>
        </w:tblCellMar>
      </w:tblPr>
      <w:tblGrid>
        <w:gridCol w:w="2405"/>
        <w:gridCol w:w="60"/>
        <w:gridCol w:w="1415"/>
        <w:gridCol w:w="60"/>
        <w:gridCol w:w="2390"/>
      </w:tblGrid>
      <w:tr>
        <w:trPr/>
        <w:tc>
          <w:tcPr>
            <w:tcW w:w="24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4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FRD</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(Check one):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At</w:t>
      </w:r>
      <w:r>
        <w:rPr>
          <w:rFonts w:ascii="Times New Roman;Times;serif" w:hAnsi="Times New Roman;Times;serif"/>
          <w:sz w:val="20"/>
        </w:rPr>
        <w:t xml:space="preserve"> August 7, 2025, the number of shares outstanding of the issuer’s only class of stock was </w:t>
      </w:r>
      <w:r>
        <w:rPr>
          <w:rFonts w:ascii="Times New Roman;Times;serif" w:hAnsi="Times New Roman;Times;serif"/>
          <w:color w:val="000000"/>
          <w:sz w:val="20"/>
        </w:rPr>
        <w:t>7,059,440</w:t>
      </w:r>
      <w:r>
        <w:rPr>
          <w:rFonts w:ascii="Times New Roman;Times;serif" w:hAnsi="Times New Roman;Times;serif"/>
          <w:sz w:val="20"/>
        </w:rPr>
        <w:t> shares of Common Stock.</w:t>
      </w:r>
    </w:p>
    <w:p>
      <w:pPr>
        <w:pStyle w:val="TextBody"/>
        <w:bidi w:val="0"/>
        <w:spacing w:before="0" w:after="0"/>
        <w:ind w:left="0" w:right="0" w:firstLine="49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u w:val="single"/>
        </w:rPr>
      </w:pPr>
      <w:bookmarkStart w:id="2" w:name="toc"/>
      <w:bookmarkEnd w:id="2"/>
      <w:r>
        <w:rPr>
          <w:rFonts w:ascii="Times New Roman;Times;serif" w:hAnsi="Times New Roman;Times;serif"/>
          <w:b/>
          <w:sz w:val="20"/>
          <w:u w:val="single"/>
        </w:rPr>
        <w:t xml:space="preserve">TABLE OF CONTENTS </w:t>
      </w:r>
    </w:p>
    <w:p>
      <w:pPr>
        <w:pStyle w:val="TextBody"/>
        <w:bidi w:val="0"/>
        <w:spacing w:before="0" w:after="0"/>
        <w:ind w:left="0" w:right="0" w:hanging="0"/>
        <w:jc w:val="left"/>
        <w:rPr/>
      </w:pPr>
      <w:r>
        <w:rPr/>
        <w:t> </w:t>
      </w:r>
    </w:p>
    <w:tbl>
      <w:tblPr>
        <w:tblW w:w="8140" w:type="dxa"/>
        <w:jc w:val="left"/>
        <w:tblInd w:w="0" w:type="dxa"/>
        <w:tblLayout w:type="fixed"/>
        <w:tblCellMar>
          <w:top w:w="0" w:type="dxa"/>
          <w:left w:w="0" w:type="dxa"/>
          <w:bottom w:w="0" w:type="dxa"/>
          <w:right w:w="0" w:type="dxa"/>
        </w:tblCellMar>
      </w:tblPr>
      <w:tblGrid>
        <w:gridCol w:w="7880"/>
        <w:gridCol w:w="260"/>
      </w:tblGrid>
      <w:tr>
        <w:trPr/>
        <w:tc>
          <w:tcPr>
            <w:tcW w:w="7880" w:type="dxa"/>
            <w:tcBorders/>
            <w:shd w:fill="CCEEFF" w:val="clear"/>
            <w:vAlign w:val="center"/>
          </w:tcPr>
          <w:p>
            <w:pPr>
              <w:pStyle w:val="TableContents"/>
              <w:bidi w:val="0"/>
              <w:spacing w:before="0" w:after="0"/>
              <w:ind w:left="240" w:right="0" w:hanging="240"/>
              <w:jc w:val="left"/>
              <w:rPr/>
            </w:pPr>
            <w:hyperlink w:anchor="fininfo">
              <w:r>
                <w:rPr>
                  <w:rStyle w:val="InternetLink"/>
                  <w:rFonts w:ascii="Times New Roman;Times;serif" w:hAnsi="Times New Roman;Times;serif"/>
                  <w:sz w:val="20"/>
                </w:rPr>
                <w:t>Part I — FINANCIAL INFORMATION</w:t>
              </w:r>
            </w:hyperlink>
          </w:p>
        </w:tc>
        <w:tc>
          <w:tcPr>
            <w:tcW w:w="260" w:type="dxa"/>
            <w:tcBorders/>
            <w:shd w:fill="CCEEFF" w:val="clear"/>
            <w:vAlign w:val="center"/>
          </w:tcPr>
          <w:p>
            <w:pPr>
              <w:pStyle w:val="TableContents"/>
              <w:bidi w:val="0"/>
              <w:spacing w:before="0" w:after="283"/>
              <w:jc w:val="right"/>
              <w:rPr/>
            </w:pPr>
            <w:hyperlink w:anchor="fininfo">
              <w:r>
                <w:rPr>
                  <w:rStyle w:val="InternetLink"/>
                </w:rPr>
                <w:t>3</w:t>
              </w:r>
            </w:hyperlink>
          </w:p>
        </w:tc>
      </w:tr>
      <w:tr>
        <w:trPr/>
        <w:tc>
          <w:tcPr>
            <w:tcW w:w="7880" w:type="dxa"/>
            <w:tcBorders/>
            <w:shd w:fill="FFFFFF" w:val="clear"/>
            <w:vAlign w:val="center"/>
          </w:tcPr>
          <w:p>
            <w:pPr>
              <w:pStyle w:val="TableContents"/>
              <w:bidi w:val="0"/>
              <w:spacing w:before="0" w:after="0"/>
              <w:ind w:left="720" w:right="0" w:hanging="240"/>
              <w:jc w:val="left"/>
              <w:rPr/>
            </w:pPr>
            <w:hyperlink w:anchor="finstat">
              <w:r>
                <w:rPr>
                  <w:rStyle w:val="InternetLink"/>
                  <w:rFonts w:ascii="Times New Roman;Times;serif" w:hAnsi="Times New Roman;Times;serif"/>
                  <w:sz w:val="20"/>
                </w:rPr>
                <w:t>Item 1. Financial Statements (Unaudited)</w:t>
              </w:r>
            </w:hyperlink>
          </w:p>
        </w:tc>
        <w:tc>
          <w:tcPr>
            <w:tcW w:w="260" w:type="dxa"/>
            <w:tcBorders/>
            <w:shd w:fill="FFFFFF" w:val="clear"/>
            <w:vAlign w:val="center"/>
          </w:tcPr>
          <w:p>
            <w:pPr>
              <w:pStyle w:val="TableContents"/>
              <w:bidi w:val="0"/>
              <w:spacing w:before="0" w:after="283"/>
              <w:jc w:val="right"/>
              <w:rPr/>
            </w:pPr>
            <w:hyperlink w:anchor="finstat">
              <w:r>
                <w:rPr>
                  <w:rStyle w:val="InternetLink"/>
                </w:rPr>
                <w:t>3</w:t>
              </w:r>
            </w:hyperlink>
          </w:p>
        </w:tc>
      </w:tr>
      <w:tr>
        <w:trPr/>
        <w:tc>
          <w:tcPr>
            <w:tcW w:w="7880" w:type="dxa"/>
            <w:tcBorders/>
            <w:shd w:fill="CCEEFF" w:val="clear"/>
            <w:vAlign w:val="center"/>
          </w:tcPr>
          <w:p>
            <w:pPr>
              <w:pStyle w:val="TableContents"/>
              <w:bidi w:val="0"/>
              <w:spacing w:before="0" w:after="0"/>
              <w:ind w:left="720" w:right="0" w:hanging="240"/>
              <w:jc w:val="left"/>
              <w:rPr/>
            </w:pPr>
            <w:hyperlink w:anchor="mgmtdis">
              <w:r>
                <w:rPr>
                  <w:rStyle w:val="InternetLink"/>
                  <w:rFonts w:ascii="Times New Roman;Times;serif" w:hAnsi="Times New Roman;Times;serif"/>
                  <w:sz w:val="20"/>
                </w:rPr>
                <w:t>Item 2. Management’s Discussion and Analysis of Financial Condition and Results of Operations</w:t>
              </w:r>
            </w:hyperlink>
          </w:p>
        </w:tc>
        <w:tc>
          <w:tcPr>
            <w:tcW w:w="260" w:type="dxa"/>
            <w:tcBorders/>
            <w:shd w:fill="CCEEFF" w:val="clear"/>
            <w:vAlign w:val="center"/>
          </w:tcPr>
          <w:p>
            <w:pPr>
              <w:pStyle w:val="TableContents"/>
              <w:bidi w:val="0"/>
              <w:spacing w:before="0" w:after="283"/>
              <w:jc w:val="right"/>
              <w:rPr/>
            </w:pPr>
            <w:hyperlink w:anchor="mgmtdis">
              <w:r>
                <w:rPr>
                  <w:rStyle w:val="InternetLink"/>
                </w:rPr>
                <w:t>14</w:t>
              </w:r>
            </w:hyperlink>
          </w:p>
        </w:tc>
      </w:tr>
      <w:tr>
        <w:trPr/>
        <w:tc>
          <w:tcPr>
            <w:tcW w:w="7880" w:type="dxa"/>
            <w:tcBorders/>
            <w:shd w:fill="FFFFFF" w:val="clear"/>
            <w:vAlign w:val="center"/>
          </w:tcPr>
          <w:p>
            <w:pPr>
              <w:pStyle w:val="TableContents"/>
              <w:bidi w:val="0"/>
              <w:spacing w:before="0" w:after="0"/>
              <w:ind w:left="720" w:right="0" w:hanging="240"/>
              <w:jc w:val="left"/>
              <w:rPr/>
            </w:pPr>
            <w:hyperlink w:anchor="quan">
              <w:r>
                <w:rPr>
                  <w:rStyle w:val="InternetLink"/>
                  <w:rFonts w:ascii="Times New Roman;Times;serif" w:hAnsi="Times New Roman;Times;serif"/>
                  <w:sz w:val="20"/>
                </w:rPr>
                <w:t>Item 3. Quantitative and Qualitative Disclosures About Market Risk</w:t>
              </w:r>
            </w:hyperlink>
          </w:p>
        </w:tc>
        <w:tc>
          <w:tcPr>
            <w:tcW w:w="260" w:type="dxa"/>
            <w:tcBorders/>
            <w:shd w:fill="FFFFFF" w:val="clear"/>
            <w:vAlign w:val="center"/>
          </w:tcPr>
          <w:p>
            <w:pPr>
              <w:pStyle w:val="TableContents"/>
              <w:bidi w:val="0"/>
              <w:spacing w:before="0" w:after="283"/>
              <w:jc w:val="right"/>
              <w:rPr/>
            </w:pPr>
            <w:hyperlink w:anchor="quan">
              <w:r>
                <w:rPr>
                  <w:rStyle w:val="InternetLink"/>
                </w:rPr>
                <w:t>16</w:t>
              </w:r>
            </w:hyperlink>
          </w:p>
        </w:tc>
      </w:tr>
      <w:tr>
        <w:trPr/>
        <w:tc>
          <w:tcPr>
            <w:tcW w:w="7880" w:type="dxa"/>
            <w:tcBorders/>
            <w:shd w:fill="CCEEFF" w:val="clear"/>
            <w:vAlign w:val="center"/>
          </w:tcPr>
          <w:p>
            <w:pPr>
              <w:pStyle w:val="TableContents"/>
              <w:bidi w:val="0"/>
              <w:spacing w:before="0" w:after="0"/>
              <w:ind w:left="720" w:right="0" w:hanging="240"/>
              <w:jc w:val="left"/>
              <w:rPr/>
            </w:pPr>
            <w:hyperlink w:anchor="conpro">
              <w:r>
                <w:rPr>
                  <w:rStyle w:val="InternetLink"/>
                  <w:rFonts w:ascii="Times New Roman;Times;serif" w:hAnsi="Times New Roman;Times;serif"/>
                  <w:sz w:val="20"/>
                </w:rPr>
                <w:t>Item 4. Controls and Procedures</w:t>
              </w:r>
            </w:hyperlink>
          </w:p>
        </w:tc>
        <w:tc>
          <w:tcPr>
            <w:tcW w:w="260" w:type="dxa"/>
            <w:tcBorders/>
            <w:shd w:fill="CCEEFF" w:val="clear"/>
            <w:vAlign w:val="center"/>
          </w:tcPr>
          <w:p>
            <w:pPr>
              <w:pStyle w:val="TableContents"/>
              <w:bidi w:val="0"/>
              <w:spacing w:before="0" w:after="283"/>
              <w:jc w:val="right"/>
              <w:rPr/>
            </w:pPr>
            <w:hyperlink w:anchor="conpro">
              <w:r>
                <w:rPr>
                  <w:rStyle w:val="InternetLink"/>
                </w:rPr>
                <w:t>16</w:t>
              </w:r>
            </w:hyperlink>
          </w:p>
        </w:tc>
      </w:tr>
      <w:tr>
        <w:trPr/>
        <w:tc>
          <w:tcPr>
            <w:tcW w:w="7880" w:type="dxa"/>
            <w:tcBorders/>
            <w:shd w:fill="FFFFFF" w:val="clear"/>
            <w:vAlign w:val="center"/>
          </w:tcPr>
          <w:p>
            <w:pPr>
              <w:pStyle w:val="TableContents"/>
              <w:bidi w:val="0"/>
              <w:spacing w:before="0" w:after="0"/>
              <w:ind w:left="240" w:right="0" w:hanging="240"/>
              <w:jc w:val="left"/>
              <w:rPr/>
            </w:pPr>
            <w:hyperlink w:anchor="ptwo">
              <w:r>
                <w:rPr>
                  <w:rStyle w:val="InternetLink"/>
                  <w:rFonts w:ascii="Times New Roman;Times;serif" w:hAnsi="Times New Roman;Times;serif"/>
                  <w:sz w:val="20"/>
                </w:rPr>
                <w:t>Part II — OTHER INFORMATION</w:t>
              </w:r>
            </w:hyperlink>
          </w:p>
        </w:tc>
        <w:tc>
          <w:tcPr>
            <w:tcW w:w="260" w:type="dxa"/>
            <w:tcBorders/>
            <w:shd w:fill="FFFFFF" w:val="clear"/>
            <w:vAlign w:val="center"/>
          </w:tcPr>
          <w:p>
            <w:pPr>
              <w:pStyle w:val="TableContents"/>
              <w:bidi w:val="0"/>
              <w:spacing w:before="0" w:after="283"/>
              <w:jc w:val="right"/>
              <w:rPr/>
            </w:pPr>
            <w:hyperlink w:anchor="ptwo">
              <w:r>
                <w:rPr>
                  <w:rStyle w:val="InternetLink"/>
                </w:rPr>
                <w:t>17</w:t>
              </w:r>
            </w:hyperlink>
          </w:p>
        </w:tc>
      </w:tr>
      <w:tr>
        <w:trPr/>
        <w:tc>
          <w:tcPr>
            <w:tcW w:w="7880" w:type="dxa"/>
            <w:tcBorders/>
            <w:shd w:fill="CCEEFF" w:val="clear"/>
            <w:vAlign w:val="center"/>
          </w:tcPr>
          <w:p>
            <w:pPr>
              <w:pStyle w:val="TableContents"/>
              <w:bidi w:val="0"/>
              <w:spacing w:before="0" w:after="0"/>
              <w:ind w:left="720" w:right="0" w:hanging="240"/>
              <w:jc w:val="left"/>
              <w:rPr/>
            </w:pPr>
            <w:hyperlink w:anchor="ptwo">
              <w:r>
                <w:rPr>
                  <w:rStyle w:val="InternetLink"/>
                  <w:rFonts w:ascii="Times New Roman;Times;serif" w:hAnsi="Times New Roman;Times;serif"/>
                  <w:sz w:val="20"/>
                </w:rPr>
                <w:t>Item 5. Other Information</w:t>
              </w:r>
            </w:hyperlink>
          </w:p>
        </w:tc>
        <w:tc>
          <w:tcPr>
            <w:tcW w:w="260" w:type="dxa"/>
            <w:tcBorders/>
            <w:shd w:fill="CCEEFF" w:val="clear"/>
            <w:vAlign w:val="center"/>
          </w:tcPr>
          <w:p>
            <w:pPr>
              <w:pStyle w:val="TableContents"/>
              <w:bidi w:val="0"/>
              <w:spacing w:before="0" w:after="283"/>
              <w:jc w:val="right"/>
              <w:rPr/>
            </w:pPr>
            <w:hyperlink w:anchor="exes">
              <w:r>
                <w:rPr>
                  <w:rStyle w:val="InternetLink"/>
                </w:rPr>
                <w:t>17</w:t>
              </w:r>
            </w:hyperlink>
          </w:p>
        </w:tc>
      </w:tr>
      <w:tr>
        <w:trPr/>
        <w:tc>
          <w:tcPr>
            <w:tcW w:w="7880" w:type="dxa"/>
            <w:tcBorders/>
            <w:shd w:fill="FFFFFF" w:val="clear"/>
            <w:vAlign w:val="center"/>
          </w:tcPr>
          <w:p>
            <w:pPr>
              <w:pStyle w:val="TableContents"/>
              <w:bidi w:val="0"/>
              <w:spacing w:before="0" w:after="0"/>
              <w:ind w:left="720" w:right="0" w:hanging="240"/>
              <w:jc w:val="left"/>
              <w:rPr/>
            </w:pPr>
            <w:hyperlink w:anchor="exes">
              <w:r>
                <w:rPr>
                  <w:rStyle w:val="InternetLink"/>
                  <w:rFonts w:ascii="Times New Roman;Times;serif" w:hAnsi="Times New Roman;Times;serif"/>
                  <w:sz w:val="20"/>
                </w:rPr>
                <w:t>Item 6. Exhibits</w:t>
              </w:r>
            </w:hyperlink>
          </w:p>
        </w:tc>
        <w:tc>
          <w:tcPr>
            <w:tcW w:w="260" w:type="dxa"/>
            <w:tcBorders/>
            <w:shd w:fill="FFFFFF" w:val="clear"/>
            <w:vAlign w:val="center"/>
          </w:tcPr>
          <w:p>
            <w:pPr>
              <w:pStyle w:val="TableContents"/>
              <w:bidi w:val="0"/>
              <w:spacing w:before="0" w:after="283"/>
              <w:jc w:val="right"/>
              <w:rPr/>
            </w:pPr>
            <w:hyperlink w:anchor="exes">
              <w:r>
                <w:rPr>
                  <w:rStyle w:val="InternetLink"/>
                </w:rPr>
                <w:t>17</w:t>
              </w:r>
            </w:hyperlink>
          </w:p>
        </w:tc>
      </w:tr>
      <w:tr>
        <w:trPr/>
        <w:tc>
          <w:tcPr>
            <w:tcW w:w="7880" w:type="dxa"/>
            <w:tcBorders/>
            <w:shd w:fill="CCEEFF" w:val="clear"/>
            <w:vAlign w:val="center"/>
          </w:tcPr>
          <w:p>
            <w:pPr>
              <w:pStyle w:val="TableContents"/>
              <w:bidi w:val="0"/>
              <w:spacing w:before="0" w:after="0"/>
              <w:ind w:left="240" w:right="0" w:hanging="240"/>
              <w:jc w:val="left"/>
              <w:rPr/>
            </w:pPr>
            <w:hyperlink w:anchor="sigs">
              <w:r>
                <w:rPr>
                  <w:rStyle w:val="InternetLink"/>
                  <w:rFonts w:ascii="Times New Roman;Times;serif" w:hAnsi="Times New Roman;Times;serif"/>
                  <w:sz w:val="20"/>
                </w:rPr>
                <w:t>SIGNATURES</w:t>
              </w:r>
            </w:hyperlink>
          </w:p>
        </w:tc>
        <w:tc>
          <w:tcPr>
            <w:tcW w:w="260" w:type="dxa"/>
            <w:tcBorders/>
            <w:shd w:fill="CCEEFF" w:val="clear"/>
            <w:vAlign w:val="center"/>
          </w:tcPr>
          <w:p>
            <w:pPr>
              <w:pStyle w:val="TableContents"/>
              <w:bidi w:val="0"/>
              <w:spacing w:before="0" w:after="283"/>
              <w:jc w:val="right"/>
              <w:rPr/>
            </w:pPr>
            <w:hyperlink w:anchor="sigs">
              <w:r>
                <w:rPr>
                  <w:rStyle w:val="InternetLink"/>
                </w:rPr>
                <w:t>18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fininfo"/>
      <w:bookmarkEnd w:id="3"/>
      <w:r>
        <w:rPr>
          <w:rFonts w:ascii="Times New Roman;Times;serif" w:hAnsi="Times New Roman;Times;serif"/>
          <w:b/>
          <w:sz w:val="20"/>
        </w:rPr>
        <w:t xml:space="preserve">Part I — FINANCIAL INFORMATION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 w:name="finstat"/>
      <w:bookmarkEnd w:id="4"/>
      <w:r>
        <w:rPr>
          <w:rFonts w:ascii="Times New Roman;Times;serif" w:hAnsi="Times New Roman;Times;serif"/>
          <w:b/>
          <w:sz w:val="20"/>
        </w:rPr>
        <w:t xml:space="preserve">Item 1. Financial Statements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BALANCE SHEETS —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791"/>
        <w:gridCol w:w="60"/>
        <w:gridCol w:w="161"/>
        <w:gridCol w:w="898"/>
        <w:gridCol w:w="80"/>
        <w:gridCol w:w="60"/>
        <w:gridCol w:w="178"/>
        <w:gridCol w:w="995"/>
        <w:gridCol w:w="982"/>
      </w:tblGrid>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982"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ind w:left="360" w:right="0" w:hanging="0"/>
              <w:jc w:val="left"/>
              <w:rPr/>
            </w:pPr>
            <w:r>
              <w:rPr/>
              <w:t> </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3,686</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and cash discounts of $124 and $147 at June 30, and March 31, 2025, respectively</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47,476</w:t>
            </w:r>
          </w:p>
        </w:tc>
        <w:tc>
          <w:tcPr>
            <w:tcW w:w="982" w:type="dxa"/>
            <w:tcBorders/>
            <w:shd w:fill="FFFFFF" w:val="clear"/>
            <w:vAlign w:val="center"/>
          </w:tcPr>
          <w:p>
            <w:pPr>
              <w:pStyle w:val="TableContents"/>
              <w:bidi w:val="0"/>
              <w:spacing w:before="0" w:after="283"/>
              <w:ind w:left="360" w:right="0" w:hanging="0"/>
              <w:jc w:val="left"/>
              <w:rPr/>
            </w:pPr>
            <w:r>
              <w:rPr/>
              <w:t> </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113,689</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Current portion of derivative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982" w:type="dxa"/>
            <w:tcBorders/>
            <w:shd w:fill="FFFFFF" w:val="clear"/>
            <w:vAlign w:val="center"/>
          </w:tcPr>
          <w:p>
            <w:pPr>
              <w:pStyle w:val="TableContents"/>
              <w:bidi w:val="0"/>
              <w:spacing w:before="0" w:after="283"/>
              <w:ind w:left="360" w:right="0" w:hanging="0"/>
              <w:jc w:val="left"/>
              <w:rPr/>
            </w:pPr>
            <w:r>
              <w:rPr/>
              <w:t> </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982" w:type="dxa"/>
            <w:tcBorders/>
            <w:shd w:fill="CCEEFF" w:val="clear"/>
            <w:vAlign w:val="center"/>
          </w:tcPr>
          <w:p>
            <w:pPr>
              <w:pStyle w:val="TableContents"/>
              <w:bidi w:val="0"/>
              <w:spacing w:before="0" w:after="283"/>
              <w:ind w:left="900" w:right="0" w:hanging="0"/>
              <w:jc w:val="left"/>
              <w:rPr/>
            </w:pPr>
            <w:r>
              <w:rPr/>
              <w:t> </w:t>
            </w:r>
          </w:p>
        </w:tc>
      </w:tr>
      <w:tr>
        <w:trPr/>
        <w:tc>
          <w:tcPr>
            <w:tcW w:w="6791" w:type="dxa"/>
            <w:tcBorders/>
            <w:shd w:fill="FFFF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166,467</w:t>
            </w:r>
          </w:p>
        </w:tc>
        <w:tc>
          <w:tcPr>
            <w:tcW w:w="982"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982" w:type="dxa"/>
            <w:tcBorders/>
            <w:shd w:fill="FFFFFF" w:val="clear"/>
            <w:vAlign w:val="center"/>
          </w:tcPr>
          <w:p>
            <w:pPr>
              <w:pStyle w:val="TableContents"/>
              <w:bidi w:val="0"/>
              <w:spacing w:before="0" w:after="283"/>
              <w:ind w:left="360" w:right="0" w:hanging="0"/>
              <w:jc w:val="left"/>
              <w:rPr/>
            </w:pPr>
            <w:r>
              <w:rPr/>
              <w:t> </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Buildings and yard improvements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30,393</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57,970</w:t>
            </w:r>
          </w:p>
        </w:tc>
        <w:tc>
          <w:tcPr>
            <w:tcW w:w="982" w:type="dxa"/>
            <w:tcBorders/>
            <w:shd w:fill="FFFFFF" w:val="clear"/>
            <w:vAlign w:val="center"/>
          </w:tcPr>
          <w:p>
            <w:pPr>
              <w:pStyle w:val="TableContents"/>
              <w:bidi w:val="0"/>
              <w:spacing w:before="0" w:after="283"/>
              <w:ind w:left="360" w:right="0" w:hanging="0"/>
              <w:jc w:val="left"/>
              <w:rPr/>
            </w:pPr>
            <w:r>
              <w:rPr/>
              <w:t> </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(33,819</w:t>
            </w:r>
          </w:p>
        </w:tc>
        <w:tc>
          <w:tcPr>
            <w:tcW w:w="982" w:type="dxa"/>
            <w:tcBorders/>
            <w:shd w:fill="FFFFFF" w:val="clear"/>
            <w:vAlign w:val="center"/>
          </w:tcPr>
          <w:p>
            <w:pPr>
              <w:pStyle w:val="TableContents"/>
              <w:bidi w:val="0"/>
              <w:spacing w:before="0" w:after="283"/>
              <w:ind w:left="0" w:right="0" w:firstLine="900"/>
              <w:jc w:val="left"/>
              <w:rPr>
                <w:rFonts w:ascii="Times New Roman;Times;serif" w:hAnsi="Times New Roman;Times;serif"/>
                <w:sz w:val="20"/>
              </w:rPr>
            </w:pPr>
            <w:r>
              <w:rPr>
                <w:rFonts w:ascii="Times New Roman;Times;serif" w:hAnsi="Times New Roman;Times;serif"/>
                <w:sz w:val="20"/>
              </w:rPr>
              <w:t>)</w:t>
            </w:r>
          </w:p>
        </w:tc>
      </w:tr>
      <w:tr>
        <w:trPr/>
        <w:tc>
          <w:tcPr>
            <w:tcW w:w="6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56,251</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ind w:left="360" w:right="0" w:firstLine="360"/>
              <w:jc w:val="left"/>
              <w:rPr/>
            </w:pPr>
            <w:r>
              <w:rPr/>
              <w:t> </w:t>
            </w:r>
          </w:p>
        </w:tc>
      </w:tr>
      <w:tr>
        <w:trPr/>
        <w:tc>
          <w:tcPr>
            <w:tcW w:w="6791" w:type="dxa"/>
            <w:tcBorders/>
            <w:shd w:fill="CCEEFF" w:val="clear"/>
            <w:vAlign w:val="center"/>
          </w:tcPr>
          <w:p>
            <w:pPr>
              <w:pStyle w:val="TableContents"/>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982" w:type="dxa"/>
            <w:tcBorders/>
            <w:shd w:fill="CCEEFF" w:val="clear"/>
            <w:vAlign w:val="center"/>
          </w:tcPr>
          <w:p>
            <w:pPr>
              <w:pStyle w:val="TableContents"/>
              <w:bidi w:val="0"/>
              <w:spacing w:before="0" w:after="283"/>
              <w:ind w:left="900" w:right="0" w:firstLine="360"/>
              <w:jc w:val="left"/>
              <w:rPr/>
            </w:pPr>
            <w:r>
              <w:rPr/>
              <w:t> </w:t>
            </w:r>
          </w:p>
        </w:tc>
      </w:tr>
      <w:tr>
        <w:trPr/>
        <w:tc>
          <w:tcPr>
            <w:tcW w:w="67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w:t>
            </w:r>
          </w:p>
        </w:tc>
        <w:tc>
          <w:tcPr>
            <w:tcW w:w="982" w:type="dxa"/>
            <w:tcBorders/>
            <w:shd w:fill="FFFFFF" w:val="clear"/>
            <w:vAlign w:val="center"/>
          </w:tcPr>
          <w:p>
            <w:pPr>
              <w:pStyle w:val="TableContents"/>
              <w:bidi w:val="0"/>
              <w:spacing w:before="0" w:after="283"/>
              <w:ind w:left="900" w:right="0" w:hanging="0"/>
              <w:jc w:val="left"/>
              <w:rPr/>
            </w:pPr>
            <w:r>
              <w:rPr/>
              <w:t> </w:t>
            </w:r>
          </w:p>
        </w:tc>
      </w:tr>
      <w:tr>
        <w:trPr/>
        <w:tc>
          <w:tcPr>
            <w:tcW w:w="6791" w:type="dxa"/>
            <w:tcBorders/>
            <w:shd w:fill="CCEE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226,822</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35,304</w:t>
            </w:r>
          </w:p>
        </w:tc>
        <w:tc>
          <w:tcPr>
            <w:tcW w:w="982"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982" w:type="dxa"/>
            <w:tcBorders/>
            <w:shd w:fill="FFFFFF" w:val="clear"/>
            <w:vAlign w:val="center"/>
          </w:tcPr>
          <w:p>
            <w:pPr>
              <w:pStyle w:val="TableContents"/>
              <w:bidi w:val="0"/>
              <w:spacing w:before="0" w:after="283"/>
              <w:ind w:left="360" w:right="0" w:hanging="0"/>
              <w:jc w:val="left"/>
              <w:rPr/>
            </w:pPr>
            <w:r>
              <w:rPr/>
              <w:t> </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w:t>
            </w:r>
          </w:p>
        </w:tc>
        <w:tc>
          <w:tcPr>
            <w:tcW w:w="982" w:type="dxa"/>
            <w:tcBorders/>
            <w:shd w:fill="CCEEFF" w:val="clear"/>
            <w:vAlign w:val="center"/>
          </w:tcPr>
          <w:p>
            <w:pPr>
              <w:pStyle w:val="TableContents"/>
              <w:bidi w:val="0"/>
              <w:spacing w:before="0" w:after="283"/>
              <w:ind w:left="0" w:right="0" w:hanging="0"/>
              <w:jc w:val="left"/>
              <w:rPr/>
            </w:pPr>
            <w:r>
              <w:rPr/>
              <w:t> </w:t>
            </w:r>
          </w:p>
        </w:tc>
      </w:tr>
      <w:tr>
        <w:trPr/>
        <w:tc>
          <w:tcPr>
            <w:tcW w:w="67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derivative liability</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982" w:type="dxa"/>
            <w:tcBorders/>
            <w:shd w:fill="FFFFFF" w:val="clear"/>
            <w:vAlign w:val="center"/>
          </w:tcPr>
          <w:p>
            <w:pPr>
              <w:pStyle w:val="TableContents"/>
              <w:bidi w:val="0"/>
              <w:spacing w:before="0" w:after="0"/>
              <w:ind w:left="900" w:right="0" w:hanging="0"/>
              <w:jc w:val="left"/>
              <w:rPr/>
            </w:pPr>
            <w:r>
              <w:rPr/>
              <w:t> </w:t>
            </w:r>
          </w:p>
        </w:tc>
      </w:tr>
      <w:tr>
        <w:trPr/>
        <w:tc>
          <w:tcPr>
            <w:tcW w:w="6791" w:type="dxa"/>
            <w:tcBorders/>
            <w:shd w:fill="CCEE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38,324</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 </w:t>
            </w:r>
          </w:p>
        </w:tc>
        <w:tc>
          <w:tcPr>
            <w:tcW w:w="982"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OTHER THAN PENSIONS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LIABILITY</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5,478</w:t>
            </w:r>
          </w:p>
        </w:tc>
        <w:tc>
          <w:tcPr>
            <w:tcW w:w="982"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BASED LENDING FACILITY</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47,728</w:t>
            </w:r>
          </w:p>
        </w:tc>
        <w:tc>
          <w:tcPr>
            <w:tcW w:w="982" w:type="dxa"/>
            <w:tcBorders/>
            <w:shd w:fill="FFFFFF" w:val="clear"/>
            <w:vAlign w:val="center"/>
          </w:tcPr>
          <w:p>
            <w:pPr>
              <w:pStyle w:val="TableContents"/>
              <w:bidi w:val="0"/>
              <w:spacing w:before="0" w:after="283"/>
              <w:ind w:left="900" w:right="0" w:hanging="0"/>
              <w:jc w:val="left"/>
              <w:rPr/>
            </w:pPr>
            <w:r>
              <w:rPr/>
              <w:t> </w:t>
            </w:r>
          </w:p>
        </w:tc>
      </w:tr>
      <w:tr>
        <w:trPr/>
        <w:tc>
          <w:tcPr>
            <w:tcW w:w="6791" w:type="dxa"/>
            <w:tcBorders/>
            <w:shd w:fill="CCEE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94,397</w:t>
            </w:r>
          </w:p>
        </w:tc>
        <w:tc>
          <w:tcPr>
            <w:tcW w:w="982"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Common stock, par value $1: Authorized shares — 10,000,000; Issued shares — 8,966,763 and 8,877,229 shares at June 30, and March 31, 2025</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8,877</w:t>
            </w:r>
          </w:p>
        </w:tc>
        <w:tc>
          <w:tcPr>
            <w:tcW w:w="982" w:type="dxa"/>
            <w:tcBorders/>
            <w:shd w:fill="FFFFFF" w:val="clear"/>
            <w:vAlign w:val="center"/>
          </w:tcPr>
          <w:p>
            <w:pPr>
              <w:pStyle w:val="TableContents"/>
              <w:bidi w:val="0"/>
              <w:spacing w:before="0" w:after="283"/>
              <w:ind w:left="360" w:right="0" w:hanging="0"/>
              <w:jc w:val="left"/>
              <w:rPr/>
            </w:pPr>
            <w:r>
              <w:rPr/>
              <w:t> </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35,394</w:t>
            </w:r>
          </w:p>
        </w:tc>
        <w:tc>
          <w:tcPr>
            <w:tcW w:w="982" w:type="dxa"/>
            <w:tcBorders/>
            <w:shd w:fill="CCEEFF" w:val="clear"/>
            <w:vAlign w:val="center"/>
          </w:tcPr>
          <w:p>
            <w:pPr>
              <w:pStyle w:val="TableContents"/>
              <w:bidi w:val="0"/>
              <w:spacing w:before="0" w:after="283"/>
              <w:ind w:left="360" w:right="0" w:hanging="0"/>
              <w:jc w:val="left"/>
              <w:rPr/>
            </w:pPr>
            <w:r>
              <w:rPr/>
              <w:t> </w:t>
            </w:r>
          </w:p>
        </w:tc>
      </w:tr>
      <w:tr>
        <w:trPr/>
        <w:tc>
          <w:tcPr>
            <w:tcW w:w="6791"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Treasury stock at cost (1,907,323 shares and 1,906,693 shares at June 30, and March 31, 2025, respectively)</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(13,100</w:t>
            </w:r>
          </w:p>
        </w:tc>
        <w:tc>
          <w:tcPr>
            <w:tcW w:w="982"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6791"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101,254</w:t>
            </w:r>
          </w:p>
        </w:tc>
        <w:tc>
          <w:tcPr>
            <w:tcW w:w="982" w:type="dxa"/>
            <w:tcBorders/>
            <w:shd w:fill="CCEEFF" w:val="clear"/>
            <w:vAlign w:val="center"/>
          </w:tcPr>
          <w:p>
            <w:pPr>
              <w:pStyle w:val="TableContents"/>
              <w:bidi w:val="0"/>
              <w:spacing w:before="0" w:after="283"/>
              <w:ind w:left="900" w:right="0" w:hanging="0"/>
              <w:jc w:val="left"/>
              <w:rPr/>
            </w:pPr>
            <w:r>
              <w:rPr/>
              <w:t> </w:t>
            </w:r>
          </w:p>
        </w:tc>
      </w:tr>
      <w:tr>
        <w:trPr/>
        <w:tc>
          <w:tcPr>
            <w:tcW w:w="6791" w:type="dxa"/>
            <w:tcBorders/>
            <w:shd w:fill="FFFF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132,425</w:t>
            </w:r>
          </w:p>
        </w:tc>
        <w:tc>
          <w:tcPr>
            <w:tcW w:w="982" w:type="dxa"/>
            <w:tcBorders/>
            <w:shd w:fill="FFFFFF" w:val="clear"/>
            <w:vAlign w:val="center"/>
          </w:tcPr>
          <w:p>
            <w:pPr>
              <w:pStyle w:val="TableContents"/>
              <w:bidi w:val="0"/>
              <w:spacing w:before="0" w:after="283"/>
              <w:ind w:left="900" w:right="0" w:hanging="0"/>
              <w:jc w:val="left"/>
              <w:rPr/>
            </w:pPr>
            <w:r>
              <w:rPr/>
              <w:t> </w:t>
            </w:r>
          </w:p>
        </w:tc>
      </w:tr>
      <w:tr>
        <w:trPr/>
        <w:tc>
          <w:tcPr>
            <w:tcW w:w="6791" w:type="dxa"/>
            <w:tcBorders/>
            <w:shd w:fill="CCEE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226,822</w:t>
            </w:r>
          </w:p>
        </w:tc>
        <w:tc>
          <w:tcPr>
            <w:tcW w:w="9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OPERATIONS</w:t>
      </w:r>
      <w:r>
        <w:rPr>
          <w:rFonts w:ascii="Times New Roman;Times;serif" w:hAnsi="Times New Roman;Times;serif"/>
          <w:sz w:val="20"/>
        </w:rPr>
        <w:t xml:space="preserve"> — </w:t>
      </w: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7618" w:type="dxa"/>
        <w:jc w:val="left"/>
        <w:tblInd w:w="0" w:type="dxa"/>
        <w:tblLayout w:type="fixed"/>
        <w:tblCellMar>
          <w:top w:w="0" w:type="dxa"/>
          <w:left w:w="0" w:type="dxa"/>
          <w:bottom w:w="0" w:type="dxa"/>
          <w:right w:w="0" w:type="dxa"/>
        </w:tblCellMar>
      </w:tblPr>
      <w:tblGrid>
        <w:gridCol w:w="5195"/>
        <w:gridCol w:w="60"/>
        <w:gridCol w:w="160"/>
        <w:gridCol w:w="892"/>
        <w:gridCol w:w="102"/>
        <w:gridCol w:w="77"/>
        <w:gridCol w:w="160"/>
        <w:gridCol w:w="892"/>
        <w:gridCol w:w="80"/>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134,777</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114,551</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materials sold (excludes items shown separately below)</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105,704</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96,414</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9,328</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8,178</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6,051</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5,455</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127,734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115,949</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OPERATIONS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7,043</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economic hedges of risk</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6,645</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share: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CASH FLOWS —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57"/>
        <w:gridCol w:w="60"/>
        <w:gridCol w:w="197"/>
        <w:gridCol w:w="1195"/>
        <w:gridCol w:w="126"/>
        <w:gridCol w:w="94"/>
        <w:gridCol w:w="197"/>
        <w:gridCol w:w="1195"/>
        <w:gridCol w:w="84"/>
      </w:tblGrid>
      <w:tr>
        <w:trPr/>
        <w:tc>
          <w:tcPr>
            <w:tcW w:w="70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JUNE 30,</w:t>
            </w:r>
          </w:p>
        </w:tc>
        <w:tc>
          <w:tcPr>
            <w:tcW w:w="84" w:type="dxa"/>
            <w:tcBorders/>
            <w:shd w:fill="FFFFFF" w:val="clear"/>
            <w:vAlign w:val="center"/>
          </w:tcPr>
          <w:p>
            <w:pPr>
              <w:pStyle w:val="TableContents"/>
              <w:bidi w:val="0"/>
              <w:spacing w:before="0" w:after="283"/>
              <w:jc w:val="left"/>
              <w:rPr/>
            </w:pPr>
            <w:r>
              <w:rPr/>
              <w:t> </w:t>
            </w:r>
          </w:p>
        </w:tc>
      </w:tr>
      <w:tr>
        <w:trPr/>
        <w:tc>
          <w:tcPr>
            <w:tcW w:w="70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540" w:right="0" w:hanging="0"/>
              <w:jc w:val="left"/>
              <w:rPr/>
            </w:pPr>
            <w:r>
              <w:rPr/>
              <w:t> </w:t>
            </w:r>
          </w:p>
        </w:tc>
      </w:tr>
      <w:tr>
        <w:trPr/>
        <w:tc>
          <w:tcPr>
            <w:tcW w:w="7057"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84" w:type="dxa"/>
            <w:tcBorders/>
            <w:shd w:fill="FFFFFF" w:val="clear"/>
            <w:vAlign w:val="center"/>
          </w:tcPr>
          <w:p>
            <w:pPr>
              <w:pStyle w:val="TableContents"/>
              <w:bidi w:val="0"/>
              <w:spacing w:before="0" w:after="283"/>
              <w:ind w:left="540" w:right="0" w:hanging="0"/>
              <w:jc w:val="left"/>
              <w:rPr/>
            </w:pPr>
            <w:r>
              <w:rPr/>
              <w:t> </w:t>
            </w:r>
          </w:p>
        </w:tc>
      </w:tr>
      <w:tr>
        <w:trPr/>
        <w:tc>
          <w:tcPr>
            <w:tcW w:w="7057"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Adjustments to reconcile net earnings to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1080" w:right="0" w:hanging="0"/>
              <w:jc w:val="left"/>
              <w:rPr/>
            </w:pPr>
            <w:r>
              <w:rPr/>
              <w:t> </w:t>
            </w:r>
          </w:p>
        </w:tc>
      </w:tr>
      <w:tr>
        <w:trPr/>
        <w:tc>
          <w:tcPr>
            <w:tcW w:w="7057" w:type="dxa"/>
            <w:tcBorders/>
            <w:shd w:fill="FFFF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84" w:type="dxa"/>
            <w:tcBorders/>
            <w:shd w:fill="FFFFFF" w:val="clear"/>
            <w:vAlign w:val="center"/>
          </w:tcPr>
          <w:p>
            <w:pPr>
              <w:pStyle w:val="TableContents"/>
              <w:bidi w:val="0"/>
              <w:spacing w:before="0" w:after="283"/>
              <w:ind w:left="1080" w:right="0" w:hanging="0"/>
              <w:jc w:val="left"/>
              <w:rPr/>
            </w:pPr>
            <w:r>
              <w:rPr/>
              <w:t> </w:t>
            </w:r>
          </w:p>
        </w:tc>
      </w:tr>
      <w:tr>
        <w:trPr/>
        <w:tc>
          <w:tcPr>
            <w:tcW w:w="7057" w:type="dxa"/>
            <w:tcBorders/>
            <w:shd w:fill="CCEE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Deferred taxes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4" w:type="dxa"/>
            <w:tcBorders/>
            <w:shd w:fill="CCEEFF" w:val="clear"/>
            <w:vAlign w:val="center"/>
          </w:tcPr>
          <w:p>
            <w:pPr>
              <w:pStyle w:val="TableContents"/>
              <w:bidi w:val="0"/>
              <w:spacing w:before="0" w:after="283"/>
              <w:ind w:left="108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FFFF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Compensation expense for restricted stock</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4" w:type="dxa"/>
            <w:tcBorders/>
            <w:shd w:fill="FFFFFF" w:val="clear"/>
            <w:vAlign w:val="center"/>
          </w:tcPr>
          <w:p>
            <w:pPr>
              <w:pStyle w:val="TableContents"/>
              <w:bidi w:val="0"/>
              <w:spacing w:before="0" w:after="283"/>
              <w:ind w:left="1080" w:right="0" w:hanging="0"/>
              <w:jc w:val="left"/>
              <w:rPr/>
            </w:pPr>
            <w:r>
              <w:rPr/>
              <w:t> </w:t>
            </w:r>
          </w:p>
        </w:tc>
      </w:tr>
      <w:tr>
        <w:trPr/>
        <w:tc>
          <w:tcPr>
            <w:tcW w:w="7057" w:type="dxa"/>
            <w:tcBorders/>
            <w:shd w:fill="CCEE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Change in postretirement benefits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057" w:type="dxa"/>
            <w:tcBorders/>
            <w:shd w:fill="FFFFFF" w:val="clear"/>
            <w:vAlign w:val="center"/>
          </w:tcPr>
          <w:p>
            <w:pPr>
              <w:pStyle w:val="TableContents"/>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Loss (gain) recognized on open derivatives not designated for hedge accounting</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Right-of-use asset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4"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Decrease (increase) in operating assets: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1080" w:right="0" w:hanging="0"/>
              <w:jc w:val="left"/>
              <w:rPr/>
            </w:pPr>
            <w:r>
              <w:rPr/>
              <w:t> </w:t>
            </w:r>
          </w:p>
        </w:tc>
      </w:tr>
      <w:tr>
        <w:trPr/>
        <w:tc>
          <w:tcPr>
            <w:tcW w:w="7057" w:type="dxa"/>
            <w:tcBorders/>
            <w:shd w:fill="CCEE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(3,241</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9,574</w:t>
            </w:r>
          </w:p>
        </w:tc>
        <w:tc>
          <w:tcPr>
            <w:tcW w:w="84" w:type="dxa"/>
            <w:tcBorders/>
            <w:shd w:fill="CCEEFF" w:val="clear"/>
            <w:vAlign w:val="center"/>
          </w:tcPr>
          <w:p>
            <w:pPr>
              <w:pStyle w:val="TableContents"/>
              <w:bidi w:val="0"/>
              <w:spacing w:before="0" w:after="283"/>
              <w:ind w:left="1080" w:right="0" w:hanging="0"/>
              <w:jc w:val="left"/>
              <w:rPr/>
            </w:pPr>
            <w:r>
              <w:rPr/>
              <w:t> </w:t>
            </w:r>
          </w:p>
        </w:tc>
      </w:tr>
      <w:tr>
        <w:trPr/>
        <w:tc>
          <w:tcPr>
            <w:tcW w:w="7057" w:type="dxa"/>
            <w:tcBorders/>
            <w:shd w:fill="FFFF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10,231</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w:t>
            </w:r>
          </w:p>
        </w:tc>
        <w:tc>
          <w:tcPr>
            <w:tcW w:w="84" w:type="dxa"/>
            <w:tcBorders/>
            <w:shd w:fill="FFFFFF" w:val="clear"/>
            <w:vAlign w:val="center"/>
          </w:tcPr>
          <w:p>
            <w:pPr>
              <w:pStyle w:val="TableContents"/>
              <w:bidi w:val="0"/>
              <w:spacing w:before="0" w:after="283"/>
              <w:ind w:left="108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4" w:type="dxa"/>
            <w:tcBorders/>
            <w:shd w:fill="CCEEFF" w:val="clear"/>
            <w:vAlign w:val="center"/>
          </w:tcPr>
          <w:p>
            <w:pPr>
              <w:pStyle w:val="TableContents"/>
              <w:bidi w:val="0"/>
              <w:spacing w:before="0" w:after="283"/>
              <w:ind w:left="540" w:right="0" w:hanging="0"/>
              <w:jc w:val="left"/>
              <w:rPr/>
            </w:pPr>
            <w:r>
              <w:rPr/>
              <w:t> </w:t>
            </w:r>
          </w:p>
        </w:tc>
      </w:tr>
      <w:tr>
        <w:trPr/>
        <w:tc>
          <w:tcPr>
            <w:tcW w:w="7057"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Increase (decrease) in operating liabilities: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1080" w:right="0" w:hanging="0"/>
              <w:jc w:val="left"/>
              <w:rPr/>
            </w:pPr>
            <w:r>
              <w:rPr/>
              <w:t> </w:t>
            </w:r>
          </w:p>
        </w:tc>
      </w:tr>
      <w:tr>
        <w:trPr/>
        <w:tc>
          <w:tcPr>
            <w:tcW w:w="7057" w:type="dxa"/>
            <w:tcBorders/>
            <w:shd w:fill="CCEE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(9,533</w:t>
            </w:r>
          </w:p>
        </w:tc>
        <w:tc>
          <w:tcPr>
            <w:tcW w:w="84" w:type="dxa"/>
            <w:tcBorders/>
            <w:shd w:fill="CCEEFF" w:val="clear"/>
            <w:vAlign w:val="center"/>
          </w:tcPr>
          <w:p>
            <w:pPr>
              <w:pStyle w:val="TableContents"/>
              <w:bidi w:val="0"/>
              <w:spacing w:before="0" w:after="283"/>
              <w:ind w:left="108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FFFF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4" w:type="dxa"/>
            <w:tcBorders/>
            <w:shd w:fill="FFFFFF" w:val="clear"/>
            <w:vAlign w:val="center"/>
          </w:tcPr>
          <w:p>
            <w:pPr>
              <w:pStyle w:val="TableContents"/>
              <w:bidi w:val="0"/>
              <w:spacing w:before="0" w:after="283"/>
              <w:ind w:left="1080" w:right="0" w:hanging="0"/>
              <w:jc w:val="left"/>
              <w:rPr/>
            </w:pPr>
            <w:r>
              <w:rPr/>
              <w:t> </w:t>
            </w:r>
          </w:p>
        </w:tc>
      </w:tr>
      <w:tr>
        <w:trPr/>
        <w:tc>
          <w:tcPr>
            <w:tcW w:w="7057" w:type="dxa"/>
            <w:tcBorders/>
            <w:shd w:fill="CCEEFF" w:val="clear"/>
            <w:vAlign w:val="center"/>
          </w:tcPr>
          <w:p>
            <w:pPr>
              <w:pStyle w:val="TableContents"/>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FFFFFF" w:val="clear"/>
            <w:vAlign w:val="center"/>
          </w:tcPr>
          <w:p>
            <w:pPr>
              <w:pStyle w:val="TableContents"/>
              <w:bidi w:val="0"/>
              <w:spacing w:before="0" w:after="0"/>
              <w:ind w:left="0" w:right="0" w:firstLine="126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540" w:right="0" w:hanging="0"/>
              <w:jc w:val="left"/>
              <w:rPr/>
            </w:pPr>
            <w:r>
              <w:rPr/>
              <w:t> </w:t>
            </w:r>
          </w:p>
        </w:tc>
      </w:tr>
      <w:tr>
        <w:trPr/>
        <w:tc>
          <w:tcPr>
            <w:tcW w:w="7057"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84"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Increase in cash surrender value of officers’ life insurance</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4" w:type="dxa"/>
            <w:tcBorders/>
            <w:shd w:fill="CCEEFF" w:val="clear"/>
            <w:vAlign w:val="center"/>
          </w:tcPr>
          <w:p>
            <w:pPr>
              <w:pStyle w:val="TableContents"/>
              <w:bidi w:val="0"/>
              <w:spacing w:before="0" w:after="283"/>
              <w:ind w:left="108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FFFFFF" w:val="clear"/>
            <w:vAlign w:val="center"/>
          </w:tcPr>
          <w:p>
            <w:pPr>
              <w:pStyle w:val="TableContents"/>
              <w:bidi w:val="0"/>
              <w:spacing w:before="0" w:after="0"/>
              <w:ind w:left="2160" w:right="0" w:firstLine="18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540" w:right="0" w:hanging="0"/>
              <w:jc w:val="left"/>
              <w:rPr/>
            </w:pPr>
            <w:r>
              <w:rPr/>
              <w:t> </w:t>
            </w:r>
          </w:p>
        </w:tc>
      </w:tr>
      <w:tr>
        <w:trPr/>
        <w:tc>
          <w:tcPr>
            <w:tcW w:w="7057"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Cash dividends paid</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4"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Cash paid for principal portion of finance lease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Cash paid for share repurchases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on asset based lending facility</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196,322</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198,871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057"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Repayments on asset based lending facility</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(211,011</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(193,077</w:t>
            </w:r>
          </w:p>
        </w:tc>
        <w:tc>
          <w:tcPr>
            <w:tcW w:w="84" w:type="dxa"/>
            <w:tcBorders/>
            <w:shd w:fill="FFFFFF" w:val="clear"/>
            <w:vAlign w:val="center"/>
          </w:tcPr>
          <w:p>
            <w:pPr>
              <w:pStyle w:val="TableContents"/>
              <w:bidi w:val="0"/>
              <w:spacing w:before="0" w:after="283"/>
              <w:ind w:left="108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2160" w:right="0" w:firstLine="18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(14,981</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05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 AND RESTRICTED CASH</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4,148</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5,897</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05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restricted cash at June 30, 2025 and March 31, 2025 included approximately $0.8 million and $0.5 million, respectively, of cash required to collateralize open derivative positions. These amounts are reported in "Other current assets" on the Company's consolidated balance sheets at June 30, 2025 and March 31, 2025. The Company did not have any restricted cash as of June 30, 2024.</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firstLine="360"/>
        <w:jc w:val="left"/>
        <w:rPr/>
      </w:pPr>
      <w:r>
        <w:rPr/>
        <w:t> </w:t>
      </w:r>
    </w:p>
    <w:p>
      <w:pPr>
        <w:pStyle w:val="TextBody"/>
        <w:bidi w:val="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NOTES TO QUARTERLY REPORT — UNAUDITED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w:t>
      </w:r>
      <w:r>
        <w:rPr>
          <w:rFonts w:ascii="Times New Roman;Times;serif" w:hAnsi="Times New Roman;Times;serif"/>
          <w:sz w:val="20"/>
        </w:rPr>
        <w:t> — BASIS OF PRESENTATION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accompanying unaudited, condensed consolidated financial statements have been prepared in accordance with the instructions to Form </w:t>
      </w:r>
      <w:r>
        <w:rPr>
          <w:rStyle w:val="Emphasis"/>
          <w:rFonts w:ascii="Times New Roman;Times;serif" w:hAnsi="Times New Roman;Times;serif"/>
          <w:sz w:val="20"/>
        </w:rPr>
        <w:t>10</w:t>
      </w:r>
      <w:r>
        <w:rPr>
          <w:rFonts w:ascii="Times New Roman;Times;serif" w:hAnsi="Times New Roman;Times;serif"/>
          <w:sz w:val="20"/>
        </w:rPr>
        <w:t xml:space="preserve">-Q and do </w:t>
      </w:r>
      <w:r>
        <w:rPr>
          <w:rStyle w:val="Emphasis"/>
          <w:rFonts w:ascii="Times New Roman;Times;serif" w:hAnsi="Times New Roman;Times;serif"/>
          <w:sz w:val="20"/>
        </w:rPr>
        <w:t>not</w:t>
      </w:r>
      <w:r>
        <w:rPr>
          <w:rFonts w:ascii="Times New Roman;Times;serif" w:hAnsi="Times New Roman;Times;serif"/>
          <w:sz w:val="20"/>
        </w:rPr>
        <w:t xml:space="preserve">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March 31, 2025</w:t>
      </w:r>
      <w:r>
        <w:rPr>
          <w:rFonts w:ascii="Times New Roman;Times;serif" w:hAnsi="Times New Roman;Times;serif"/>
          <w:sz w:val="20"/>
        </w:rPr>
        <w:t>.</w:t>
      </w:r>
    </w:p>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NOTE </w:t>
      </w:r>
      <w:r>
        <w:rPr>
          <w:rStyle w:val="Emphasis"/>
          <w:rFonts w:ascii="Times New Roman" w:hAnsi="Times New Roman"/>
          <w:caps w:val="false"/>
          <w:smallCaps w:val="false"/>
          <w:sz w:val="20"/>
        </w:rPr>
        <w:t>2</w:t>
      </w:r>
      <w:r>
        <w:rPr>
          <w:rFonts w:ascii="Times New Roman" w:hAnsi="Times New Roman"/>
          <w:caps w:val="false"/>
          <w:smallCaps w:val="false"/>
          <w:sz w:val="20"/>
        </w:rPr>
        <w:t> — 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(“FASB”) issued Accounting Standards Update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 Reporting Comprehensive Income – Expense Disaggregation Disclosures: Disaggregation of Income Statement Expenses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require more detailed information about the types of expenses in commonly presented income statement captions such as “Cost of sales” and “Selling, general and administrative expenses”. The new guidance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The Company is evaluating the impact that adoption of the provisions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Accounting Standards Update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Improvements to Income Tax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requires that an entity disclose specific categories in the rate reconciliation, provide additional information for reconciling items that are greater than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percent of the amount computed by multiplying pretax income (or loss) by the applicable statutory income tax rate, and provide income taxes paid by jurisdiction that are greater than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percent of total income taxes paid. The standard also requires that entities disclose income (or loss) from continuing operations before income tax expense (or benefit) and income tax expense (or benefit) each disaggregated between domestic and foreign operations.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Early adoption is permitted for annual financial statements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issued or made available for issuance.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to be applied on a prospective basis, but retrospective application is permitted. The Company is evaluating the impact that adoption of the provisions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will have on its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3</w:t>
      </w:r>
      <w:r>
        <w:rPr>
          <w:rFonts w:ascii="Times New Roman;Times;serif" w:hAnsi="Times New Roman;Times;serif"/>
          <w:sz w:val="20"/>
        </w:rPr>
        <w:t> — INVENTORIES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operates in two segments: the flat-roll segment and the tubular segment. Both flat-roll segment and tubular segment inventories consist of raw material and finished goods. Cost for substantially all of the Company's inventory is determined using the average cost method. All inventories are valued at the lower of cost or net realizable value. Flat-roll raw material inventory consists of steel coils the Company will process into sheet and plate. Flat-roll finished goods consists of processed sheet and plate inventory. Tubular raw material inventory consists of hot-rolled steel coils that the Company will manufacture into pipe. Tubular finished goods inventory consists of pipe the Company has manufactured. Inventory costs include the costs of the purchased metals, inbound freight, transfer freight, certain external processing, internal processing, direct labor and applicable overhead costs.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A summary of inventory values by product group follows (in thousands):</w:t>
      </w:r>
    </w:p>
    <w:p>
      <w:pPr>
        <w:pStyle w:val="TextBody"/>
        <w:bidi w:val="0"/>
        <w:spacing w:before="0" w:after="0"/>
        <w:ind w:left="0" w:right="0" w:hanging="0"/>
        <w:jc w:val="left"/>
        <w:rPr/>
      </w:pPr>
      <w:r>
        <w:rPr/>
        <w:t> </w:t>
      </w:r>
    </w:p>
    <w:tbl>
      <w:tblPr>
        <w:tblW w:w="4768" w:type="dxa"/>
        <w:jc w:val="left"/>
        <w:tblInd w:w="0" w:type="dxa"/>
        <w:tblLayout w:type="fixed"/>
        <w:tblCellMar>
          <w:top w:w="0" w:type="dxa"/>
          <w:left w:w="0" w:type="dxa"/>
          <w:bottom w:w="0" w:type="dxa"/>
          <w:right w:w="0" w:type="dxa"/>
        </w:tblCellMar>
      </w:tblPr>
      <w:tblGrid>
        <w:gridCol w:w="2000"/>
        <w:gridCol w:w="60"/>
        <w:gridCol w:w="181"/>
        <w:gridCol w:w="1008"/>
        <w:gridCol w:w="60"/>
        <w:gridCol w:w="60"/>
        <w:gridCol w:w="204"/>
        <w:gridCol w:w="1135"/>
        <w:gridCol w:w="60"/>
      </w:tblGrid>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Flat-Roll raw material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85,865</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Flat-Roll finished goods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15,737</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Tubular raw material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7,055</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Tubular finished goods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5,032</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4</w:t>
      </w:r>
      <w:r>
        <w:rPr>
          <w:rFonts w:ascii="Times New Roman;Times;serif" w:hAnsi="Times New Roman;Times;serif"/>
          <w:sz w:val="20"/>
        </w:rPr>
        <w:t> — DEBT</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 xml:space="preserve">The Company has a $150 million asset-based lending facility ("ABL Facility") in place with JPMorgan Chase Bank, N.A. as the arranging agent and BMO Harris Bank, N.A. as a </w:t>
      </w:r>
      <w:r>
        <w:rPr>
          <w:rStyle w:val="Emphasis"/>
          <w:rFonts w:ascii="Times New Roman;Times;serif" w:hAnsi="Times New Roman;Times;serif"/>
          <w:sz w:val="20"/>
        </w:rPr>
        <w:t>one</w:t>
      </w:r>
      <w:r>
        <w:rPr>
          <w:rFonts w:ascii="Times New Roman;Times;serif" w:hAnsi="Times New Roman;Times;serif"/>
          <w:sz w:val="20"/>
        </w:rPr>
        <w:t>-</w:t>
      </w:r>
      <w:r>
        <w:rPr>
          <w:rStyle w:val="Emphasis"/>
          <w:rFonts w:ascii="Times New Roman;Times;serif" w:hAnsi="Times New Roman;Times;serif"/>
          <w:sz w:val="20"/>
        </w:rPr>
        <w:t>third</w:t>
      </w:r>
      <w:r>
        <w:rPr>
          <w:rFonts w:ascii="Times New Roman;Times;serif" w:hAnsi="Times New Roman;Times;serif"/>
          <w:sz w:val="20"/>
        </w:rPr>
        <w:t xml:space="preserve"> syndicated participant. On </w:t>
      </w:r>
      <w:r>
        <w:rPr>
          <w:rStyle w:val="Emphasis"/>
          <w:rFonts w:ascii="Times New Roman;Times;serif" w:hAnsi="Times New Roman;Times;serif"/>
          <w:sz w:val="20"/>
        </w:rPr>
        <w:t xml:space="preserve">May 6, 2025, </w:t>
      </w:r>
      <w:r>
        <w:rPr>
          <w:rFonts w:ascii="Times New Roman;Times;serif" w:hAnsi="Times New Roman;Times;serif"/>
          <w:sz w:val="20"/>
        </w:rPr>
        <w:t xml:space="preserve">the Company executed the </w:t>
      </w:r>
      <w:r>
        <w:rPr>
          <w:rStyle w:val="Emphasis"/>
          <w:rFonts w:ascii="Times New Roman;Times;serif" w:hAnsi="Times New Roman;Times;serif"/>
          <w:sz w:val="20"/>
        </w:rPr>
        <w:t>fourth</w:t>
      </w:r>
      <w:r>
        <w:rPr>
          <w:rFonts w:ascii="Times New Roman;Times;serif" w:hAnsi="Times New Roman;Times;serif"/>
          <w:sz w:val="20"/>
        </w:rPr>
        <w:t xml:space="preserve"> amendment to the credit agreement which extended the maturity date of the ABL Facility to </w:t>
      </w:r>
      <w:r>
        <w:rPr>
          <w:rStyle w:val="Emphasis"/>
          <w:rFonts w:ascii="Times New Roman;Times;serif" w:hAnsi="Times New Roman;Times;serif"/>
          <w:sz w:val="20"/>
        </w:rPr>
        <w:t>August 19, 2026. </w:t>
      </w:r>
      <w:r>
        <w:rPr>
          <w:rFonts w:ascii="Times New Roman;Times;serif" w:hAnsi="Times New Roman;Times;serif"/>
          <w:sz w:val="20"/>
        </w:rPr>
        <w:t xml:space="preserve">The ABL Facility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w:t>
      </w:r>
      <w:r>
        <w:rPr>
          <w:rStyle w:val="Emphasis"/>
          <w:rFonts w:ascii="Times New Roman;Times;serif" w:hAnsi="Times New Roman;Times;serif"/>
          <w:sz w:val="20"/>
        </w:rPr>
        <w:t>1.00</w:t>
      </w:r>
      <w:r>
        <w:rPr>
          <w:rFonts w:ascii="Times New Roman;Times;serif" w:hAnsi="Times New Roman;Times;serif"/>
          <w:sz w:val="20"/>
        </w:rPr>
        <w:t xml:space="preserve"> for the trailing </w:t>
      </w:r>
      <w:r>
        <w:rPr>
          <w:rStyle w:val="Emphasis"/>
          <w:rFonts w:ascii="Times New Roman;Times;serif" w:hAnsi="Times New Roman;Times;serif"/>
          <w:sz w:val="20"/>
        </w:rPr>
        <w:t>twelve</w:t>
      </w:r>
      <w:r>
        <w:rPr>
          <w:rFonts w:ascii="Times New Roman;Times;serif" w:hAnsi="Times New Roman;Times;serif"/>
          <w:sz w:val="20"/>
        </w:rPr>
        <w:t xml:space="preser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w:t>
      </w:r>
      <w:r>
        <w:rPr>
          <w:rStyle w:val="Emphasis"/>
          <w:rFonts w:ascii="Times New Roman;Times;serif" w:hAnsi="Times New Roman;Times;serif"/>
          <w:sz w:val="20"/>
        </w:rPr>
        <w:t xml:space="preserve">may </w:t>
      </w:r>
      <w:r>
        <w:rPr>
          <w:rFonts w:ascii="Times New Roman;Times;serif" w:hAnsi="Times New Roman;Times;serif"/>
          <w:sz w:val="20"/>
        </w:rPr>
        <w:t>be increased up to an aggregate of $25 million, in minimum increments of $5 million. At </w:t>
      </w:r>
      <w:r>
        <w:rPr>
          <w:rStyle w:val="Emphasis"/>
          <w:rFonts w:ascii="Times New Roman;Times;serif" w:hAnsi="Times New Roman;Times;serif"/>
          <w:sz w:val="20"/>
        </w:rPr>
        <w:t xml:space="preserve"> June 30, 2025</w:t>
      </w:r>
      <w:r>
        <w:rPr>
          <w:rFonts w:ascii="Times New Roman;Times;serif" w:hAnsi="Times New Roman;Times;serif"/>
          <w:sz w:val="20"/>
        </w:rPr>
        <w:t>, the Company had a balance of approximately $33.0 million under the ABL Facility with an applicable interest rate of 6.2%. At </w:t>
      </w:r>
      <w:r>
        <w:rPr>
          <w:rStyle w:val="Emphasis"/>
          <w:rFonts w:ascii="Times New Roman;Times;serif" w:hAnsi="Times New Roman;Times;serif"/>
          <w:sz w:val="20"/>
        </w:rPr>
        <w:t xml:space="preserve"> June 30, 2025</w:t>
      </w:r>
      <w:r>
        <w:rPr>
          <w:rFonts w:ascii="Times New Roman;Times;serif" w:hAnsi="Times New Roman;Times;serif"/>
          <w:sz w:val="20"/>
        </w:rPr>
        <w:t>, the Company's applicable borrowing base calculation supported access to approximately $103.7 million of the ABL Facility.</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incurred debt issuance costs of approximately $0.4 million in connection with the ABL Facility with these costs being amortized on an equal monthly basis over the term of the ABL facility.</w:t>
      </w:r>
    </w:p>
    <w:p>
      <w:pPr>
        <w:pStyle w:val="TextBody"/>
        <w:bidi w:val="0"/>
        <w:spacing w:before="0" w:after="0"/>
        <w:ind w:left="0" w:right="0" w:firstLine="490"/>
        <w:jc w:val="both"/>
        <w:rPr/>
      </w:pPr>
      <w:r>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r>
        <w:rPr>
          <w:rFonts w:ascii="Times New Roman;Times;serif" w:hAnsi="Times New Roman;Times;serif"/>
          <w:sz w:val="20"/>
        </w:rPr>
        <w:t xml:space="preserve">NOTE </w:t>
      </w:r>
      <w:r>
        <w:rPr>
          <w:rStyle w:val="Emphasis"/>
          <w:rFonts w:ascii="Times New Roman;Times;serif" w:hAnsi="Times New Roman;Times;serif"/>
          <w:sz w:val="20"/>
        </w:rPr>
        <w:t>5</w:t>
      </w:r>
      <w:r>
        <w:rPr>
          <w:rFonts w:ascii="Times New Roman;Times;serif" w:hAnsi="Times New Roman;Times;serif"/>
          <w:sz w:val="20"/>
        </w:rPr>
        <w:t> — LEASES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an operating lease for the Granite City, IL facility with an expiration date of </w:t>
      </w:r>
      <w:r>
        <w:rPr>
          <w:rStyle w:val="Emphasis"/>
          <w:rFonts w:ascii="Times New Roman;Times;serif" w:hAnsi="Times New Roman;Times;serif"/>
          <w:sz w:val="20"/>
        </w:rPr>
        <w:t xml:space="preserve">August 31, 2028 </w:t>
      </w:r>
      <w:r>
        <w:rPr>
          <w:rFonts w:ascii="Times New Roman;Times;serif" w:hAnsi="Times New Roman;Times;serif"/>
          <w:sz w:val="20"/>
        </w:rPr>
        <w:t xml:space="preserve">and optional renewal provisions for up to </w:t>
      </w:r>
      <w:r>
        <w:rPr>
          <w:rStyle w:val="Emphasis"/>
          <w:rFonts w:ascii="Times New Roman;Times;serif" w:hAnsi="Times New Roman;Times;serif"/>
          <w:sz w:val="20"/>
        </w:rPr>
        <w:t>4</w:t>
      </w:r>
      <w:r>
        <w:rPr>
          <w:rFonts w:ascii="Times New Roman;Times;serif" w:hAnsi="Times New Roman;Times;serif"/>
          <w:sz w:val="20"/>
        </w:rPr>
        <w:t xml:space="preserve"> renewal terms of five years each. The lease calls for monthly rental payments that adjust on an annual basis. The monthly rental payment in place at </w:t>
      </w:r>
      <w:r>
        <w:rPr>
          <w:rStyle w:val="Emphasis"/>
          <w:rFonts w:ascii="Times New Roman;Times;serif" w:hAnsi="Times New Roman;Times;serif"/>
          <w:sz w:val="20"/>
        </w:rPr>
        <w:t>June 30, 2025</w:t>
      </w:r>
      <w:r>
        <w:rPr>
          <w:rFonts w:ascii="Times New Roman;Times;serif" w:hAnsi="Times New Roman;Times;serif"/>
          <w:sz w:val="20"/>
        </w:rPr>
        <w:t xml:space="preserve"> and remaining in place until adjustment in </w:t>
      </w:r>
      <w:r>
        <w:rPr>
          <w:rStyle w:val="Emphasis"/>
          <w:rFonts w:ascii="Times New Roman;Times;serif" w:hAnsi="Times New Roman;Times;serif"/>
          <w:sz w:val="20"/>
        </w:rPr>
        <w:t>September 2025 </w:t>
      </w:r>
      <w:r>
        <w:rPr>
          <w:rFonts w:ascii="Times New Roman;Times;serif" w:hAnsi="Times New Roman;Times;serif"/>
          <w:sz w:val="20"/>
        </w:rPr>
        <w:t xml:space="preserve">is approximately $13,000 per month. The anticipated execution of renewal options for this lease is included in the right-of-use ("ROU") asset and lease liability calculation. The Company has an operating lease for administrative office space in The Woodlands, TX with an expiration date of </w:t>
      </w:r>
      <w:r>
        <w:rPr>
          <w:rStyle w:val="Emphasis"/>
          <w:rFonts w:ascii="Times New Roman;Times;serif" w:hAnsi="Times New Roman;Times;serif"/>
          <w:sz w:val="20"/>
        </w:rPr>
        <w:t xml:space="preserve">February 28, 2029 </w:t>
      </w:r>
      <w:r>
        <w:rPr>
          <w:rFonts w:ascii="Times New Roman;Times;serif" w:hAnsi="Times New Roman;Times;serif"/>
          <w:sz w:val="20"/>
        </w:rPr>
        <w:t xml:space="preserve">and a renewal option for </w:t>
      </w:r>
      <w:r>
        <w:rPr>
          <w:rStyle w:val="Emphasis"/>
          <w:rFonts w:ascii="Times New Roman;Times;serif" w:hAnsi="Times New Roman;Times;serif"/>
          <w:sz w:val="20"/>
        </w:rPr>
        <w:t>one</w:t>
      </w:r>
      <w:r>
        <w:rPr>
          <w:rFonts w:ascii="Times New Roman;Times;serif" w:hAnsi="Times New Roman;Times;serif"/>
          <w:sz w:val="20"/>
        </w:rPr>
        <w:t xml:space="preserve"> additional 60 month term. The lease calls for monthly rental payments that adjust on an annual basis. The monthly rental payment in place at </w:t>
      </w:r>
      <w:r>
        <w:rPr>
          <w:rStyle w:val="Emphasis"/>
          <w:rFonts w:ascii="Times New Roman;Times;serif" w:hAnsi="Times New Roman;Times;serif"/>
          <w:sz w:val="20"/>
        </w:rPr>
        <w:t>June 30, 2025</w:t>
      </w:r>
      <w:r>
        <w:rPr>
          <w:rFonts w:ascii="Times New Roman;Times;serif" w:hAnsi="Times New Roman;Times;serif"/>
          <w:sz w:val="20"/>
        </w:rPr>
        <w:t xml:space="preserve"> and remaining in place until adjustment in </w:t>
      </w:r>
      <w:r>
        <w:rPr>
          <w:rStyle w:val="Emphasis"/>
          <w:rFonts w:ascii="Times New Roman;Times;serif" w:hAnsi="Times New Roman;Times;serif"/>
          <w:sz w:val="20"/>
        </w:rPr>
        <w:t>March 2026 </w:t>
      </w:r>
      <w:r>
        <w:rPr>
          <w:rFonts w:ascii="Times New Roman;Times;serif" w:hAnsi="Times New Roman;Times;serif"/>
          <w:sz w:val="20"/>
        </w:rPr>
        <w:t xml:space="preserve">is approximately $12,000 per month. The Company’s lease of its office space in Longview, Texas is the only other operating lease included in the Company's ROU assets and lease liabilities. This lease expires on </w:t>
      </w:r>
      <w:r>
        <w:rPr>
          <w:rStyle w:val="Emphasis"/>
          <w:rFonts w:ascii="Times New Roman;Times;serif" w:hAnsi="Times New Roman;Times;serif"/>
          <w:sz w:val="20"/>
        </w:rPr>
        <w:t xml:space="preserve">April 30, 2027 </w:t>
      </w:r>
      <w:r>
        <w:rPr>
          <w:rFonts w:ascii="Times New Roman;Times;serif" w:hAnsi="Times New Roman;Times;serif"/>
          <w:sz w:val="20"/>
        </w:rPr>
        <w:t>and calls for monthly rental payments of approximately $5,000. The Company’s other operating leases for items such as IT equipment and storage space are either short-term in nature or immaterial. The Company does not have any finance leases in place.</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components of expense related to leases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are as follows (in thousands):</w:t>
      </w:r>
    </w:p>
    <w:p>
      <w:pPr>
        <w:pStyle w:val="TextBody"/>
        <w:bidi w:val="0"/>
        <w:spacing w:before="0" w:after="0"/>
        <w:ind w:left="0" w:right="0" w:firstLine="490"/>
        <w:jc w:val="both"/>
        <w:rPr/>
      </w:pPr>
      <w:r>
        <w:rPr/>
        <w:t> </w:t>
      </w:r>
    </w:p>
    <w:tbl>
      <w:tblPr>
        <w:tblW w:w="3861" w:type="dxa"/>
        <w:jc w:val="left"/>
        <w:tblInd w:w="0" w:type="dxa"/>
        <w:tblLayout w:type="fixed"/>
        <w:tblCellMar>
          <w:top w:w="0" w:type="dxa"/>
          <w:left w:w="0" w:type="dxa"/>
          <w:bottom w:w="0" w:type="dxa"/>
          <w:right w:w="0" w:type="dxa"/>
        </w:tblCellMar>
      </w:tblPr>
      <w:tblGrid>
        <w:gridCol w:w="1985"/>
        <w:gridCol w:w="60"/>
        <w:gridCol w:w="235"/>
        <w:gridCol w:w="630"/>
        <w:gridCol w:w="112"/>
        <w:gridCol w:w="112"/>
        <w:gridCol w:w="235"/>
        <w:gridCol w:w="432"/>
        <w:gridCol w:w="60"/>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illustrates the balance sheet classification for ROU assets and lease liabilities as of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March 31, 2025</w:t>
      </w:r>
      <w:r>
        <w:rPr>
          <w:rFonts w:ascii="Times New Roman;Times;serif" w:hAnsi="Times New Roman;Times;serif"/>
          <w:sz w:val="20"/>
        </w:rPr>
        <w:t> (in thousands):</w:t>
      </w:r>
    </w:p>
    <w:p>
      <w:pPr>
        <w:pStyle w:val="TextBody"/>
        <w:bidi w:val="0"/>
        <w:spacing w:before="0" w:after="0"/>
        <w:ind w:left="0" w:right="0" w:firstLine="490"/>
        <w:jc w:val="both"/>
        <w:rPr/>
      </w:pPr>
      <w:r>
        <w:rPr/>
        <w:t> </w:t>
      </w:r>
    </w:p>
    <w:tbl>
      <w:tblPr>
        <w:tblW w:w="8568" w:type="dxa"/>
        <w:jc w:val="left"/>
        <w:tblInd w:w="0" w:type="dxa"/>
        <w:tblLayout w:type="fixed"/>
        <w:tblCellMar>
          <w:top w:w="0" w:type="dxa"/>
          <w:left w:w="0" w:type="dxa"/>
          <w:bottom w:w="0" w:type="dxa"/>
          <w:right w:w="0" w:type="dxa"/>
        </w:tblCellMar>
      </w:tblPr>
      <w:tblGrid>
        <w:gridCol w:w="3020"/>
        <w:gridCol w:w="60"/>
        <w:gridCol w:w="243"/>
        <w:gridCol w:w="946"/>
        <w:gridCol w:w="60"/>
        <w:gridCol w:w="60"/>
        <w:gridCol w:w="274"/>
        <w:gridCol w:w="1065"/>
        <w:gridCol w:w="60"/>
        <w:gridCol w:w="278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 Classification</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2,841</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Operating lease right-of-use asset</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2,841</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rStyle w:val="Emphasis"/>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60" w:type="dxa"/>
            <w:tcBorders/>
            <w:shd w:fill="CCEEFF" w:val="clear"/>
            <w:vAlign w:val="center"/>
          </w:tcPr>
          <w:p>
            <w:pPr>
              <w:pStyle w:val="TableContents"/>
              <w:bidi w:val="0"/>
              <w:spacing w:before="0" w:after="283"/>
              <w:ind w:left="0" w:right="0" w:hanging="0"/>
              <w:jc w:val="left"/>
              <w:rPr/>
            </w:pPr>
            <w:r>
              <w:rPr/>
              <w:t> </w:t>
            </w:r>
          </w:p>
        </w:tc>
        <w:tc>
          <w:tcPr>
            <w:tcW w:w="278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Accrued expenses</w:t>
            </w:r>
          </w:p>
        </w:tc>
      </w:tr>
      <w:tr>
        <w:trPr/>
        <w:tc>
          <w:tcPr>
            <w:tcW w:w="30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2,752</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Non-current lease liabilities</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2,912</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2025</w:t>
      </w:r>
      <w:r>
        <w:rPr>
          <w:rFonts w:ascii="Times New Roman;Times;serif" w:hAnsi="Times New Roman;Times;serif"/>
          <w:sz w:val="20"/>
        </w:rPr>
        <w:t>, the weighted-average remaining lease term was 19.3 years for operating leases. The weighted average discount rate was 7.5% for operating leases</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Maturities of lease liabilities as of </w:t>
      </w:r>
      <w:r>
        <w:rPr>
          <w:rStyle w:val="Emphasis"/>
          <w:rFonts w:ascii="Times New Roman;Times;serif" w:hAnsi="Times New Roman;Times;serif"/>
          <w:sz w:val="20"/>
        </w:rPr>
        <w:t>June 30, 2025</w:t>
      </w:r>
      <w:r>
        <w:rPr>
          <w:rFonts w:ascii="Times New Roman;Times;serif" w:hAnsi="Times New Roman;Times;serif"/>
          <w:sz w:val="20"/>
        </w:rPr>
        <w:t xml:space="preserve"> were as follows (in thousands):</w:t>
      </w:r>
    </w:p>
    <w:p>
      <w:pPr>
        <w:pStyle w:val="TextBody"/>
        <w:bidi w:val="0"/>
        <w:spacing w:before="0" w:after="0"/>
        <w:ind w:left="0" w:right="0" w:firstLine="490"/>
        <w:jc w:val="both"/>
        <w:rPr/>
      </w:pPr>
      <w:r>
        <w:rPr/>
        <w:t> </w:t>
      </w:r>
    </w:p>
    <w:tbl>
      <w:tblPr>
        <w:tblW w:w="4619" w:type="dxa"/>
        <w:jc w:val="left"/>
        <w:tblInd w:w="0" w:type="dxa"/>
        <w:tblLayout w:type="fixed"/>
        <w:tblCellMar>
          <w:top w:w="0" w:type="dxa"/>
          <w:left w:w="0" w:type="dxa"/>
          <w:bottom w:w="0" w:type="dxa"/>
          <w:right w:w="0" w:type="dxa"/>
        </w:tblCellMar>
      </w:tblPr>
      <w:tblGrid>
        <w:gridCol w:w="3020"/>
        <w:gridCol w:w="60"/>
        <w:gridCol w:w="271"/>
        <w:gridCol w:w="1188"/>
        <w:gridCol w:w="8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2026 (remainder of fiscal year)</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2028</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2029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2030 and beyond</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4,740</w:t>
            </w:r>
          </w:p>
        </w:tc>
        <w:tc>
          <w:tcPr>
            <w:tcW w:w="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w:t>
            </w:r>
          </w:p>
        </w:tc>
        <w:tc>
          <w:tcPr>
            <w:tcW w:w="8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6</w:t>
      </w:r>
      <w:r>
        <w:rPr>
          <w:rFonts w:ascii="Times New Roman;Times;serif" w:hAnsi="Times New Roman;Times;serif"/>
          <w:sz w:val="20"/>
        </w:rPr>
        <w:t> — PROPERTY, PLANT AND EQUIPMENT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At </w:t>
      </w:r>
      <w:r>
        <w:rPr>
          <w:rStyle w:val="Emphasis"/>
          <w:rFonts w:ascii="Times New Roman;Times;serif" w:hAnsi="Times New Roman;Times;serif"/>
          <w:sz w:val="20"/>
        </w:rPr>
        <w:t>June 30, 2025</w:t>
      </w:r>
      <w:r>
        <w:rPr>
          <w:rFonts w:ascii="Times New Roman;Times;serif" w:hAnsi="Times New Roman;Times;serif"/>
          <w:sz w:val="20"/>
        </w:rPr>
        <w:t>, the Company's construction in process balance of approximately $0.7 million consisted of several smaller projects among our facilities.</w:t>
      </w:r>
    </w:p>
    <w:p>
      <w:pPr>
        <w:pStyle w:val="TextBody"/>
        <w:bidi w:val="0"/>
        <w:spacing w:before="0" w:after="0"/>
        <w:ind w:left="0" w:right="0" w:firstLine="54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7</w:t>
      </w:r>
      <w:r>
        <w:rPr>
          <w:rFonts w:ascii="Times New Roman;Times;serif" w:hAnsi="Times New Roman;Times;serif"/>
          <w:sz w:val="20"/>
        </w:rPr>
        <w:t> — STOCK BASED COMPENSATION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maintains the Friedman Industries, Incorporated </w:t>
      </w:r>
      <w:r>
        <w:rPr>
          <w:rStyle w:val="Emphasis"/>
          <w:rFonts w:ascii="Times New Roman;Times;serif" w:hAnsi="Times New Roman;Times;serif"/>
          <w:sz w:val="20"/>
        </w:rPr>
        <w:t>2016</w:t>
      </w:r>
      <w:r>
        <w:rPr>
          <w:rFonts w:ascii="Times New Roman;Times;serif" w:hAnsi="Times New Roman;Times;serif"/>
          <w:sz w:val="20"/>
        </w:rPr>
        <w:t xml:space="preserve">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w:t>
      </w:r>
      <w:r>
        <w:rPr>
          <w:rStyle w:val="Emphasis"/>
          <w:rFonts w:ascii="Times New Roman;Times;serif" w:hAnsi="Times New Roman;Times;serif"/>
          <w:sz w:val="20"/>
        </w:rPr>
        <w:t xml:space="preserve">may, </w:t>
      </w:r>
      <w:r>
        <w:rPr>
          <w:rFonts w:ascii="Times New Roman;Times;serif" w:hAnsi="Times New Roman;Times;serif"/>
          <w:sz w:val="20"/>
        </w:rPr>
        <w:t>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summarizes the activity related to restricted stock awards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w:t>
      </w:r>
    </w:p>
    <w:p>
      <w:pPr>
        <w:pStyle w:val="TextBody"/>
        <w:bidi w:val="0"/>
        <w:spacing w:before="0" w:after="0"/>
        <w:ind w:left="0" w:right="0" w:firstLine="490"/>
        <w:jc w:val="both"/>
        <w:rPr/>
      </w:pPr>
      <w:r>
        <w:rPr/>
        <w:t> </w:t>
      </w:r>
    </w:p>
    <w:tbl>
      <w:tblPr>
        <w:tblW w:w="6813" w:type="dxa"/>
        <w:jc w:val="left"/>
        <w:tblInd w:w="0" w:type="dxa"/>
        <w:tblLayout w:type="fixed"/>
        <w:tblCellMar>
          <w:top w:w="0" w:type="dxa"/>
          <w:left w:w="0" w:type="dxa"/>
          <w:bottom w:w="0" w:type="dxa"/>
          <w:right w:w="0" w:type="dxa"/>
        </w:tblCellMar>
      </w:tblPr>
      <w:tblGrid>
        <w:gridCol w:w="2315"/>
        <w:gridCol w:w="60"/>
        <w:gridCol w:w="125"/>
        <w:gridCol w:w="1364"/>
        <w:gridCol w:w="80"/>
        <w:gridCol w:w="60"/>
        <w:gridCol w:w="562"/>
        <w:gridCol w:w="2187"/>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Grant Date Fair Value Per Share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March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21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ind w:left="0" w:right="0" w:hanging="0"/>
              <w:jc w:val="left"/>
              <w:rPr/>
            </w:pPr>
            <w:r>
              <w:rPr/>
              <w:t> </w:t>
            </w:r>
          </w:p>
        </w:tc>
        <w:tc>
          <w:tcPr>
            <w:tcW w:w="2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June 30,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measures compensation expense for restricted stock awards at the market price of the common stock as of the grant date. Compensation expense for awards with time based restrictions is recognized over the requisite service period applicable to each award. Compensation expense for awards with performance based restrictions is recognized once it is probable the performance conditions will be satisfied with a cumulative effect adjustment and the remaining expense recognized over the remaining service period. The stock awards granted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2025 </w:t>
      </w:r>
      <w:r>
        <w:rPr>
          <w:rFonts w:ascii="Times New Roman;Times;serif" w:hAnsi="Times New Roman;Times;serif"/>
          <w:sz w:val="20"/>
        </w:rPr>
        <w:t xml:space="preserve">consist of 53,221 time restricted shares with annual ratable vesting over a three year period and 36,313 performance restricted shares with vesting thresholds dependent on the percentage of average earnings before tax to average accounts receivable, inventory and net PP&amp;E over a </w:t>
      </w:r>
      <w:r>
        <w:rPr>
          <w:rStyle w:val="Emphasis"/>
          <w:rFonts w:ascii="Times New Roman;Times;serif" w:hAnsi="Times New Roman;Times;serif"/>
          <w:sz w:val="20"/>
        </w:rPr>
        <w:t>three</w:t>
      </w:r>
      <w:r>
        <w:rPr>
          <w:rFonts w:ascii="Times New Roman;Times;serif" w:hAnsi="Times New Roman;Times;serif"/>
          <w:sz w:val="20"/>
        </w:rPr>
        <w:t xml:space="preserve"> year period. The Company recorded compensation expen</w:t>
      </w:r>
      <w:r>
        <w:rPr>
          <w:rFonts w:ascii="Times New Roman;Times;serif" w:hAnsi="Times New Roman;Times;serif"/>
          <w:sz w:val="20"/>
          <w:shd w:fill="FFFFFF" w:val="clear"/>
        </w:rPr>
        <w:t xml:space="preserve">se of approximately </w:t>
      </w:r>
      <w:r>
        <w:rPr>
          <w:rFonts w:ascii="Times New Roman;Times;serif" w:hAnsi="Times New Roman;Times;serif"/>
          <w:sz w:val="20"/>
        </w:rPr>
        <w:t>$0.1 </w:t>
      </w:r>
      <w:r>
        <w:rPr>
          <w:rFonts w:ascii="Times New Roman;Times;serif" w:hAnsi="Times New Roman;Times;serif"/>
          <w:sz w:val="20"/>
          <w:shd w:fill="FFFFFF" w:val="clear"/>
        </w:rPr>
        <w:t>milli</w:t>
      </w:r>
      <w:r>
        <w:rPr>
          <w:rFonts w:ascii="Times New Roman;Times;serif" w:hAnsi="Times New Roman;Times;serif"/>
          <w:sz w:val="20"/>
        </w:rPr>
        <w:t xml:space="preserve">on and $0.05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respectively, relating to the restricted stock issued under the Plan. As of </w:t>
      </w:r>
      <w:r>
        <w:rPr>
          <w:rStyle w:val="Emphasis"/>
          <w:rFonts w:ascii="Times New Roman;Times;serif" w:hAnsi="Times New Roman;Times;serif"/>
          <w:sz w:val="20"/>
        </w:rPr>
        <w:t>June 30, 2025</w:t>
      </w:r>
      <w:r>
        <w:rPr>
          <w:rFonts w:ascii="Times New Roman;Times;serif" w:hAnsi="Times New Roman;Times;serif"/>
          <w:sz w:val="20"/>
        </w:rPr>
        <w:t xml:space="preserve">, unrecognized compensation expense related to unvested restricted stock was approximately $1.3 million which is expected to be recognized over a weighted average period of approximately 2.8 years. As of </w:t>
      </w:r>
      <w:r>
        <w:rPr>
          <w:rStyle w:val="Emphasis"/>
          <w:rFonts w:ascii="Times New Roman;Times;serif" w:hAnsi="Times New Roman;Times;serif"/>
          <w:sz w:val="20"/>
        </w:rPr>
        <w:t>June 30, 2025</w:t>
      </w:r>
      <w:r>
        <w:rPr>
          <w:rFonts w:ascii="Times New Roman;Times;serif" w:hAnsi="Times New Roman;Times;serif"/>
          <w:sz w:val="20"/>
        </w:rPr>
        <w:t>, a total of 24,438 shares were still available to be issued under the Plan.</w:t>
      </w:r>
    </w:p>
    <w:p>
      <w:pPr>
        <w:pStyle w:val="TextBody"/>
        <w:bidi w:val="0"/>
        <w:spacing w:before="0" w:after="0"/>
        <w:ind w:left="0" w:right="0" w:firstLine="490"/>
        <w:jc w:val="both"/>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NOTE </w:t>
      </w:r>
      <w:r>
        <w:rPr>
          <w:rStyle w:val="Emphasis"/>
          <w:rFonts w:ascii="Times New Roman" w:hAnsi="Times New Roman"/>
          <w:caps w:val="false"/>
          <w:smallCaps w:val="false"/>
          <w:sz w:val="20"/>
          <w:shd w:fill="FFFFFF" w:val="clear"/>
        </w:rPr>
        <w:t>8</w:t>
      </w:r>
      <w:r>
        <w:rPr>
          <w:rFonts w:ascii="Times New Roman" w:hAnsi="Times New Roman"/>
          <w:caps w:val="false"/>
          <w:smallCaps w:val="false"/>
          <w:sz w:val="20"/>
          <w:shd w:fill="FFFFFF" w:val="clear"/>
        </w:rPr>
        <w:t> —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From time to time, we expect to utilize hot-rolled coil futures or options to reduce our exposure to commodity price risk that is inherent in our business.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all of the Company's hedging activities were classified as economic hedges of risk with mark-to-market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The Company has forward physical purchase supply agreements in place with some of its suppliers for a portion of its monthly physical steel needs. These supply agreements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subject to mark-to-market accounting due to the Company electing the normal purchase normal sale exclusion provided in ASC </w:t>
      </w:r>
      <w:r>
        <w:rPr>
          <w:rStyle w:val="Emphasis"/>
          <w:rFonts w:ascii="Times New Roman" w:hAnsi="Times New Roman"/>
          <w:caps w:val="false"/>
          <w:smallCaps w:val="false"/>
          <w:sz w:val="20"/>
          <w:shd w:fill="FFFFFF" w:val="clear"/>
        </w:rPr>
        <w:t>815.</w:t>
      </w:r>
      <w:r>
        <w:rPr>
          <w:rFonts w:ascii="Times New Roman" w:hAnsi="Times New Roman"/>
          <w:caps w:val="false"/>
          <w:smallCaps w:val="false"/>
          <w:sz w:val="20"/>
          <w:shd w:fill="FFFFFF" w:val="clea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hot-rolled coil futures contracts designated as hedging instruments and classified as cash flow or fair value hedges.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June 30, 2025</w:t>
      </w:r>
      <w:r>
        <w:rPr>
          <w:rFonts w:ascii="Times New Roman" w:hAnsi="Times New Roman"/>
          <w:caps w:val="false"/>
          <w:smallCaps w:val="false"/>
          <w:sz w:val="20"/>
          <w:shd w:fill="FFFFFF" w:val="clear"/>
        </w:rPr>
        <w:t> (in thousands):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7"/>
        <w:gridCol w:w="2379"/>
        <w:gridCol w:w="60"/>
        <w:gridCol w:w="222"/>
        <w:gridCol w:w="601"/>
        <w:gridCol w:w="60"/>
        <w:gridCol w:w="2511"/>
        <w:gridCol w:w="60"/>
        <w:gridCol w:w="289"/>
        <w:gridCol w:w="534"/>
        <w:gridCol w:w="62"/>
      </w:tblGrid>
      <w:tr>
        <w:trPr/>
        <w:tc>
          <w:tcPr>
            <w:tcW w:w="3427" w:type="dxa"/>
            <w:tcBorders/>
            <w:shd w:fill="FFFFFF" w:val="clear"/>
            <w:vAlign w:val="center"/>
          </w:tcPr>
          <w:p>
            <w:pPr>
              <w:pStyle w:val="TableContents"/>
              <w:bidi w:val="0"/>
              <w:spacing w:before="0" w:after="283"/>
              <w:ind w:left="0" w:right="0" w:hanging="0"/>
              <w:jc w:val="left"/>
              <w:rPr/>
            </w:pPr>
            <w:r>
              <w:rPr/>
              <w:t> </w:t>
            </w:r>
          </w:p>
        </w:tc>
        <w:tc>
          <w:tcPr>
            <w:tcW w:w="326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394"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Liability Derivatives</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FFFFFF" w:val="clear"/>
            <w:vAlign w:val="center"/>
          </w:tcPr>
          <w:p>
            <w:pPr>
              <w:pStyle w:val="TableContents"/>
              <w:bidi w:val="0"/>
              <w:spacing w:before="0" w:after="283"/>
              <w:ind w:left="0" w:right="0" w:hanging="0"/>
              <w:jc w:val="left"/>
              <w:rPr/>
            </w:pPr>
            <w:r>
              <w:rPr/>
              <w:t> </w:t>
            </w:r>
          </w:p>
        </w:tc>
        <w:tc>
          <w:tcPr>
            <w:tcW w:w="2379"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1"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not designated as hedging instruments:</w:t>
            </w:r>
          </w:p>
        </w:tc>
        <w:tc>
          <w:tcPr>
            <w:tcW w:w="237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5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Hot-rolled coil steel contracts</w:t>
            </w:r>
          </w:p>
        </w:tc>
        <w:tc>
          <w:tcPr>
            <w:tcW w:w="2379"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60" w:type="dxa"/>
            <w:tcBorders/>
            <w:shd w:fill="CCEEFF" w:val="clear"/>
            <w:vAlign w:val="center"/>
          </w:tcPr>
          <w:p>
            <w:pPr>
              <w:pStyle w:val="TableContents"/>
              <w:bidi w:val="0"/>
              <w:spacing w:before="0" w:after="283"/>
              <w:ind w:left="0" w:right="0" w:hanging="0"/>
              <w:jc w:val="left"/>
              <w:rPr/>
            </w:pPr>
            <w:r>
              <w:rPr/>
              <w:t> </w:t>
            </w:r>
          </w:p>
        </w:tc>
        <w:tc>
          <w:tcPr>
            <w:tcW w:w="2511"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derivative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March 31, 2025</w:t>
      </w:r>
      <w:r>
        <w:rPr>
          <w:rFonts w:ascii="Times New Roman" w:hAnsi="Times New Roman"/>
          <w:caps w:val="false"/>
          <w:smallCaps w:val="false"/>
          <w:sz w:val="20"/>
          <w:shd w:fill="FFFFFF" w:val="clear"/>
        </w:rPr>
        <w:t> (in thousands):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7"/>
        <w:gridCol w:w="2379"/>
        <w:gridCol w:w="60"/>
        <w:gridCol w:w="222"/>
        <w:gridCol w:w="601"/>
        <w:gridCol w:w="60"/>
        <w:gridCol w:w="2511"/>
        <w:gridCol w:w="60"/>
        <w:gridCol w:w="222"/>
        <w:gridCol w:w="601"/>
        <w:gridCol w:w="62"/>
      </w:tblGrid>
      <w:tr>
        <w:trPr/>
        <w:tc>
          <w:tcPr>
            <w:tcW w:w="3427" w:type="dxa"/>
            <w:tcBorders/>
            <w:shd w:fill="FFFFFF" w:val="clear"/>
            <w:vAlign w:val="center"/>
          </w:tcPr>
          <w:p>
            <w:pPr>
              <w:pStyle w:val="TableContents"/>
              <w:bidi w:val="0"/>
              <w:spacing w:before="0" w:after="283"/>
              <w:ind w:left="0" w:right="0" w:hanging="0"/>
              <w:jc w:val="left"/>
              <w:rPr/>
            </w:pPr>
            <w:r>
              <w:rPr/>
              <w:t> </w:t>
            </w:r>
          </w:p>
        </w:tc>
        <w:tc>
          <w:tcPr>
            <w:tcW w:w="326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394"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Liability Derivatives</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FFFFFF" w:val="clear"/>
            <w:vAlign w:val="center"/>
          </w:tcPr>
          <w:p>
            <w:pPr>
              <w:pStyle w:val="TableContents"/>
              <w:bidi w:val="0"/>
              <w:spacing w:before="0" w:after="283"/>
              <w:ind w:left="0" w:right="0" w:hanging="0"/>
              <w:jc w:val="left"/>
              <w:rPr/>
            </w:pPr>
            <w:r>
              <w:rPr/>
              <w:t> </w:t>
            </w:r>
          </w:p>
        </w:tc>
        <w:tc>
          <w:tcPr>
            <w:tcW w:w="2379"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1"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Derivatives not designated as hedging instruments:</w:t>
            </w:r>
          </w:p>
        </w:tc>
        <w:tc>
          <w:tcPr>
            <w:tcW w:w="237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5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2379"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Current portion of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w:t>
            </w:r>
          </w:p>
        </w:tc>
        <w:tc>
          <w:tcPr>
            <w:tcW w:w="60" w:type="dxa"/>
            <w:tcBorders/>
            <w:shd w:fill="CCEEFF" w:val="clear"/>
            <w:vAlign w:val="center"/>
          </w:tcPr>
          <w:p>
            <w:pPr>
              <w:pStyle w:val="TableContents"/>
              <w:bidi w:val="0"/>
              <w:spacing w:before="0" w:after="283"/>
              <w:ind w:left="0" w:right="0" w:hanging="0"/>
              <w:jc w:val="left"/>
              <w:rPr/>
            </w:pPr>
            <w:r>
              <w:rPr/>
              <w:t> </w:t>
            </w:r>
          </w:p>
        </w:tc>
        <w:tc>
          <w:tcPr>
            <w:tcW w:w="2511"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 portion of derivative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derivatives are presented on a gross basis on the Consolidated Balance Sheets.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 the Company entered into hot-rolled coil futures contracts that were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for accounting purposes. Accordingly, the change in fair value related to these instruments was immediately recognized in earnings for these periods.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xml:space="preserve">, the Company did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 any transactions as hedging instruments for accounting purposes.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following table summarizes the </w:t>
      </w:r>
      <w:r>
        <w:rPr>
          <w:rFonts w:ascii="Times New Roman" w:hAnsi="Times New Roman"/>
          <w:caps w:val="false"/>
          <w:smallCaps w:val="false"/>
          <w:sz w:val="20"/>
        </w:rPr>
        <w:t xml:space="preserve">gain </w:t>
      </w:r>
      <w:r>
        <w:rPr>
          <w:rFonts w:ascii="Times New Roman" w:hAnsi="Times New Roman"/>
          <w:caps w:val="false"/>
          <w:smallCaps w:val="false"/>
          <w:sz w:val="20"/>
          <w:shd w:fill="FFFFFF" w:val="clear"/>
        </w:rPr>
        <w:t xml:space="preserve">recognized in earnings for derivative instruments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shd w:fill="FFFFFF" w:val="clear"/>
        </w:rPr>
        <w:t> (in thousands):</w:t>
      </w:r>
    </w:p>
    <w:p>
      <w:pPr>
        <w:pStyle w:val="TextBody"/>
        <w:bidi w:val="0"/>
        <w:spacing w:before="0" w:after="0"/>
        <w:ind w:left="0" w:right="0" w:firstLine="490"/>
        <w:jc w:val="both"/>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2420"/>
        <w:gridCol w:w="2675"/>
        <w:gridCol w:w="60"/>
        <w:gridCol w:w="665"/>
        <w:gridCol w:w="1785"/>
        <w:gridCol w:w="60"/>
      </w:tblGrid>
      <w:tr>
        <w:trPr/>
        <w:tc>
          <w:tcPr>
            <w:tcW w:w="2420" w:type="dxa"/>
            <w:tcBorders/>
            <w:shd w:fill="FFFFFF" w:val="clear"/>
            <w:vAlign w:val="center"/>
          </w:tcPr>
          <w:p>
            <w:pPr>
              <w:pStyle w:val="TableContents"/>
              <w:bidi w:val="0"/>
              <w:spacing w:before="0" w:after="283"/>
              <w:jc w:val="left"/>
              <w:rPr/>
            </w:pPr>
            <w:r>
              <w:rPr/>
              <w:t> </w:t>
            </w:r>
          </w:p>
        </w:tc>
        <w:tc>
          <w:tcPr>
            <w:tcW w:w="26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 Recognized in Earnings</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 of Gain</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267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 on economic hedges of risk</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following table summarizes the gain recognized in earnings for derivative instruments </w:t>
      </w:r>
      <w:r>
        <w:rPr>
          <w:rStyle w:val="Emphasis"/>
          <w:rFonts w:ascii="Times New Roman;Times;serif" w:hAnsi="Times New Roman;Times;serif"/>
          <w:sz w:val="20"/>
        </w:rPr>
        <w:t>not</w:t>
      </w:r>
      <w:r>
        <w:rPr>
          <w:rFonts w:ascii="Times New Roman;Times;serif" w:hAnsi="Times New Roman;Times;serif"/>
          <w:sz w:val="20"/>
        </w:rPr>
        <w:t xml:space="preserve"> designated as hedging instruments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xml:space="preserve"> </w:t>
      </w:r>
      <w:r>
        <w:rPr>
          <w:rFonts w:ascii="Times New Roman;Times;serif" w:hAnsi="Times New Roman;Times;serif"/>
          <w:sz w:val="20"/>
          <w:shd w:fill="FFFFFF" w:val="clear"/>
        </w:rPr>
        <w:t>(in thousands):</w:t>
      </w:r>
    </w:p>
    <w:p>
      <w:pPr>
        <w:pStyle w:val="TextBody"/>
        <w:bidi w:val="0"/>
        <w:spacing w:before="0" w:after="0"/>
        <w:ind w:left="0" w:right="0" w:hanging="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2420"/>
        <w:gridCol w:w="2675"/>
        <w:gridCol w:w="60"/>
        <w:gridCol w:w="500"/>
        <w:gridCol w:w="1950"/>
        <w:gridCol w:w="60"/>
      </w:tblGrid>
      <w:tr>
        <w:trPr/>
        <w:tc>
          <w:tcPr>
            <w:tcW w:w="2420" w:type="dxa"/>
            <w:tcBorders/>
            <w:shd w:fill="FFFFFF" w:val="clear"/>
            <w:vAlign w:val="center"/>
          </w:tcPr>
          <w:p>
            <w:pPr>
              <w:pStyle w:val="TableContents"/>
              <w:bidi w:val="0"/>
              <w:spacing w:before="0" w:after="283"/>
              <w:jc w:val="left"/>
              <w:rPr/>
            </w:pPr>
            <w:r>
              <w:rPr/>
              <w:t> </w:t>
            </w:r>
          </w:p>
        </w:tc>
        <w:tc>
          <w:tcPr>
            <w:tcW w:w="26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 Recognized in Earnings</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 of Gain</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267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 on economic hedges of risk</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sz w:val="20"/>
        </w:rPr>
        <w:t>The following table summarizes the Company's economic (non-designated) derivative instruments outstanding at </w:t>
      </w:r>
      <w:r>
        <w:rPr>
          <w:rStyle w:val="Emphasis"/>
          <w:rFonts w:ascii="Times New Roman;Times;serif" w:hAnsi="Times New Roman;Times;serif"/>
          <w:sz w:val="20"/>
        </w:rPr>
        <w:t xml:space="preserve"> June 30, 2025</w:t>
      </w:r>
      <w:r>
        <w:rPr>
          <w:rFonts w:ascii="Times New Roman;Times;serif" w:hAnsi="Times New Roman;Times;serif"/>
          <w:sz w:val="20"/>
        </w:rPr>
        <w:t> (in</w:t>
      </w:r>
      <w:r>
        <w:rPr>
          <w:rFonts w:ascii="Times New Roman;Times;serif" w:hAnsi="Times New Roman;Times;serif"/>
          <w:sz w:val="20"/>
          <w:shd w:fill="FFFFFF" w:val="clear"/>
        </w:rPr>
        <w:t> thousands):</w:t>
      </w:r>
    </w:p>
    <w:p>
      <w:pPr>
        <w:pStyle w:val="TextBody"/>
        <w:bidi w:val="0"/>
        <w:spacing w:before="0" w:after="0"/>
        <w:ind w:left="0" w:right="0" w:firstLine="540"/>
        <w:jc w:val="both"/>
        <w:rPr/>
      </w:pPr>
      <w:r>
        <w:rPr/>
        <w:t> </w:t>
      </w:r>
    </w:p>
    <w:tbl>
      <w:tblPr>
        <w:tblW w:w="5899" w:type="dxa"/>
        <w:jc w:val="left"/>
        <w:tblInd w:w="0" w:type="dxa"/>
        <w:tblLayout w:type="fixed"/>
        <w:tblCellMar>
          <w:top w:w="0" w:type="dxa"/>
          <w:left w:w="0" w:type="dxa"/>
          <w:bottom w:w="0" w:type="dxa"/>
          <w:right w:w="0" w:type="dxa"/>
        </w:tblCellMar>
      </w:tblPr>
      <w:tblGrid>
        <w:gridCol w:w="2435"/>
        <w:gridCol w:w="237"/>
        <w:gridCol w:w="1237"/>
        <w:gridCol w:w="80"/>
        <w:gridCol w:w="1835"/>
        <w:gridCol w:w="75"/>
      </w:tblGrid>
      <w:tr>
        <w:trPr/>
        <w:tc>
          <w:tcPr>
            <w:tcW w:w="2435" w:type="dxa"/>
            <w:tcBorders/>
            <w:vAlign w:val="center"/>
          </w:tcPr>
          <w:p>
            <w:pPr>
              <w:pStyle w:val="TableContents"/>
              <w:bidi w:val="0"/>
              <w:spacing w:before="0" w:after="283"/>
              <w:jc w:val="left"/>
              <w:rPr/>
            </w:pPr>
            <w:r>
              <w:rPr/>
              <w:t> </w:t>
            </w:r>
          </w:p>
        </w:tc>
        <w:tc>
          <w:tcPr>
            <w:tcW w:w="14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Notional Amount</w:t>
            </w:r>
          </w:p>
        </w:tc>
        <w:tc>
          <w:tcPr>
            <w:tcW w:w="80" w:type="dxa"/>
            <w:tcBorders/>
            <w:vAlign w:val="center"/>
          </w:tcPr>
          <w:p>
            <w:pPr>
              <w:pStyle w:val="TableContents"/>
              <w:bidi w:val="0"/>
              <w:spacing w:before="0" w:after="283"/>
              <w:jc w:val="left"/>
              <w:rPr/>
            </w:pPr>
            <w:r>
              <w:rPr/>
              <w:t> </w:t>
            </w:r>
          </w:p>
        </w:tc>
        <w:tc>
          <w:tcPr>
            <w:tcW w:w="183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Maturity Date</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Hot-rolled coil steel contracts</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5"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July 2025 - June 2026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ind w:left="0" w:right="0" w:firstLine="540"/>
        <w:jc w:val="left"/>
        <w:rPr/>
      </w:pPr>
      <w:r>
        <w:rPr>
          <w:rFonts w:ascii="Times New Roman;Times;serif" w:hAnsi="Times New Roman;Times;serif"/>
          <w:sz w:val="20"/>
        </w:rPr>
        <w:t xml:space="preserve">The following table summarizes the Company's economic (non-designated) derivative instruments outstanding at  </w:t>
      </w:r>
      <w:r>
        <w:rPr>
          <w:rStyle w:val="Emphasis"/>
          <w:rFonts w:ascii="Times New Roman;Times;serif" w:hAnsi="Times New Roman;Times;serif"/>
          <w:sz w:val="20"/>
        </w:rPr>
        <w:t>March 31, 2025</w:t>
      </w:r>
      <w:r>
        <w:rPr>
          <w:rFonts w:ascii="Times New Roman;Times;serif" w:hAnsi="Times New Roman;Times;serif"/>
          <w:sz w:val="20"/>
        </w:rPr>
        <w:t xml:space="preserve">  (in </w:t>
      </w:r>
      <w:r>
        <w:rPr>
          <w:rFonts w:ascii="Times New Roman;Times;serif" w:hAnsi="Times New Roman;Times;serif"/>
          <w:sz w:val="20"/>
          <w:shd w:fill="FFFFFF" w:val="clear"/>
        </w:rPr>
        <w:t> thousands):</w:t>
      </w:r>
      <w:r>
        <w:rPr>
          <w:rFonts w:ascii="Times New Roman;Times;serif" w:hAnsi="Times New Roman;Times;serif"/>
          <w:sz w:val="20"/>
        </w:rPr>
        <w:t xml:space="preserve"> </w:t>
      </w:r>
    </w:p>
    <w:p>
      <w:pPr>
        <w:pStyle w:val="TextBody"/>
        <w:bidi w:val="0"/>
        <w:spacing w:before="0" w:after="0"/>
        <w:ind w:left="0" w:right="0" w:firstLine="540"/>
        <w:jc w:val="both"/>
        <w:rPr/>
      </w:pPr>
      <w:r>
        <w:rPr/>
        <w:t> </w:t>
      </w:r>
    </w:p>
    <w:tbl>
      <w:tblPr>
        <w:tblW w:w="6529" w:type="dxa"/>
        <w:jc w:val="left"/>
        <w:tblInd w:w="0" w:type="dxa"/>
        <w:tblLayout w:type="fixed"/>
        <w:tblCellMar>
          <w:top w:w="0" w:type="dxa"/>
          <w:left w:w="0" w:type="dxa"/>
          <w:bottom w:w="0" w:type="dxa"/>
          <w:right w:w="0" w:type="dxa"/>
        </w:tblCellMar>
      </w:tblPr>
      <w:tblGrid>
        <w:gridCol w:w="2480"/>
        <w:gridCol w:w="329"/>
        <w:gridCol w:w="1190"/>
        <w:gridCol w:w="80"/>
        <w:gridCol w:w="2375"/>
        <w:gridCol w:w="75"/>
      </w:tblGrid>
      <w:tr>
        <w:trPr/>
        <w:tc>
          <w:tcPr>
            <w:tcW w:w="2480" w:type="dxa"/>
            <w:tcBorders/>
            <w:vAlign w:val="center"/>
          </w:tcPr>
          <w:p>
            <w:pPr>
              <w:pStyle w:val="TableContents"/>
              <w:bidi w:val="0"/>
              <w:spacing w:before="0" w:after="283"/>
              <w:jc w:val="left"/>
              <w:rPr/>
            </w:pPr>
            <w:r>
              <w:rPr/>
              <w:t> </w:t>
            </w:r>
          </w:p>
        </w:tc>
        <w:tc>
          <w:tcPr>
            <w:tcW w:w="1519" w:type="dxa"/>
            <w:gridSpan w:val="2"/>
            <w:tcBorders>
              <w:bottom w:val="single" w:sz="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Notional Amount</w:t>
            </w:r>
            <w:r>
              <w:rPr>
                <w:rFonts w:ascii="Times New Roman;Times;serif" w:hAnsi="Times New Roman;Times;serif"/>
                <w:sz w:val="20"/>
              </w:rPr>
              <w:t xml:space="preserve"> </w:t>
            </w:r>
          </w:p>
        </w:tc>
        <w:tc>
          <w:tcPr>
            <w:tcW w:w="8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Maturity Date</w:t>
            </w:r>
            <w:r>
              <w:rPr>
                <w:rFonts w:ascii="Times New Roman;Times;serif" w:hAnsi="Times New Roman;Times;serif"/>
                <w:sz w:val="20"/>
              </w:rPr>
              <w:t xml:space="preserve">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Hot-rolled coil steel contracts </w:t>
            </w:r>
          </w:p>
        </w:tc>
        <w:tc>
          <w:tcPr>
            <w:tcW w:w="32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75" w:type="dxa"/>
            <w:tcBorders/>
            <w:shd w:fill="CCEEFF" w:val="clear"/>
            <w:vAlign w:val="center"/>
          </w:tcPr>
          <w:p>
            <w:pPr>
              <w:pStyle w:val="TableContents"/>
              <w:bidi w:val="0"/>
              <w:spacing w:before="0" w:after="0"/>
              <w:jc w:val="center"/>
              <w:rPr/>
            </w:pPr>
            <w:r>
              <w:rPr>
                <w:rStyle w:val="Emphasis"/>
                <w:rFonts w:ascii="Times New Roman;Times;serif" w:hAnsi="Times New Roman;Times;serif"/>
                <w:sz w:val="20"/>
              </w:rPr>
              <w:t>April 2025 - December 2025</w:t>
            </w:r>
            <w:r>
              <w:rPr>
                <w:rFonts w:ascii="Times New Roman;Times;serif" w:hAnsi="Times New Roman;Times;serif"/>
                <w:sz w:val="20"/>
              </w:rPr>
              <w:t xml:space="preserve">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cash of approximately $0.8 million and $0.5 million, respectively, was held by our clearing agent to collateralize our open derivative positions. These cash requirements are included in "Other current assets" on the Company's Consolidated Balance Sheets at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9</w:t>
      </w:r>
      <w:r>
        <w:rPr>
          <w:rFonts w:ascii="Times New Roman;Times;serif" w:hAnsi="Times New Roman;Times;serif"/>
          <w:sz w:val="20"/>
        </w:rPr>
        <w:t> — FAIR VALUE MEASUREMENTS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pStyle w:val="TextBody"/>
        <w:bidi w:val="0"/>
        <w:spacing w:before="0" w:after="0"/>
        <w:ind w:left="0" w:right="0" w:hanging="0"/>
        <w:jc w:val="left"/>
        <w:rPr/>
      </w:pPr>
      <w:r>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140"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1</w:t>
            </w:r>
            <w:r>
              <w:rPr>
                <w:rFonts w:ascii="Times New Roman;Times;serif" w:hAnsi="Times New Roman;Times;serif"/>
                <w:sz w:val="20"/>
              </w:rPr>
              <w:t xml:space="preserve"> – Quoted prices for identical assets and liabilities in active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2</w:t>
            </w:r>
            <w:r>
              <w:rPr>
                <w:rFonts w:ascii="Times New Roman;Times;serif" w:hAnsi="Times New Roman;Times;serif"/>
                <w:sz w:val="20"/>
              </w:rPr>
              <w:t xml:space="preserve"> – Inputs other than quoted prices included within Level </w:t>
            </w:r>
            <w:r>
              <w:rPr>
                <w:rStyle w:val="Emphasis"/>
                <w:rFonts w:ascii="Times New Roman;Times;serif" w:hAnsi="Times New Roman;Times;serif"/>
                <w:sz w:val="20"/>
              </w:rPr>
              <w:t>1</w:t>
            </w:r>
            <w:r>
              <w:rPr>
                <w:rFonts w:ascii="Times New Roman;Times;serif" w:hAnsi="Times New Roman;Times;serif"/>
                <w:sz w:val="20"/>
              </w:rPr>
              <w:t xml:space="preserve"> that are observable for the assets and liabilities, either directly or indirectly.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3</w:t>
            </w:r>
            <w:r>
              <w:rPr>
                <w:rFonts w:ascii="Times New Roman;Times;serif" w:hAnsi="Times New Roman;Times;serif"/>
                <w:sz w:val="20"/>
              </w:rPr>
              <w:t xml:space="preserve"> – Unobservable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activity and that are significant to the fair value of the assets and liabilities.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Recurring Fair Value Measurements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At </w:t>
      </w:r>
      <w:r>
        <w:rPr>
          <w:rStyle w:val="Emphasis"/>
          <w:rFonts w:ascii="Times New Roman;Times;serif" w:hAnsi="Times New Roman;Times;serif"/>
          <w:sz w:val="20"/>
        </w:rPr>
        <w:t xml:space="preserve"> June 30, 2025</w:t>
      </w:r>
      <w:r>
        <w:rPr>
          <w:rFonts w:ascii="Times New Roman;Times;serif" w:hAnsi="Times New Roman;Times;serif"/>
          <w:sz w:val="20"/>
        </w:rPr>
        <w:t>, our financial assets, net, measured at fair value on a recurring basis were as follows (in thousands):</w:t>
      </w:r>
    </w:p>
    <w:p>
      <w:pPr>
        <w:pStyle w:val="TextBody"/>
        <w:bidi w:val="0"/>
        <w:spacing w:before="0" w:after="0"/>
        <w:ind w:left="0" w:right="0" w:firstLine="490"/>
        <w:jc w:val="both"/>
        <w:rPr/>
      </w:pPr>
      <w:r>
        <w:rPr/>
        <w:t> </w:t>
      </w:r>
    </w:p>
    <w:tbl>
      <w:tblPr>
        <w:tblW w:w="7599" w:type="dxa"/>
        <w:jc w:val="left"/>
        <w:tblInd w:w="0" w:type="dxa"/>
        <w:tblLayout w:type="fixed"/>
        <w:tblCellMar>
          <w:top w:w="0" w:type="dxa"/>
          <w:left w:w="0" w:type="dxa"/>
          <w:bottom w:w="0" w:type="dxa"/>
          <w:right w:w="0" w:type="dxa"/>
        </w:tblCellMar>
      </w:tblPr>
      <w:tblGrid>
        <w:gridCol w:w="3365"/>
        <w:gridCol w:w="60"/>
        <w:gridCol w:w="318"/>
        <w:gridCol w:w="856"/>
        <w:gridCol w:w="60"/>
        <w:gridCol w:w="60"/>
        <w:gridCol w:w="307"/>
        <w:gridCol w:w="643"/>
        <w:gridCol w:w="60"/>
        <w:gridCol w:w="60"/>
        <w:gridCol w:w="375"/>
        <w:gridCol w:w="785"/>
        <w:gridCol w:w="60"/>
        <w:gridCol w:w="60"/>
        <w:gridCol w:w="127"/>
        <w:gridCol w:w="343"/>
        <w:gridCol w:w="6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futures – financial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6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At </w:t>
      </w:r>
      <w:r>
        <w:rPr>
          <w:rStyle w:val="Emphasis"/>
          <w:rFonts w:ascii="Times New Roman;Times;serif" w:hAnsi="Times New Roman;Times;serif"/>
          <w:sz w:val="20"/>
        </w:rPr>
        <w:t xml:space="preserve"> March 31, 2025</w:t>
      </w:r>
      <w:r>
        <w:rPr>
          <w:rFonts w:ascii="Times New Roman;Times;serif" w:hAnsi="Times New Roman;Times;serif"/>
          <w:sz w:val="20"/>
        </w:rPr>
        <w:t>, our financial assets, net, measured at fair value on a recurring basis were as follows (in thousands):</w:t>
      </w:r>
    </w:p>
    <w:p>
      <w:pPr>
        <w:pStyle w:val="TextBody"/>
        <w:bidi w:val="0"/>
        <w:spacing w:before="0" w:after="0"/>
        <w:ind w:left="0" w:right="0" w:firstLine="490"/>
        <w:jc w:val="both"/>
        <w:rPr/>
      </w:pPr>
      <w:r>
        <w:rPr/>
        <w:t> </w:t>
      </w:r>
    </w:p>
    <w:tbl>
      <w:tblPr>
        <w:tblW w:w="7599" w:type="dxa"/>
        <w:jc w:val="left"/>
        <w:tblInd w:w="0" w:type="dxa"/>
        <w:tblLayout w:type="fixed"/>
        <w:tblCellMar>
          <w:top w:w="0" w:type="dxa"/>
          <w:left w:w="0" w:type="dxa"/>
          <w:bottom w:w="0" w:type="dxa"/>
          <w:right w:w="0" w:type="dxa"/>
        </w:tblCellMar>
      </w:tblPr>
      <w:tblGrid>
        <w:gridCol w:w="3365"/>
        <w:gridCol w:w="60"/>
        <w:gridCol w:w="318"/>
        <w:gridCol w:w="856"/>
        <w:gridCol w:w="60"/>
        <w:gridCol w:w="60"/>
        <w:gridCol w:w="307"/>
        <w:gridCol w:w="643"/>
        <w:gridCol w:w="60"/>
        <w:gridCol w:w="60"/>
        <w:gridCol w:w="375"/>
        <w:gridCol w:w="785"/>
        <w:gridCol w:w="60"/>
        <w:gridCol w:w="60"/>
        <w:gridCol w:w="127"/>
        <w:gridCol w:w="343"/>
        <w:gridCol w:w="6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Commodity futures – financial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6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0"/>
        <w:ind w:left="540" w:right="0" w:hanging="0"/>
        <w:jc w:val="both"/>
        <w:rPr/>
      </w:pPr>
      <w:r>
        <w:rPr>
          <w:rFonts w:ascii="Times New Roman;Times;serif" w:hAnsi="Times New Roman;Times;serif"/>
          <w:sz w:val="20"/>
          <w:shd w:fill="FFFFFF" w:val="clear"/>
        </w:rPr>
        <w:t>At </w:t>
      </w:r>
      <w:r>
        <w:rPr>
          <w:rStyle w:val="Emphasis"/>
          <w:rFonts w:ascii="Times New Roman;Times;serif" w:hAnsi="Times New Roman;Times;serif"/>
          <w:sz w:val="20"/>
        </w:rPr>
        <w:t xml:space="preserve"> June 30, 2025</w:t>
      </w:r>
      <w:r>
        <w:rPr>
          <w:rFonts w:ascii="Times New Roman;Times;serif" w:hAnsi="Times New Roman;Times;serif"/>
          <w:sz w:val="20"/>
          <w:shd w:fill="FFFFFF" w:val="clear"/>
        </w:rPr>
        <w:t> and </w:t>
      </w:r>
      <w:r>
        <w:rPr>
          <w:rStyle w:val="Emphasis"/>
          <w:rFonts w:ascii="Times New Roman;Times;serif" w:hAnsi="Times New Roman;Times;serif"/>
          <w:sz w:val="20"/>
        </w:rPr>
        <w:t xml:space="preserve"> March 31, 2025</w:t>
      </w:r>
      <w:r>
        <w:rPr>
          <w:rFonts w:ascii="Times New Roman;Times;serif" w:hAnsi="Times New Roman;Times;serif"/>
          <w:sz w:val="20"/>
          <w:shd w:fill="FFFFFF" w:val="clear"/>
        </w:rPr>
        <w:t xml:space="preserve">, the Company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any fair value measurements on a non-recurring basis.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10</w:t>
      </w:r>
      <w:r>
        <w:rPr>
          <w:rFonts w:ascii="Times New Roman;Times;serif" w:hAnsi="Times New Roman;Times;serif"/>
          <w:sz w:val="20"/>
        </w:rPr>
        <w:t> — SEGMENT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is engaged in the steel processing, pipe manufacturing and processing and steel and pipe distribution business. Within the Company, there are </w:t>
      </w:r>
      <w:r>
        <w:rPr>
          <w:rStyle w:val="Emphasis"/>
          <w:rFonts w:ascii="Times New Roman;Times;serif" w:hAnsi="Times New Roman;Times;serif"/>
          <w:sz w:val="20"/>
        </w:rPr>
        <w:t>two</w:t>
      </w:r>
      <w:r>
        <w:rPr>
          <w:rFonts w:ascii="Times New Roman;Times;serif" w:hAnsi="Times New Roman;Times;serif"/>
          <w:sz w:val="20"/>
        </w:rPr>
        <w:t xml:space="preserve"> product groups: flat-roll and tubular. The Company’s flat-roll operations consist primarily of converting steel coils into flat sheet and plate steel cut to customer specifications. Through its tubular operations, the Company purchases, processes, manufactures and markets tubular products.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Segment results are reviewed regularly by the Company’s Chief Operating Decision Makers (“CODMs”). The Company’s CODMs are comprised of the Chief Executive Officer and the Chief Financial Officer. The CODMs assess segment performance and allocate resources based on a number of factors with the most emphasis placed on earnings from operations.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is a summary of significant financial information relating to the product groups (in thousands):</w:t>
      </w:r>
    </w:p>
    <w:p>
      <w:pPr>
        <w:pStyle w:val="TextBody"/>
        <w:bidi w:val="0"/>
        <w:spacing w:before="0" w:after="0"/>
        <w:ind w:left="0" w:right="0" w:firstLine="540"/>
        <w:jc w:val="both"/>
        <w:rPr/>
      </w:pPr>
      <w:r>
        <w:rPr/>
        <w:t> </w:t>
      </w:r>
    </w:p>
    <w:tbl>
      <w:tblPr>
        <w:tblW w:w="8400" w:type="dxa"/>
        <w:jc w:val="left"/>
        <w:tblInd w:w="0" w:type="dxa"/>
        <w:tblLayout w:type="fixed"/>
        <w:tblCellMar>
          <w:top w:w="0" w:type="dxa"/>
          <w:left w:w="0" w:type="dxa"/>
          <w:bottom w:w="0" w:type="dxa"/>
          <w:right w:w="0" w:type="dxa"/>
        </w:tblCellMar>
      </w:tblPr>
      <w:tblGrid>
        <w:gridCol w:w="4175"/>
        <w:gridCol w:w="60"/>
        <w:gridCol w:w="125"/>
        <w:gridCol w:w="695"/>
        <w:gridCol w:w="60"/>
        <w:gridCol w:w="60"/>
        <w:gridCol w:w="126"/>
        <w:gridCol w:w="599"/>
        <w:gridCol w:w="80"/>
        <w:gridCol w:w="60"/>
        <w:gridCol w:w="60"/>
        <w:gridCol w:w="545"/>
        <w:gridCol w:w="80"/>
        <w:gridCol w:w="60"/>
        <w:gridCol w:w="125"/>
        <w:gridCol w:w="695"/>
        <w:gridCol w:w="79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7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79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Flat-Roll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Tubular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79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134,777</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and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695"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599" w:type="dxa"/>
            <w:tcBorders/>
            <w:vAlign w:val="center"/>
          </w:tcPr>
          <w:p>
            <w:pPr>
              <w:pStyle w:val="TableContents"/>
              <w:bidi w:val="0"/>
              <w:spacing w:before="0" w:after="283"/>
              <w:ind w:left="0" w:right="0" w:hanging="0"/>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695" w:type="dxa"/>
            <w:tcBorders/>
            <w:vAlign w:val="center"/>
          </w:tcPr>
          <w:p>
            <w:pPr>
              <w:pStyle w:val="TableContents"/>
              <w:bidi w:val="0"/>
              <w:spacing w:before="0" w:after="283"/>
              <w:ind w:left="0" w:right="0" w:hanging="0"/>
              <w:jc w:val="right"/>
              <w:rPr/>
            </w:pPr>
            <w:r>
              <w:rPr/>
              <w:t> </w:t>
            </w:r>
          </w:p>
        </w:tc>
        <w:tc>
          <w:tcPr>
            <w:tcW w:w="795" w:type="dxa"/>
            <w:tcBorders/>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materials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105,704</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9,328</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795" w:type="dxa"/>
            <w:tcBorders/>
            <w:shd w:fill="FFFFFF" w:val="clear"/>
            <w:vAlign w:val="center"/>
          </w:tcPr>
          <w:p>
            <w:pPr>
              <w:pStyle w:val="TableContents"/>
              <w:bidi w:val="0"/>
              <w:spacing w:before="0" w:after="283"/>
              <w:ind w:left="0" w:right="0" w:firstLine="360"/>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45" w:type="dxa"/>
            </w:tcMar>
            <w:vAlign w:val="center"/>
          </w:tcPr>
          <w:p>
            <w:pPr>
              <w:pStyle w:val="TableContents"/>
              <w:bidi w:val="0"/>
              <w:spacing w:before="0" w:after="283"/>
              <w:jc w:val="left"/>
              <w:rPr/>
            </w:pPr>
            <w:r>
              <w:rPr/>
              <w:t> </w:t>
            </w:r>
          </w:p>
        </w:tc>
        <w:tc>
          <w:tcPr>
            <w:tcW w:w="545" w:type="dxa"/>
            <w:tcBorders>
              <w:bottom w:val="single" w:sz="2" w:space="0" w:color="000000"/>
            </w:tcBorders>
            <w:shd w:fill="CCEEFF" w:val="clear"/>
            <w:tcMar>
              <w:bottom w:w="45"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45" w:type="dxa"/>
            </w:tcMar>
            <w:vAlign w:val="center"/>
          </w:tcPr>
          <w:p>
            <w:pPr>
              <w:pStyle w:val="TableContents"/>
              <w:bidi w:val="0"/>
              <w:spacing w:before="0" w:after="283"/>
              <w:jc w:val="left"/>
              <w:rPr/>
            </w:pPr>
            <w:r>
              <w:rPr/>
              <w:t> </w:t>
            </w:r>
          </w:p>
        </w:tc>
        <w:tc>
          <w:tcPr>
            <w:tcW w:w="545" w:type="dxa"/>
            <w:tcBorders>
              <w:bottom w:val="single" w:sz="2" w:space="0" w:color="000000"/>
            </w:tcBorders>
            <w:shd w:fill="FFFFFF" w:val="clear"/>
            <w:tcMar>
              <w:bottom w:w="45"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127,734</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545" w:type="dxa"/>
            <w:tcBorders>
              <w:bottom w:val="double" w:sz="6" w:space="0" w:color="000000"/>
            </w:tcBorders>
            <w:shd w:fill="CCEEFF" w:val="clear"/>
            <w:tcMar>
              <w:bottom w:w="45"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7,043</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economic hedges of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7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6,645</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70" w:type="dxa"/>
            <w:gridSpan w:val="14"/>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2024</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Flat-Roll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Tubular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114,551</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 </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materials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96,414</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8,178</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6,051</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795" w:type="dxa"/>
            <w:tcBorders/>
            <w:shd w:fill="CCEEFF" w:val="clear"/>
            <w:vAlign w:val="center"/>
          </w:tcPr>
          <w:p>
            <w:pPr>
              <w:pStyle w:val="TableContents"/>
              <w:bidi w:val="0"/>
              <w:spacing w:before="0" w:after="283"/>
              <w:ind w:left="0" w:right="0" w:firstLine="360"/>
              <w:jc w:val="left"/>
              <w:rPr/>
            </w:pPr>
            <w:r>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corporate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w:t>
            </w:r>
          </w:p>
        </w:tc>
        <w:tc>
          <w:tcPr>
            <w:tcW w:w="79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45" w:type="dxa"/>
            </w:tcMar>
            <w:vAlign w:val="center"/>
          </w:tcPr>
          <w:p>
            <w:pPr>
              <w:pStyle w:val="TableContents"/>
              <w:bidi w:val="0"/>
              <w:spacing w:before="0" w:after="283"/>
              <w:jc w:val="left"/>
              <w:rPr/>
            </w:pPr>
            <w:r>
              <w:rPr/>
              <w:t> </w:t>
            </w:r>
          </w:p>
        </w:tc>
        <w:tc>
          <w:tcPr>
            <w:tcW w:w="545" w:type="dxa"/>
            <w:tcBorders>
              <w:bottom w:val="single" w:sz="2" w:space="0" w:color="000000"/>
            </w:tcBorders>
            <w:shd w:fill="CCEEFF" w:val="clear"/>
            <w:tcMar>
              <w:bottom w:w="45"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115,949</w:t>
            </w:r>
          </w:p>
        </w:tc>
        <w:tc>
          <w:tcPr>
            <w:tcW w:w="795" w:type="dxa"/>
            <w:tcBorders/>
            <w:shd w:fill="CCEEFF" w:val="clear"/>
            <w:vAlign w:val="center"/>
          </w:tcPr>
          <w:p>
            <w:pPr>
              <w:pStyle w:val="TableContents"/>
              <w:bidi w:val="0"/>
              <w:spacing w:before="0" w:after="283"/>
              <w:ind w:left="0" w:right="0" w:firstLine="720"/>
              <w:jc w:val="left"/>
              <w:rPr/>
            </w:pPr>
            <w:r>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bottom w:w="45"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w:t>
            </w:r>
          </w:p>
        </w:tc>
        <w:tc>
          <w:tcPr>
            <w:tcW w:w="7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economic hedges of risk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7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7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w:t>
            </w:r>
          </w:p>
        </w:tc>
        <w:tc>
          <w:tcPr>
            <w:tcW w:w="7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tbl>
      <w:tblPr>
        <w:tblW w:w="4918" w:type="dxa"/>
        <w:jc w:val="left"/>
        <w:tblInd w:w="0" w:type="dxa"/>
        <w:tblLayout w:type="fixed"/>
        <w:tblCellMar>
          <w:top w:w="0" w:type="dxa"/>
          <w:left w:w="0" w:type="dxa"/>
          <w:bottom w:w="0" w:type="dxa"/>
          <w:right w:w="0" w:type="dxa"/>
        </w:tblCellMar>
      </w:tblPr>
      <w:tblGrid>
        <w:gridCol w:w="2135"/>
        <w:gridCol w:w="60"/>
        <w:gridCol w:w="181"/>
        <w:gridCol w:w="1008"/>
        <w:gridCol w:w="60"/>
        <w:gridCol w:w="60"/>
        <w:gridCol w:w="204"/>
        <w:gridCol w:w="1135"/>
        <w:gridCol w:w="75"/>
      </w:tblGrid>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Flat-Roll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204,890</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Tubular</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16,792</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221,682</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General corporate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General corporate expenses reflect general and administrative expenses </w:t>
      </w:r>
      <w:r>
        <w:rPr>
          <w:rStyle w:val="Emphasis"/>
          <w:rFonts w:ascii="Times New Roman;Times;serif" w:hAnsi="Times New Roman;Times;serif"/>
          <w:sz w:val="20"/>
        </w:rPr>
        <w:t>not</w:t>
      </w:r>
      <w:r>
        <w:rPr>
          <w:rFonts w:ascii="Times New Roman;Times;serif" w:hAnsi="Times New Roman;Times;serif"/>
          <w:sz w:val="20"/>
        </w:rPr>
        <w:t xml:space="preserve"> directly associated with segment operations and consist primarily of corporate and accounting salaries, professional fees and services, retirement plan contribution expense, corporate insurance expenses, restricted stock plan compensation expense and office supplies. At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March 31, 2025</w:t>
      </w:r>
      <w:r>
        <w:rPr>
          <w:rFonts w:ascii="Times New Roman;Times;serif" w:hAnsi="Times New Roman;Times;serif"/>
          <w:sz w:val="20"/>
        </w:rPr>
        <w:t xml:space="preserve">, corporate assets consist primarily of cash, restricted cash, leased administrative office right-of-use assets, unamortized debt issuance costs and the cash value of officers’ life insurance. Although inventory is transferred at cost between product groups, there are </w:t>
      </w:r>
      <w:r>
        <w:rPr>
          <w:rStyle w:val="Emphasis"/>
          <w:rFonts w:ascii="Times New Roman;Times;serif" w:hAnsi="Times New Roman;Times;serif"/>
          <w:sz w:val="20"/>
        </w:rPr>
        <w:t>no</w:t>
      </w:r>
      <w:r>
        <w:rPr>
          <w:rFonts w:ascii="Times New Roman;Times;serif" w:hAnsi="Times New Roman;Times;serif"/>
          <w:sz w:val="20"/>
        </w:rPr>
        <w:t xml:space="preserve"> sales between product groups.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11</w:t>
      </w:r>
      <w:r>
        <w:rPr>
          <w:rFonts w:ascii="Times New Roman;Times;serif" w:hAnsi="Times New Roman;Times;serif"/>
          <w:sz w:val="20"/>
        </w:rPr>
        <w:t> — REVENUE</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asset balances. Additionally,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liability balances, as performance obligations are satisfied prior to customer payment for product. The Company offers industry standard payment terms.</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two reportable segments: Flat-Roll and Tubular. Flat-roll primarily generates revenue from cutting to length hot-rolled steel coils. Flat-roll segment revenue consists of </w:t>
      </w:r>
      <w:r>
        <w:rPr>
          <w:rStyle w:val="Emphasis"/>
          <w:rFonts w:ascii="Times New Roman;Times;serif" w:hAnsi="Times New Roman;Times;serif"/>
          <w:sz w:val="20"/>
        </w:rPr>
        <w:t>two</w:t>
      </w:r>
      <w:r>
        <w:rPr>
          <w:rFonts w:ascii="Times New Roman;Times;serif" w:hAnsi="Times New Roman;Times;serif"/>
          <w:sz w:val="20"/>
        </w:rPr>
        <w:t xml:space="preserve"> product types: Company Owned Flat-Roll Products and Processing or Storage of Customer Owned Coil. Tubular primarily generates revenue from selling steel pipe it has manufactured resulting in a single product type: Manufactured Pipe.</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disaggregates our revenue by product for each of our reportable business segments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respectively (in thousands):</w:t>
      </w:r>
    </w:p>
    <w:p>
      <w:pPr>
        <w:pStyle w:val="TextBody"/>
        <w:bidi w:val="0"/>
        <w:spacing w:before="0" w:after="0"/>
        <w:ind w:left="0" w:right="0" w:firstLine="490"/>
        <w:jc w:val="both"/>
        <w:rPr/>
      </w:pPr>
      <w:r>
        <w:rPr/>
        <w:t> </w:t>
      </w:r>
    </w:p>
    <w:tbl>
      <w:tblPr>
        <w:tblW w:w="5691" w:type="dxa"/>
        <w:jc w:val="left"/>
        <w:tblInd w:w="0" w:type="dxa"/>
        <w:tblLayout w:type="fixed"/>
        <w:tblCellMar>
          <w:top w:w="0" w:type="dxa"/>
          <w:left w:w="0" w:type="dxa"/>
          <w:bottom w:w="0" w:type="dxa"/>
          <w:right w:w="0" w:type="dxa"/>
        </w:tblCellMar>
      </w:tblPr>
      <w:tblGrid>
        <w:gridCol w:w="3815"/>
        <w:gridCol w:w="60"/>
        <w:gridCol w:w="64"/>
        <w:gridCol w:w="750"/>
        <w:gridCol w:w="64"/>
        <w:gridCol w:w="64"/>
        <w:gridCol w:w="64"/>
        <w:gridCol w:w="750"/>
        <w:gridCol w:w="60"/>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Flat-Roll Segment: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Owned Flat-Roll Products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122,846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101,834</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or Storage of Customer Owned Coil</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124,067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103,387</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Tubular Segment: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Manufactured Pipe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NOTE </w:t>
      </w:r>
      <w:r>
        <w:rPr>
          <w:rStyle w:val="Emphasis"/>
          <w:rFonts w:ascii="Times New Roman;Times;serif" w:hAnsi="Times New Roman;Times;serif"/>
          <w:sz w:val="20"/>
        </w:rPr>
        <w:t>12</w:t>
      </w:r>
      <w:r>
        <w:rPr>
          <w:rFonts w:ascii="Times New Roman;Times;serif" w:hAnsi="Times New Roman;Times;serif"/>
          <w:sz w:val="20"/>
        </w:rPr>
        <w:t> — STOCKHOLDERS’ EQUITY</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tables reflect the changes in stockholders’ equity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June 30, 2024</w:t>
      </w:r>
      <w:r>
        <w:rPr>
          <w:rFonts w:ascii="Times New Roman;Times;serif" w:hAnsi="Times New Roman;Times;serif"/>
          <w:sz w:val="20"/>
        </w:rPr>
        <w:t> (in thousands):</w:t>
      </w:r>
    </w:p>
    <w:p>
      <w:pPr>
        <w:pStyle w:val="TextBody"/>
        <w:bidi w:val="0"/>
        <w:spacing w:before="0" w:after="0"/>
        <w:ind w:left="0" w:right="0" w:firstLine="490"/>
        <w:jc w:val="left"/>
        <w:rPr/>
      </w:pPr>
      <w:r>
        <w:rPr/>
        <w:t> </w:t>
      </w:r>
    </w:p>
    <w:tbl>
      <w:tblPr>
        <w:tblW w:w="7850" w:type="dxa"/>
        <w:jc w:val="left"/>
        <w:tblInd w:w="0" w:type="dxa"/>
        <w:tblLayout w:type="fixed"/>
        <w:tblCellMar>
          <w:top w:w="0" w:type="dxa"/>
          <w:left w:w="0" w:type="dxa"/>
          <w:bottom w:w="0" w:type="dxa"/>
          <w:right w:w="0" w:type="dxa"/>
        </w:tblCellMar>
      </w:tblPr>
      <w:tblGrid>
        <w:gridCol w:w="3065"/>
        <w:gridCol w:w="60"/>
        <w:gridCol w:w="157"/>
        <w:gridCol w:w="613"/>
        <w:gridCol w:w="60"/>
        <w:gridCol w:w="60"/>
        <w:gridCol w:w="160"/>
        <w:gridCol w:w="760"/>
        <w:gridCol w:w="80"/>
        <w:gridCol w:w="60"/>
        <w:gridCol w:w="125"/>
        <w:gridCol w:w="650"/>
        <w:gridCol w:w="80"/>
        <w:gridCol w:w="60"/>
        <w:gridCol w:w="125"/>
        <w:gridCol w:w="695"/>
        <w:gridCol w:w="80"/>
        <w:gridCol w:w="60"/>
        <w:gridCol w:w="125"/>
        <w:gridCol w:w="695"/>
        <w:gridCol w:w="8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ind w:left="900" w:right="0" w:hanging="0"/>
              <w:jc w:val="left"/>
              <w:rPr/>
            </w:pPr>
            <w:r>
              <w:rPr/>
              <w:t> </w:t>
            </w:r>
          </w:p>
        </w:tc>
      </w:tr>
      <w:tr>
        <w:trPr/>
        <w:tc>
          <w:tcPr>
            <w:tcW w:w="3065" w:type="dxa"/>
            <w:tcBorders/>
            <w:shd w:fill="CCEEFF" w:val="clear"/>
            <w:vAlign w:val="center"/>
          </w:tcPr>
          <w:p>
            <w:pPr>
              <w:pStyle w:val="TableContents"/>
              <w:bidi w:val="0"/>
              <w:spacing w:before="0" w:after="0"/>
              <w:ind w:left="1800" w:right="0" w:hanging="360"/>
              <w:jc w:val="left"/>
              <w:rPr>
                <w:rFonts w:ascii="Times New Roman" w:hAnsi="Times New Roman"/>
                <w:caps w:val="false"/>
                <w:smallCaps w:val="false"/>
                <w:sz w:val="20"/>
              </w:rPr>
            </w:pPr>
            <w:r>
              <w:rPr>
                <w:rFonts w:ascii="Times New Roman" w:hAnsi="Times New Roman"/>
                <w:caps w:val="false"/>
                <w:smallCaps w:val="false"/>
                <w:sz w:val="20"/>
              </w:rPr>
              <w:t>BALANCE AT 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132,425</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5,028</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Paid in capital – restricted stock units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restricted stock</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Repurchase of shares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dividends ($0.04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35,427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(13,110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105,996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137,280</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7795" w:type="dxa"/>
        <w:jc w:val="left"/>
        <w:tblInd w:w="0" w:type="dxa"/>
        <w:tblLayout w:type="fixed"/>
        <w:tblCellMar>
          <w:top w:w="0" w:type="dxa"/>
          <w:left w:w="0" w:type="dxa"/>
          <w:bottom w:w="0" w:type="dxa"/>
          <w:right w:w="0" w:type="dxa"/>
        </w:tblCellMar>
      </w:tblPr>
      <w:tblGrid>
        <w:gridCol w:w="3065"/>
        <w:gridCol w:w="60"/>
        <w:gridCol w:w="157"/>
        <w:gridCol w:w="613"/>
        <w:gridCol w:w="60"/>
        <w:gridCol w:w="60"/>
        <w:gridCol w:w="160"/>
        <w:gridCol w:w="760"/>
        <w:gridCol w:w="60"/>
        <w:gridCol w:w="60"/>
        <w:gridCol w:w="125"/>
        <w:gridCol w:w="650"/>
        <w:gridCol w:w="80"/>
        <w:gridCol w:w="60"/>
        <w:gridCol w:w="136"/>
        <w:gridCol w:w="649"/>
        <w:gridCol w:w="80"/>
        <w:gridCol w:w="60"/>
        <w:gridCol w:w="125"/>
        <w:gridCol w:w="695"/>
        <w:gridCol w:w="8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ind w:left="900" w:right="0" w:hanging="0"/>
              <w:jc w:val="left"/>
              <w:rPr/>
            </w:pPr>
            <w:r>
              <w:rPr/>
              <w:t> </w:t>
            </w:r>
          </w:p>
        </w:tc>
      </w:tr>
      <w:tr>
        <w:trPr/>
        <w:tc>
          <w:tcPr>
            <w:tcW w:w="3065" w:type="dxa"/>
            <w:tcBorders/>
            <w:shd w:fill="CCEEFF" w:val="clear"/>
            <w:vAlign w:val="center"/>
          </w:tcPr>
          <w:p>
            <w:pPr>
              <w:pStyle w:val="TableContents"/>
              <w:bidi w:val="0"/>
              <w:spacing w:before="0" w:after="0"/>
              <w:ind w:left="1800" w:right="0" w:hanging="360"/>
              <w:jc w:val="left"/>
              <w:rPr>
                <w:rFonts w:ascii="Times New Roman" w:hAnsi="Times New Roman"/>
                <w:caps w:val="false"/>
                <w:smallCaps w:val="false"/>
                <w:sz w:val="20"/>
              </w:rPr>
            </w:pPr>
            <w:r>
              <w:rPr>
                <w:rFonts w:ascii="Times New Roman" w:hAnsi="Times New Roman"/>
                <w:caps w:val="false"/>
                <w:smallCaps w:val="false"/>
                <w:sz w:val="20"/>
              </w:rPr>
              <w:t>BALANCE AT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127,475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Paid in capital – restricted stock units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shares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dividends ($0.04 per share)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JUNE 30, 2024</w:t>
            </w:r>
          </w:p>
        </w:tc>
        <w:tc>
          <w:tcPr>
            <w:tcW w:w="60" w:type="dxa"/>
            <w:tcBorders/>
            <w:shd w:fill="FFFF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(13,052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98,572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129,687</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NOTE </w:t>
      </w:r>
      <w:r>
        <w:rPr>
          <w:rStyle w:val="Emphasis"/>
          <w:rFonts w:ascii="Times New Roman" w:hAnsi="Times New Roman"/>
          <w:caps w:val="false"/>
          <w:smallCaps w:val="false"/>
          <w:sz w:val="20"/>
        </w:rPr>
        <w:t>13</w:t>
      </w:r>
      <w:r>
        <w:rPr>
          <w:rFonts w:ascii="Times New Roman" w:hAnsi="Times New Roman"/>
          <w:caps w:val="false"/>
          <w:smallCaps w:val="false"/>
          <w:sz w:val="20"/>
        </w:rPr>
        <w:t> — EARNINGS PER SHARE</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Basic and dilutive net earnings per share is computed based on the following information (in thousands, except for share data):</w:t>
      </w:r>
    </w:p>
    <w:p>
      <w:pPr>
        <w:pStyle w:val="TextBody"/>
        <w:bidi w:val="0"/>
        <w:spacing w:before="0" w:after="0"/>
        <w:ind w:left="0" w:right="0" w:firstLine="49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4220"/>
        <w:gridCol w:w="60"/>
        <w:gridCol w:w="125"/>
        <w:gridCol w:w="845"/>
        <w:gridCol w:w="60"/>
        <w:gridCol w:w="60"/>
        <w:gridCol w:w="125"/>
        <w:gridCol w:w="845"/>
        <w:gridCol w:w="6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Allocation to unvested restricted stock awards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6,965,880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6,939,208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allocated dividends and undistributed earnings to the unvested restricted stock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As the restricted stock qualifies as participating securities, the following restricted stock awards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in the computation of weighted average diluted common shares outstanding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w:t>
      </w:r>
    </w:p>
    <w:p>
      <w:pPr>
        <w:pStyle w:val="TextBody"/>
        <w:bidi w:val="0"/>
        <w:spacing w:before="0" w:after="0"/>
        <w:ind w:left="0" w:right="0" w:firstLine="490"/>
        <w:jc w:val="both"/>
        <w:rPr>
          <w:caps w:val="false"/>
          <w:smallCaps w:val="false"/>
        </w:rPr>
      </w:pPr>
      <w:r>
        <w:rPr>
          <w:caps w:val="false"/>
          <w:smallCaps w:val="false"/>
        </w:rPr>
        <w:t> </w:t>
      </w:r>
    </w:p>
    <w:tbl>
      <w:tblPr>
        <w:tblW w:w="3953" w:type="dxa"/>
        <w:jc w:val="left"/>
        <w:tblInd w:w="0" w:type="dxa"/>
        <w:tblLayout w:type="fixed"/>
        <w:tblCellMar>
          <w:top w:w="0" w:type="dxa"/>
          <w:left w:w="0" w:type="dxa"/>
          <w:bottom w:w="0" w:type="dxa"/>
          <w:right w:w="0" w:type="dxa"/>
        </w:tblCellMar>
      </w:tblPr>
      <w:tblGrid>
        <w:gridCol w:w="2075"/>
        <w:gridCol w:w="60"/>
        <w:gridCol w:w="74"/>
        <w:gridCol w:w="731"/>
        <w:gridCol w:w="74"/>
        <w:gridCol w:w="74"/>
        <w:gridCol w:w="74"/>
        <w:gridCol w:w="731"/>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Stock Awards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NOTE </w:t>
      </w:r>
      <w:r>
        <w:rPr>
          <w:rStyle w:val="Emphasis"/>
          <w:rFonts w:ascii="Times New Roman;Times;serif" w:hAnsi="Times New Roman;Times;serif"/>
          <w:sz w:val="20"/>
        </w:rPr>
        <w:t>14</w:t>
      </w:r>
      <w:r>
        <w:rPr>
          <w:rFonts w:ascii="Times New Roman;Times;serif" w:hAnsi="Times New Roman;Times;serif"/>
          <w:sz w:val="20"/>
        </w:rPr>
        <w:t> — SUPPLEMENTAL CASH FLOW INFORMATION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The Company paid interest o</w:t>
      </w:r>
      <w:r>
        <w:rPr>
          <w:rFonts w:ascii="Times New Roman;Times;serif" w:hAnsi="Times New Roman;Times;serif"/>
          <w:sz w:val="20"/>
          <w:shd w:fill="FFFFFF" w:val="clear"/>
        </w:rPr>
        <w:t>f approximately</w:t>
      </w:r>
      <w:r>
        <w:rPr>
          <w:rFonts w:ascii="Times New Roman;Times;serif" w:hAnsi="Times New Roman;Times;serif"/>
          <w:sz w:val="20"/>
        </w:rPr>
        <w:t xml:space="preserve"> $0.7</w:t>
      </w:r>
      <w:r>
        <w:rPr>
          <w:rFonts w:ascii="Times New Roman;Times;serif" w:hAnsi="Times New Roman;Times;serif"/>
          <w:sz w:val="20"/>
          <w:shd w:fill="FFFFFF" w:val="clear"/>
        </w:rPr>
        <w:t xml:space="preserve"> million during both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Additionally, the Company paid income taxes of approximately $0.1 million during both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w:t>
      </w:r>
    </w:p>
    <w:p>
      <w:pPr>
        <w:pStyle w:val="TextBody"/>
        <w:bidi w:val="0"/>
        <w:spacing w:before="0" w:after="0"/>
        <w:ind w:left="0" w:right="0" w:firstLine="490"/>
        <w:jc w:val="both"/>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shd w:fill="FFFFFF" w:val="clear"/>
        </w:rPr>
        <w:t xml:space="preserve">NOTE </w:t>
      </w:r>
      <w:r>
        <w:rPr>
          <w:rStyle w:val="Emphasis"/>
          <w:rFonts w:ascii="Times New Roman;Times;serif" w:hAnsi="Times New Roman;Times;serif"/>
          <w:sz w:val="20"/>
          <w:shd w:fill="FFFFFF" w:val="clear"/>
        </w:rPr>
        <w:t>15</w:t>
      </w:r>
      <w:r>
        <w:rPr>
          <w:rFonts w:ascii="Times New Roman;Times;serif" w:hAnsi="Times New Roman;Times;serif"/>
          <w:sz w:val="20"/>
          <w:shd w:fill="FFFFFF" w:val="clear"/>
        </w:rPr>
        <w:t> — INCOME TAXES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the Company recorded income tax provisio</w:t>
      </w:r>
      <w:r>
        <w:rPr>
          <w:rFonts w:ascii="Times New Roman;Times;serif" w:hAnsi="Times New Roman;Times;serif"/>
          <w:sz w:val="20"/>
        </w:rPr>
        <w:t>ns of approximately $1.6 million and $0.7 million, respectively. </w:t>
      </w:r>
      <w:r>
        <w:rPr>
          <w:rFonts w:ascii="Times New Roman;Times;serif" w:hAnsi="Times New Roman;Times;serif"/>
          <w:sz w:val="20"/>
          <w:shd w:fill="FFFFFF" w:val="clear"/>
        </w:rPr>
        <w:t>For both quarters, </w:t>
      </w:r>
      <w:r>
        <w:rPr>
          <w:rFonts w:ascii="Times New Roman;Times;serif" w:hAnsi="Times New Roman;Times;serif"/>
          <w:sz w:val="20"/>
        </w:rPr>
        <w:t>the effective tax rate differed from the federal statutory rate due primarily to the inclusion of state tax expenses in the provision with this impact partially reduced by the tax effect of restricted stock vesting during the quarters</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5" w:name="mgmtdis"/>
      <w:bookmarkEnd w:id="5"/>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Friedman Industries, Incorporated is a manufacturer and processor of steel products and operates in two reportable segments: flat-roll products and tubular products.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flat-roll product segment consists of the operation of five hot-rolled coil processing facilities located in Hickman, Arkansas; Decatur, Alabama; East Chicago, Indiana; Granite City, Illinois and Sinton, Texas. The Hickman, Granite City and East Chicago facilities operate temper mills and cut-to-length lines. The Decatur and Sinton facilities operate stretcher leveler cut-to-length lines. The equipment at all locations improves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 </w:t>
      </w:r>
    </w:p>
    <w:p>
      <w:pPr>
        <w:pStyle w:val="TextBody"/>
        <w:bidi w:val="0"/>
        <w:spacing w:before="0" w:after="0"/>
        <w:ind w:left="489" w:right="0" w:hanging="0"/>
        <w:jc w:val="left"/>
        <w:rPr>
          <w:rFonts w:ascii="Times New Roman;Times;serif" w:hAnsi="Times New Roman;Times;serif"/>
          <w:b/>
          <w:i/>
          <w:sz w:val="20"/>
          <w:u w:val="single"/>
        </w:rPr>
      </w:pPr>
      <w:r>
        <w:rPr>
          <w:rFonts w:ascii="Times New Roman;Times;serif" w:hAnsi="Times New Roman;Times;serif"/>
          <w:b/>
          <w:i/>
          <w:sz w:val="20"/>
          <w:u w:val="single"/>
        </w:rPr>
        <w:t>Three Months Ended June 30, 2025 Compared to Three Months Ended June 30, 2024</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w:t>
      </w:r>
      <w:r>
        <w:rPr>
          <w:rFonts w:ascii="Times New Roman;Times;serif" w:hAnsi="Times New Roman;Times;serif"/>
          <w:sz w:val="20"/>
          <w:shd w:fill="FFFFFF" w:val="clear"/>
        </w:rPr>
        <w:t xml:space="preserve"> the three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(the “</w:t>
      </w:r>
      <w:r>
        <w:rPr>
          <w:rFonts w:ascii="Times New Roman;Times;serif" w:hAnsi="Times New Roman;Times;serif"/>
          <w:sz w:val="20"/>
        </w:rPr>
        <w:t>2025</w:t>
      </w:r>
      <w:r>
        <w:rPr>
          <w:rFonts w:ascii="Times New Roman;Times;serif" w:hAnsi="Times New Roman;Times;serif"/>
          <w:sz w:val="20"/>
          <w:shd w:fill="FFFFFF" w:val="clear"/>
        </w:rPr>
        <w:t xml:space="preserve"> quarter”), sales, cost of materials sold and adjusted gross profit increased approximately</w:t>
      </w:r>
      <w:r>
        <w:rPr>
          <w:rFonts w:ascii="Times New Roman;Times;serif" w:hAnsi="Times New Roman;Times;serif"/>
          <w:sz w:val="20"/>
        </w:rPr>
        <w:t xml:space="preserve"> $20.2 million, $9.3 million and $10.9 million</w:t>
      </w:r>
      <w:r>
        <w:rPr>
          <w:rFonts w:ascii="Times New Roman;Times;serif" w:hAnsi="Times New Roman;Times;serif"/>
          <w:sz w:val="20"/>
          <w:shd w:fill="FFFFFF" w:val="clear"/>
        </w:rPr>
        <w:t xml:space="preserve">, respectively, compared to the amounts recorded during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(the “</w:t>
      </w:r>
      <w:r>
        <w:rPr>
          <w:rFonts w:ascii="Times New Roman;Times;serif" w:hAnsi="Times New Roman;Times;serif"/>
          <w:sz w:val="20"/>
        </w:rPr>
        <w:t>2024</w:t>
      </w:r>
      <w:r>
        <w:rPr>
          <w:rFonts w:ascii="Times New Roman;Times;serif" w:hAnsi="Times New Roman;Times;serif"/>
          <w:sz w:val="20"/>
          <w:shd w:fill="FFFFFF" w:val="clear"/>
        </w:rPr>
        <w:t xml:space="preserve"> quarter”). Adjusted gross profit is a non-GAAP measure calculated as sales minus cost of materials sold. </w:t>
      </w:r>
      <w:r>
        <w:rPr>
          <w:rFonts w:ascii="Times New Roman;Times;serif" w:hAnsi="Times New Roman;Times;serif"/>
          <w:sz w:val="20"/>
        </w:rPr>
        <w:t>The</w:t>
      </w:r>
      <w:r>
        <w:rPr>
          <w:rFonts w:ascii="Times New Roman;Times;serif" w:hAnsi="Times New Roman;Times;serif"/>
          <w:sz w:val="20"/>
          <w:shd w:fill="FFFFFF" w:val="clear"/>
        </w:rPr>
        <w:t xml:space="preserve"> increase in sales was primarily due to an increase in sales volume. Sales volume for the </w:t>
      </w:r>
      <w:r>
        <w:rPr>
          <w:rFonts w:ascii="Times New Roman;Times;serif" w:hAnsi="Times New Roman;Times;serif"/>
          <w:sz w:val="20"/>
        </w:rPr>
        <w:t>2025</w:t>
      </w:r>
      <w:r>
        <w:rPr>
          <w:rFonts w:ascii="Times New Roman;Times;serif" w:hAnsi="Times New Roman;Times;serif"/>
          <w:sz w:val="20"/>
          <w:shd w:fill="FFFFFF" w:val="clear"/>
        </w:rPr>
        <w:t xml:space="preserve"> quarter consisted of approximately 141,500 tons from inventory and another 19,000 tons of toll processing customer owned material </w:t>
      </w:r>
      <w:r>
        <w:rPr>
          <w:rFonts w:ascii="Times New Roman;Times;serif" w:hAnsi="Times New Roman;Times;serif"/>
          <w:sz w:val="20"/>
        </w:rPr>
        <w:t>compared to the 2024 quarter volume consisting of approximately 119,000 tons from inventory and 24,000 tons of toll processing. The increase in sales volume for the 2025 quarter was related to a combination of stronger demand among some customers and successful commercial efforts to increase capacity utilization. Adjusted gross profit was approximately $29.1 million for the 2025 quarter compared to approximately $18.1 million for the 2024 quarter. Adjusted gross profit as a percentage of sales was approximately 21.6% for the 2025 quarter compared to approximately 15.8% for</w:t>
      </w:r>
      <w:r>
        <w:rPr>
          <w:rFonts w:ascii="Times New Roman;Times;serif" w:hAnsi="Times New Roman;Times;serif"/>
          <w:sz w:val="20"/>
          <w:shd w:fill="FFFFFF" w:val="clear"/>
        </w:rPr>
        <w:t xml:space="preserve"> the </w:t>
      </w:r>
      <w:r>
        <w:rPr>
          <w:rFonts w:ascii="Times New Roman;Times;serif" w:hAnsi="Times New Roman;Times;serif"/>
          <w:sz w:val="20"/>
        </w:rPr>
        <w:t>2024</w:t>
      </w:r>
      <w:r>
        <w:rPr>
          <w:rFonts w:ascii="Times New Roman;Times;serif" w:hAnsi="Times New Roman;Times;serif"/>
          <w:sz w:val="20"/>
          <w:shd w:fill="FFFFFF" w:val="clear"/>
        </w:rPr>
        <w:t> quarter.</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operating results are significantly impacted by the market price of hot-rolled steel coil ("HRC"). Entering the 2025 quarter, HRC price had reached the top of a price cycle and remained relatively stable during the 2025 quarter, decreasing slightly towards the end of the quarter. As a result, the Company experienced increased margins during the 2025 quarter. Entering the 2024 quarter, HRC price was on a predominately declining trend which continued throughout the 2024 quarter resulting in compressed physical margins. The Company utilizes HRC futures to partially manage exposure to commodity price risk. The Company recognized hedging related gains of approximately $0.3 million in the 2025 quarter compared to hedging related losses of approximately $5.4 million in the 2024 quarter.</w:t>
      </w:r>
    </w:p>
    <w:p>
      <w:pPr>
        <w:pStyle w:val="TextBody"/>
        <w:bidi w:val="0"/>
        <w:spacing w:before="0" w:after="0"/>
        <w:ind w:left="0" w:right="0" w:firstLine="490"/>
        <w:jc w:val="both"/>
        <w:rPr/>
      </w:pPr>
      <w:r>
        <w:rPr/>
        <w:t>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Flat-roll Segment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Flat-roll product segment sales for the 2025 quarter totaled approximately $124.1 million compared to approximately $103.4 million for the 2024 quarter. For a more complete understanding of the average selling prices of goods sold, it is helpful to exclude any sales generated from processing or storage of customer owned material. Sales generated from processing or storage of customer owned material totaled approximately $1.2 million for the 2025 quarter and approximately $1.6 million for the 2024 quarter. Sales generated from flat-roll segment inventory totaled approximately $122.9 million for the 2025 quarter compared to approximately $101.8 million for the 2024 quarter. The average per ton selling price related to these shipments decreased from approximately $932 per ton in the 2024 quarter to approximately $926 per ton in the 2025 quarter. </w:t>
      </w:r>
      <w:r>
        <w:rPr>
          <w:rFonts w:ascii="Times New Roman;Times;serif" w:hAnsi="Times New Roman;Times;serif"/>
          <w:sz w:val="20"/>
          <w:shd w:fill="FFFFFF" w:val="clear"/>
        </w:rPr>
        <w:t xml:space="preserve">Sales volume for the </w:t>
      </w:r>
      <w:r>
        <w:rPr>
          <w:rFonts w:ascii="Times New Roman;Times;serif" w:hAnsi="Times New Roman;Times;serif"/>
          <w:sz w:val="20"/>
        </w:rPr>
        <w:t>2025</w:t>
      </w:r>
      <w:r>
        <w:rPr>
          <w:rFonts w:ascii="Times New Roman;Times;serif" w:hAnsi="Times New Roman;Times;serif"/>
          <w:sz w:val="20"/>
          <w:shd w:fill="FFFFFF" w:val="clear"/>
        </w:rPr>
        <w:t xml:space="preserve"> quarter consisted of approximately 132,500 tons from inventory and another 19,000 tons of toll processing customer owned material compared to the </w:t>
      </w:r>
      <w:r>
        <w:rPr>
          <w:rFonts w:ascii="Times New Roman;Times;serif" w:hAnsi="Times New Roman;Times;serif"/>
          <w:sz w:val="20"/>
        </w:rPr>
        <w:t>2024</w:t>
      </w:r>
      <w:r>
        <w:rPr>
          <w:rFonts w:ascii="Times New Roman;Times;serif" w:hAnsi="Times New Roman;Times;serif"/>
          <w:sz w:val="20"/>
          <w:shd w:fill="FFFFFF" w:val="clear"/>
        </w:rPr>
        <w:t xml:space="preserve"> quarter volume consisting of approximately 109,000 tons from inventory and 24,000 tons of toll processing.</w:t>
      </w:r>
      <w:r>
        <w:rPr>
          <w:rFonts w:ascii="Times New Roman;Times;serif" w:hAnsi="Times New Roman;Times;serif"/>
          <w:sz w:val="20"/>
        </w:rPr>
        <w:t xml:space="preserve"> The increase in sales volume for the 2025 quarter was related to a combination of stronger demand among some customers and successful commercial efforts to increase capacity utilization.</w:t>
      </w:r>
      <w:r>
        <w:rPr>
          <w:rFonts w:ascii="Times New Roman;Times;serif" w:hAnsi="Times New Roman;Times;serif"/>
          <w:sz w:val="20"/>
          <w:shd w:fill="FFFFFF" w:val="clear"/>
        </w:rPr>
        <w:t> </w:t>
      </w:r>
      <w:r>
        <w:rPr>
          <w:rFonts w:ascii="Times New Roman;Times;serif" w:hAnsi="Times New Roman;Times;serif"/>
          <w:sz w:val="20"/>
        </w:rPr>
        <w:t>Flat-roll segment operations recorded earnings from operations of approximately $8.8 million and $2.7 million for the 2025 quarter and 2024 quarter, respectively.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flat-roll segment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Tubular Segment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Tubular product segment sales for the 2025 quarter totaled approximately $10.7 million compared to approximately $11.2 million for the 2024 quarter. Sales decreased primarily due to a decline in tons sold, offset by a slight increase in the average selling price per ton. Tons sold decreased from approximately 10,000 tons in the 2024 quarter to approximately 9,000 tons in 2025 quarter. The average per ton selling price increased from approximately $1,140 per ton for the 2024 quarter to approximately $1,206 per ton for the 2025 quarter.  </w:t>
      </w:r>
      <w:r>
        <w:rPr>
          <w:rFonts w:ascii="Times New Roman;Times;serif" w:hAnsi="Times New Roman;Times;serif"/>
          <w:sz w:val="20"/>
          <w:shd w:fill="FFFFFF" w:val="clear"/>
        </w:rPr>
        <w:t xml:space="preserve">The tubular segment recorded earnings from operations of approximately </w:t>
      </w:r>
      <w:r>
        <w:rPr>
          <w:rFonts w:ascii="Times New Roman;Times;serif" w:hAnsi="Times New Roman;Times;serif"/>
          <w:sz w:val="20"/>
        </w:rPr>
        <w:t>$1.3 million for t</w:t>
      </w:r>
      <w:r>
        <w:rPr>
          <w:rFonts w:ascii="Times New Roman;Times;serif" w:hAnsi="Times New Roman;Times;serif"/>
          <w:sz w:val="20"/>
          <w:shd w:fill="FFFFFF" w:val="clear"/>
        </w:rPr>
        <w:t>he </w:t>
      </w:r>
      <w:r>
        <w:rPr>
          <w:rFonts w:ascii="Times New Roman;Times;serif" w:hAnsi="Times New Roman;Times;serif"/>
          <w:sz w:val="20"/>
        </w:rPr>
        <w:t>2025</w:t>
      </w:r>
      <w:r>
        <w:rPr>
          <w:rFonts w:ascii="Times New Roman;Times;serif" w:hAnsi="Times New Roman;Times;serif"/>
          <w:sz w:val="20"/>
          <w:shd w:fill="FFFFFF" w:val="clear"/>
        </w:rPr>
        <w:t xml:space="preserve"> quarter compared to a loss from operations of approximately $1.2 million for the </w:t>
      </w:r>
      <w:r>
        <w:rPr>
          <w:rFonts w:ascii="Times New Roman;Times;serif" w:hAnsi="Times New Roman;Times;serif"/>
          <w:sz w:val="20"/>
        </w:rPr>
        <w:t>2024</w:t>
      </w:r>
      <w:r>
        <w:rPr>
          <w:rFonts w:ascii="Times New Roman;Times;serif" w:hAnsi="Times New Roman;Times;serif"/>
          <w:sz w:val="20"/>
          <w:shd w:fill="FFFFFF" w:val="clear"/>
        </w:rPr>
        <w:t xml:space="preserve"> quarter.</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tubular segment purchases its inventory from a limited number of suppliers. Loss of any of these suppliers could have a material adverse effect on the Company’s business. </w:t>
      </w:r>
    </w:p>
    <w:p>
      <w:pPr>
        <w:pStyle w:val="TextBody"/>
        <w:bidi w:val="0"/>
        <w:spacing w:before="0" w:after="0"/>
        <w:ind w:left="0" w:right="0" w:firstLine="490"/>
        <w:jc w:val="both"/>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b/>
          <w:i/>
          <w:sz w:val="20"/>
          <w:shd w:fill="FFFFFF" w:val="clear"/>
        </w:rPr>
        <w:t>General, Selling and Administrative Costs</w:t>
      </w:r>
      <w:r>
        <w:rPr>
          <w:rFonts w:ascii="Times New Roman;Times;serif" w:hAnsi="Times New Roman;Times;serif"/>
          <w:sz w:val="20"/>
        </w:rPr>
        <w:t xml:space="preserve"> </w:t>
      </w:r>
    </w:p>
    <w:p>
      <w:pPr>
        <w:pStyle w:val="TextBody"/>
        <w:bidi w:val="0"/>
        <w:spacing w:before="0" w:after="0"/>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During the 2025 quarter, selling, general and administrative costs increased approximately $0.9 million compared to the 2024 quarter. This increase is primarily related to increased incentive compensation expense due to the higher earnings in the 2025 quarter compared to the 2024 quarter.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Income Taxes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Income taxes increased from a provision for the </w:t>
      </w:r>
      <w:r>
        <w:rPr>
          <w:rFonts w:ascii="Times New Roman;Times;serif" w:hAnsi="Times New Roman;Times;serif"/>
          <w:sz w:val="20"/>
        </w:rPr>
        <w:t>2024</w:t>
      </w:r>
      <w:r>
        <w:rPr>
          <w:rFonts w:ascii="Times New Roman;Times;serif" w:hAnsi="Times New Roman;Times;serif"/>
          <w:sz w:val="20"/>
          <w:shd w:fill="FFFFFF" w:val="clear"/>
        </w:rPr>
        <w:t xml:space="preserve"> quarter of approximately $0.7 million to a provision for the </w:t>
      </w:r>
      <w:r>
        <w:rPr>
          <w:rFonts w:ascii="Times New Roman;Times;serif" w:hAnsi="Times New Roman;Times;serif"/>
          <w:sz w:val="20"/>
        </w:rPr>
        <w:t>2025</w:t>
      </w:r>
      <w:r>
        <w:rPr>
          <w:rFonts w:ascii="Times New Roman;Times;serif" w:hAnsi="Times New Roman;Times;serif"/>
          <w:sz w:val="20"/>
          <w:shd w:fill="FFFFFF" w:val="clear"/>
        </w:rPr>
        <w:t> quarter of approximately </w:t>
      </w:r>
      <w:r>
        <w:rPr>
          <w:rFonts w:ascii="Times New Roman;Times;serif" w:hAnsi="Times New Roman;Times;serif"/>
          <w:sz w:val="20"/>
        </w:rPr>
        <w:t>$1.6 million. This increase was primarily related to increased earnings before taxes for the 2025</w:t>
      </w:r>
      <w:r>
        <w:rPr>
          <w:rFonts w:ascii="Times New Roman;Times;serif" w:hAnsi="Times New Roman;Times;serif"/>
          <w:sz w:val="20"/>
          <w:shd w:fill="FFFFFF" w:val="clear"/>
        </w:rPr>
        <w:t> </w:t>
      </w:r>
      <w:r>
        <w:rPr>
          <w:rFonts w:ascii="Times New Roman;Times;serif" w:hAnsi="Times New Roman;Times;serif"/>
          <w:sz w:val="20"/>
        </w:rPr>
        <w:t>quarter. The income tax provision as a percentage of earnings before tax was approximately 24.3% and 22.2% for the three months ended June 30, 2025 and 2024, respectively</w:t>
      </w:r>
      <w:r>
        <w:rPr>
          <w:rFonts w:ascii="Times New Roman;Times;serif" w:hAnsi="Times New Roman;Times;serif"/>
          <w:sz w:val="20"/>
          <w:shd w:fill="FFFFFF" w:val="clear"/>
        </w:rPr>
        <w:t>. For both quarters, </w:t>
      </w:r>
      <w:r>
        <w:rPr>
          <w:rFonts w:ascii="Times New Roman;Times;serif" w:hAnsi="Times New Roman;Times;serif"/>
          <w:sz w:val="20"/>
        </w:rPr>
        <w:t>the effective tax rate differed from the federal statutory rate due primarily to the inclusion of state tax expenses in the provision with this impact partially reduced by the tax effect of restricted stock vesting during the quarters</w:t>
      </w:r>
      <w:r>
        <w:rPr>
          <w:rFonts w:ascii="Times New Roman;Times;serif" w:hAnsi="Times New Roman;Times;serif"/>
          <w:sz w:val="20"/>
          <w:shd w:fill="FFFFFF" w:val="clea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purchased steel, inbound freight, transfer freight and certain external processing costs.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purchased steel.</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reconciles the GAAP measure for gross profit to the non-GAAP measure adjusted gross profit (in thousands):</w:t>
      </w:r>
    </w:p>
    <w:p>
      <w:pPr>
        <w:pStyle w:val="TextBody"/>
        <w:bidi w:val="0"/>
        <w:spacing w:before="0" w:after="0"/>
        <w:ind w:left="0" w:right="0" w:hanging="0"/>
        <w:jc w:val="left"/>
        <w:rPr>
          <w:caps w:val="false"/>
          <w:smallCaps w:val="false"/>
        </w:rPr>
      </w:pPr>
      <w:r>
        <w:rPr>
          <w:caps w:val="false"/>
          <w:smallCaps w:val="false"/>
        </w:rPr>
        <w:t> </w:t>
      </w:r>
    </w:p>
    <w:tbl>
      <w:tblPr>
        <w:tblW w:w="6741" w:type="dxa"/>
        <w:jc w:val="left"/>
        <w:tblInd w:w="0" w:type="dxa"/>
        <w:tblLayout w:type="fixed"/>
        <w:tblCellMar>
          <w:top w:w="0" w:type="dxa"/>
          <w:left w:w="0" w:type="dxa"/>
          <w:bottom w:w="0" w:type="dxa"/>
          <w:right w:w="0" w:type="dxa"/>
        </w:tblCellMar>
      </w:tblPr>
      <w:tblGrid>
        <w:gridCol w:w="4295"/>
        <w:gridCol w:w="60"/>
        <w:gridCol w:w="187"/>
        <w:gridCol w:w="886"/>
        <w:gridCol w:w="90"/>
        <w:gridCol w:w="90"/>
        <w:gridCol w:w="187"/>
        <w:gridCol w:w="886"/>
        <w:gridCol w:w="60"/>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(GAAP measure)</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8,178</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6,051</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(non-GAAP measure presented)</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POSITION, LIQUIDITY AND CAPITAL RESOURCES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The Company’s current ratio was</w:t>
      </w:r>
      <w:r>
        <w:rPr>
          <w:rFonts w:ascii="Times New Roman;Times;serif" w:hAnsi="Times New Roman;Times;serif"/>
          <w:sz w:val="20"/>
        </w:rPr>
        <w:t> 3.9 a</w:t>
      </w:r>
      <w:r>
        <w:rPr>
          <w:rFonts w:ascii="Times New Roman;Times;serif" w:hAnsi="Times New Roman;Times;serif"/>
          <w:sz w:val="20"/>
          <w:shd w:fill="FFFFFF" w:val="clear"/>
        </w:rPr>
        <w:t xml:space="preserve">t </w:t>
      </w:r>
      <w:r>
        <w:rPr>
          <w:rFonts w:ascii="Times New Roman;Times;serif" w:hAnsi="Times New Roman;Times;serif"/>
          <w:sz w:val="20"/>
        </w:rPr>
        <w:t>June 30, 2025</w:t>
      </w:r>
      <w:r>
        <w:rPr>
          <w:rFonts w:ascii="Times New Roman;Times;serif" w:hAnsi="Times New Roman;Times;serif"/>
          <w:sz w:val="20"/>
          <w:shd w:fill="FFFFFF" w:val="clear"/>
        </w:rPr>
        <w:t xml:space="preserve"> and 4.3 at </w:t>
      </w:r>
      <w:r>
        <w:rPr>
          <w:rFonts w:ascii="Times New Roman;Times;serif" w:hAnsi="Times New Roman;Times;serif"/>
          <w:sz w:val="20"/>
        </w:rPr>
        <w:t>March 31, 2025</w:t>
      </w:r>
      <w:r>
        <w:rPr>
          <w:rFonts w:ascii="Times New Roman;Times;serif" w:hAnsi="Times New Roman;Times;serif"/>
          <w:sz w:val="20"/>
          <w:shd w:fill="FFFFFF" w:val="clear"/>
        </w:rPr>
        <w:t>. Working capital was approximately</w:t>
      </w:r>
      <w:r>
        <w:rPr>
          <w:rFonts w:ascii="Times New Roman;Times;serif" w:hAnsi="Times New Roman;Times;serif"/>
          <w:sz w:val="20"/>
        </w:rPr>
        <w:t> $117.5 million</w:t>
      </w:r>
      <w:r>
        <w:rPr>
          <w:rFonts w:ascii="Times New Roman;Times;serif" w:hAnsi="Times New Roman;Times;serif"/>
          <w:sz w:val="20"/>
          <w:shd w:fill="FFFFFF" w:val="clear"/>
        </w:rPr>
        <w:t xml:space="preserve"> at </w:t>
      </w:r>
      <w:r>
        <w:rPr>
          <w:rFonts w:ascii="Times New Roman;Times;serif" w:hAnsi="Times New Roman;Times;serif"/>
          <w:sz w:val="20"/>
        </w:rPr>
        <w:t>June 30, 2025</w:t>
      </w:r>
      <w:r>
        <w:rPr>
          <w:rFonts w:ascii="Times New Roman;Times;serif" w:hAnsi="Times New Roman;Times;serif"/>
          <w:sz w:val="20"/>
          <w:shd w:fill="FFFFFF" w:val="clear"/>
        </w:rPr>
        <w:t xml:space="preserve"> and $128.1 million at </w:t>
      </w:r>
      <w:r>
        <w:rPr>
          <w:rFonts w:ascii="Times New Roman;Times;serif" w:hAnsi="Times New Roman;Times;serif"/>
          <w:sz w:val="20"/>
        </w:rPr>
        <w:t>March 31, 2025</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June 30, 2025, the Company maintained assets and liabilities at levels it believed were commensurate with operations. Changes in balance sheet amounts occurred in the ordinary course of business. Cash and restricted cash decreased due primarily to cash used for the purchase of property, plant and equipment and the reduction of debt. The Company ex</w:t>
      </w:r>
      <w:r>
        <w:rPr>
          <w:rFonts w:ascii="Times New Roman;Times;serif" w:hAnsi="Times New Roman;Times;serif"/>
          <w:sz w:val="20"/>
          <w:shd w:fill="FFFFFF" w:val="clear"/>
        </w:rPr>
        <w:t>pects to continue to monitor, evaluate and manage balance sheet components depending on changes in market conditions and the Company’s operations.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has a $150 million asset-based lending facility ("ABL Facility") in place with JPMorgan Chase Bank, N.A. as the arranging agent and BMO Harris Bank, N.A. as a one-third syndicated participant. On May 6, 2025, the Company executed the fourth amendment to the credit agreement which extended the maturity date of the ABL Facility to August 19, 2026. The ABL Facility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$25 million, in minimum increments of $5 million. At June 30, 2025, the Company had a balance of approximately $33.0 million under the ABL Facility with an applicable interest rate of 6.2%. At June 30, 2025, the Company's applicable borrowing base calculation supported access to approximately $103.7 million of the ABL Facility. As of the filing date of this Form 10-Q, the Company had borrowings of approximately $27.9 million outstanding under the ABL Facility and the Company's most recent borrowing base calculation provided access to approximately $104.3 million of the ABL Facility.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believes that its current cash position along with cash flows from operations and borrowing capability due to its financial position are adequate to fund its expected cash requirements for the next 12 months. With maturity of the existing ABL facility approaching one year, the Company is in the process of renewing its credit arrangement.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HEDGING ACTIVITIES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utilizes hot-rolled coil futures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gains of approximately $0.3 million and $5.4 million in the three months ended June 30, 2025</w:t>
      </w:r>
      <w:r>
        <w:rPr>
          <w:rFonts w:ascii="Times New Roman;Times;serif" w:hAnsi="Times New Roman;Times;serif"/>
          <w:sz w:val="20"/>
          <w:shd w:fill="FFFFFF" w:val="clear"/>
        </w:rPr>
        <w:t xml:space="preserve"> and 2024,</w:t>
      </w:r>
      <w:r>
        <w:rPr>
          <w:rFonts w:ascii="Times New Roman;Times;serif" w:hAnsi="Times New Roman;Times;serif"/>
          <w:sz w:val="20"/>
        </w:rPr>
        <w:t xml:space="preserve"> respectively, related to hedging activities with all of this being classified as economic hedges of risk. With MTM accounting treatment it is possible that hedging related gains or losses might be recognized in a different fiscal quarter or fiscal year than the corresponding improvement or contraction in our physical margins. See Note 8 for additional information related to the Company's hedging activities.</w:t>
      </w:r>
    </w:p>
    <w:p>
      <w:pPr>
        <w:pStyle w:val="TextBody"/>
        <w:bidi w:val="0"/>
        <w:spacing w:before="0" w:after="0"/>
        <w:ind w:left="0" w:right="0" w:firstLine="54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expects sales volume for its second quarter of fiscal 2026 to be slightly higher than the sales volume for the first fiscal quarter as the Company progresses on its efforts to increase the capacity utilization of its facilities. Hot-rolled coil prices softened at the end of the first quarter and the start of the second quarter. As a result, the Company expects lower margins for the second quarter compared to the first quarter.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generally accepted accounting principles may require management to make estimates and assumptions that affect the amounts reported in the consolidated financial statements and accompanying notes. Actual results could differ from any estimates. The Company did not identify any significant estimates or judgements related to the consolidated financial statements and accompanying notes presented in this Form 10-Q filing.</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CAUTIONARY NOTE REGARDING FORWARD-LOOKING STATEMENTS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sz w:val="20"/>
        </w:rPr>
      </w:pPr>
      <w:bookmarkStart w:id="6" w:name="quan"/>
      <w:bookmarkEnd w:id="6"/>
      <w:r>
        <w:rPr>
          <w:rFonts w:ascii="Times New Roman;Times;serif" w:hAnsi="Times New Roman;Times;serif"/>
          <w:b/>
          <w:sz w:val="20"/>
        </w:rPr>
        <w:t xml:space="preserve">Item 3. Quantitative and Qualitative Disclosures About Market Risk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required.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 w:name="conpro"/>
      <w:bookmarkEnd w:id="7"/>
      <w:r>
        <w:rPr>
          <w:rFonts w:ascii="Times New Roman;Times;serif" w:hAnsi="Times New Roman;Times;serif"/>
          <w:b/>
          <w:sz w:val="20"/>
        </w:rPr>
        <w:t xml:space="preserve">Item 4. Controls and Procedures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on this evaluation, the Company’s CEO and principal financial officer have concluded that the Company’s disclosure controls and procedures were effective as of the end of the fiscal quarter ended June 30, 2025 to ensure that information that is required to be disclosed by the Company in the reports it files or submits under the Exchange Act is (i) recorded, processed, summarized and reported within the time periods specified in the SEC’s rules and forms and (ii) accumulated and communicated to the Company’s management, including the CEO and principal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that occurred during the fiscal quarter ended June 30, 2025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FRIEDMAN INDUSTRIES, INCORPORATED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Three Months Ended June 30, 2025</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8" w:name="ptwo"/>
      <w:bookmarkEnd w:id="8"/>
      <w:r>
        <w:rPr>
          <w:rFonts w:ascii="Times New Roman;Times;serif" w:hAnsi="Times New Roman;Times;serif"/>
          <w:b/>
          <w:sz w:val="20"/>
        </w:rPr>
        <w:t xml:space="preserve">Part II — OTHER INFORMATION </w:t>
      </w:r>
      <w:r>
        <w:rPr>
          <w:rFonts w:ascii="Times New Roman;Times;serif" w:hAnsi="Times New Roman;Times;serif"/>
          <w:sz w:val="20"/>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w:t>
      </w:r>
      <w:r>
        <w:rPr>
          <w:rStyle w:val="Emphasis"/>
          <w:rFonts w:ascii="Times New Roman;Times;serif" w:hAnsi="Times New Roman;Times;serif"/>
          <w:sz w:val="20"/>
        </w:rPr>
        <w:t>none</w:t>
      </w:r>
      <w:r>
        <w:rPr>
          <w:rFonts w:ascii="Times New Roman;Times;serif" w:hAnsi="Times New Roman;Times;serif"/>
          <w:sz w:val="20"/>
        </w:rPr>
        <w:t xml:space="preserve"> of our officers or directors adopted, modified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as each term is defined in Item </w:t>
      </w:r>
      <w:r>
        <w:rPr>
          <w:rStyle w:val="Emphasis"/>
          <w:rFonts w:ascii="Times New Roman;Times;serif" w:hAnsi="Times New Roman;Times;serif"/>
          <w:sz w:val="20"/>
        </w:rPr>
        <w:t>408</w:t>
      </w:r>
      <w:r>
        <w:rPr>
          <w:rFonts w:ascii="Times New Roman;Times;serif" w:hAnsi="Times New Roman;Times;serif"/>
          <w:sz w:val="20"/>
        </w:rPr>
        <w:t>(a) and (c), respectively, of Regulation S-K, for the purchase or sale of our securities.</w:t>
      </w:r>
    </w:p>
    <w:p>
      <w:pPr>
        <w:pStyle w:val="TextBody"/>
        <w:bidi w:val="0"/>
        <w:spacing w:before="0" w:after="0"/>
        <w:ind w:left="0" w:right="0" w:firstLine="54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9" w:name="exes"/>
      <w:bookmarkEnd w:id="9"/>
      <w:r>
        <w:rPr>
          <w:rFonts w:ascii="Times New Roman;Times;serif" w:hAnsi="Times New Roman;Times;serif"/>
          <w:b/>
          <w:sz w:val="20"/>
        </w:rPr>
        <w:t xml:space="preserve">Item 6. Exhibits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98"/>
        <w:gridCol w:w="303"/>
        <w:gridCol w:w="8904"/>
      </w:tblGrid>
      <w:tr>
        <w:trPr/>
        <w:tc>
          <w:tcPr>
            <w:tcW w:w="99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Exhibits</w:t>
            </w:r>
          </w:p>
        </w:tc>
        <w:tc>
          <w:tcPr>
            <w:tcW w:w="303" w:type="dxa"/>
            <w:tcBorders/>
            <w:vAlign w:val="center"/>
          </w:tcPr>
          <w:p>
            <w:pPr>
              <w:pStyle w:val="TableContents"/>
              <w:bidi w:val="0"/>
              <w:spacing w:before="0" w:after="0"/>
              <w:ind w:left="0" w:right="0" w:hanging="0"/>
              <w:jc w:val="left"/>
              <w:rPr/>
            </w:pPr>
            <w:r>
              <w:rPr/>
              <w:t> </w:t>
            </w:r>
          </w:p>
        </w:tc>
        <w:tc>
          <w:tcPr>
            <w:tcW w:w="8904" w:type="dxa"/>
            <w:tcBorders/>
            <w:vAlign w:val="center"/>
          </w:tcPr>
          <w:p>
            <w:pPr>
              <w:pStyle w:val="TableContents"/>
              <w:bidi w:val="0"/>
              <w:spacing w:before="0" w:after="0"/>
              <w:ind w:left="0" w:right="0" w:hanging="0"/>
              <w:jc w:val="left"/>
              <w:rPr/>
            </w:pPr>
            <w:r>
              <w:rPr/>
              <w:t> </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3.1</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sz w:val="20"/>
                </w:rPr>
                <w:t>Articles of Incorporation of the Company, as amended (incorporated by reference from Exhibit 3.1 to the Company’s Form S-8 filed on December 21, 2016).</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3.2</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sz w:val="20"/>
                </w:rPr>
                <w:t>Articles of Amendment to the Articles of Incorporation of the Company, as filed with the Texas Secretary of State on September 22, 1987 (incorporated by reference from Exhibit 3.1 to the Company’s Form S-8 filed on December 21, 2016).</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3.3</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sz w:val="20"/>
                </w:rPr>
                <w:t>Amended and Restated Bylaws of the Company, as amended on November 8, 2021. (incorporated by reference from Exhibit 3.3 to the Company's Form 10-Q filed on November 19, 2021).</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pPr>
            <w:r>
              <w:rPr/>
              <w:t xml:space="preserve">  </w:t>
            </w:r>
            <w:r>
              <w:rPr/>
              <w:t>10.1</w:t>
            </w:r>
          </w:p>
        </w:tc>
        <w:tc>
          <w:tcPr>
            <w:tcW w:w="303" w:type="dxa"/>
            <w:tcBorders/>
            <w:vAlign w:val="center"/>
          </w:tcPr>
          <w:p>
            <w:pPr>
              <w:pStyle w:val="TableContents"/>
              <w:bidi w:val="0"/>
              <w:spacing w:before="0" w:after="283"/>
              <w:jc w:val="left"/>
              <w:rPr/>
            </w:pPr>
            <w:r>
              <w:rPr/>
              <w:t>—</w:t>
            </w:r>
          </w:p>
        </w:tc>
        <w:tc>
          <w:tcPr>
            <w:tcW w:w="8904" w:type="dxa"/>
            <w:tcBorders/>
            <w:vAlign w:val="center"/>
          </w:tcPr>
          <w:p>
            <w:pPr>
              <w:pStyle w:val="TableContents"/>
              <w:bidi w:val="0"/>
              <w:spacing w:before="0" w:after="283"/>
              <w:jc w:val="both"/>
              <w:rPr/>
            </w:pPr>
            <w:hyperlink r:id="rId5">
              <w:r>
                <w:rPr>
                  <w:rStyle w:val="InternetLink"/>
                </w:rPr>
                <w:t>Friedman Industries, Incorporated Key Employee Change In Control Severance Plan. (incorporated by reference from Exhibit 10.1 to the Company's Form 10-Q filed on November 12, 2024).</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pPr>
            <w:r>
              <w:rPr/>
              <w:t xml:space="preserve">  </w:t>
            </w:r>
            <w:r>
              <w:rPr/>
              <w:t>10.2</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hyperlink r:id="rId6">
              <w:r>
                <w:rPr>
                  <w:rStyle w:val="InternetLink"/>
                </w:rPr>
                <w:t>Fourth Amendment to Amended and Restated Credit Agreement (incorporated by reference from Exhibit 10.9 to the Company’s Form 10-K for the fiscal year ended March 31, 2025 filed on June 12, 2025).</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31.1</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both"/>
              <w:rPr/>
            </w:pPr>
            <w:hyperlink w:anchor="ex_832320.htm">
              <w:r>
                <w:rPr>
                  <w:rStyle w:val="InternetLink"/>
                  <w:rFonts w:ascii="Times New Roman;Times;serif" w:hAnsi="Times New Roman;Times;serif"/>
                  <w:sz w:val="20"/>
                </w:rPr>
                <w:t>Certification Pursuant to Section 302 of the Sarbanes-Oxley Act of 2002, signed by Michael J. Taylor.</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31.2</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both"/>
              <w:rPr/>
            </w:pPr>
            <w:hyperlink w:anchor="ex_832321.htm">
              <w:r>
                <w:rPr>
                  <w:rStyle w:val="InternetLink"/>
                  <w:rFonts w:ascii="Times New Roman;Times;serif" w:hAnsi="Times New Roman;Times;serif"/>
                  <w:sz w:val="20"/>
                </w:rPr>
                <w:t>Certification Pursuant to Section 302 of the Sarbanes-Oxley Act of 2002, signed by Alex LaRue.</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32.1</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both"/>
              <w:rPr/>
            </w:pPr>
            <w:hyperlink w:anchor="ex_832322.htm">
              <w:r>
                <w:rPr>
                  <w:rStyle w:val="InternetLink"/>
                  <w:rFonts w:ascii="Times New Roman;Times;serif" w:hAnsi="Times New Roman;Times;serif"/>
                  <w:sz w:val="20"/>
                </w:rPr>
                <w:t>Certification Pursuant to 18 U.S.C. Section 1350, as Adopted Pursuant to Section 906 of the Sarbanes-Oxley Act of 2002, signed by Michael J. Taylor.</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32.2</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both"/>
              <w:rPr/>
            </w:pPr>
            <w:hyperlink w:anchor="ex_832323.htm">
              <w:r>
                <w:rPr>
                  <w:rStyle w:val="InternetLink"/>
                  <w:rFonts w:ascii="Times New Roman;Times;serif" w:hAnsi="Times New Roman;Times;serif"/>
                  <w:sz w:val="20"/>
                </w:rPr>
                <w:t>Certification Pursuant to 18 U.S.C. Section 1350, as Adopted Pursuant to Section 906 of the Sarbanes-Oxley Act of 2002, signed by Alex LaRue.</w:t>
              </w:r>
            </w:hyperlink>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Schema Document.</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03" w:type="dxa"/>
            <w:tcBorders/>
            <w:vAlign w:val="center"/>
          </w:tcPr>
          <w:p>
            <w:pPr>
              <w:pStyle w:val="TableContents"/>
              <w:bidi w:val="0"/>
              <w:spacing w:before="0" w:after="0"/>
              <w:ind w:left="38" w:right="0" w:hanging="0"/>
              <w:jc w:val="left"/>
              <w:rPr/>
            </w:pPr>
            <w:r>
              <w:rPr/>
              <w:t>—</w:t>
            </w:r>
          </w:p>
        </w:tc>
        <w:tc>
          <w:tcPr>
            <w:tcW w:w="89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pPr>
            <w:r>
              <w:rPr/>
              <w:t>**104</w:t>
            </w:r>
          </w:p>
        </w:tc>
        <w:tc>
          <w:tcPr>
            <w:tcW w:w="303" w:type="dxa"/>
            <w:tcBorders/>
            <w:vAlign w:val="center"/>
          </w:tcPr>
          <w:p>
            <w:pPr>
              <w:pStyle w:val="TableContents"/>
              <w:bidi w:val="0"/>
              <w:spacing w:before="0" w:after="283"/>
              <w:jc w:val="left"/>
              <w:rPr/>
            </w:pPr>
            <w:r>
              <w:rPr/>
              <w:t>—</w:t>
            </w:r>
          </w:p>
        </w:tc>
        <w:tc>
          <w:tcPr>
            <w:tcW w:w="8904" w:type="dxa"/>
            <w:tcBorders/>
            <w:vAlign w:val="center"/>
          </w:tcPr>
          <w:p>
            <w:pPr>
              <w:pStyle w:val="TableContents"/>
              <w:bidi w:val="0"/>
              <w:spacing w:before="0" w:after="283"/>
              <w:jc w:val="both"/>
              <w:rPr/>
            </w:pPr>
            <w:r>
              <w:rPr/>
              <w:t>Cover Page Interactive File (formatted as Inline XBRL and contained in Exhibit 101)</w:t>
            </w:r>
          </w:p>
        </w:tc>
      </w:tr>
      <w:tr>
        <w:trPr/>
        <w:tc>
          <w:tcPr>
            <w:tcW w:w="99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pPr>
            <w:r>
              <w:rPr/>
              <w:t> </w:t>
            </w:r>
          </w:p>
        </w:tc>
      </w:tr>
      <w:tr>
        <w:trPr/>
        <w:tc>
          <w:tcPr>
            <w:tcW w:w="1301" w:type="dxa"/>
            <w:gridSpan w:val="2"/>
            <w:tcBorders/>
            <w:vAlign w:val="center"/>
          </w:tcPr>
          <w:p>
            <w:pPr>
              <w:pStyle w:val="TableContents"/>
              <w:bidi w:val="0"/>
              <w:spacing w:before="0" w:after="283"/>
              <w:jc w:val="left"/>
              <w:rPr/>
            </w:pPr>
            <w:r>
              <w:rPr/>
              <w:t>** Filed herewith.</w:t>
            </w:r>
          </w:p>
        </w:tc>
        <w:tc>
          <w:tcPr>
            <w:tcW w:w="8904"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bookmarkStart w:id="10" w:name="sigs"/>
      <w:bookmarkEnd w:id="10"/>
      <w:r>
        <w:rPr>
          <w:rFonts w:ascii="Times New Roman;Times;serif" w:hAnsi="Times New Roman;Times;serif"/>
          <w:b/>
          <w:sz w:val="20"/>
        </w:rPr>
        <w:t xml:space="preserve">SIGNATURES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6330" w:type="dxa"/>
        <w:jc w:val="left"/>
        <w:tblInd w:w="0" w:type="dxa"/>
        <w:tblLayout w:type="fixed"/>
        <w:tblCellMar>
          <w:top w:w="0" w:type="dxa"/>
          <w:left w:w="0" w:type="dxa"/>
          <w:bottom w:w="0" w:type="dxa"/>
          <w:right w:w="0" w:type="dxa"/>
        </w:tblCellMar>
      </w:tblPr>
      <w:tblGrid>
        <w:gridCol w:w="1760"/>
        <w:gridCol w:w="60"/>
        <w:gridCol w:w="260"/>
        <w:gridCol w:w="4250"/>
      </w:tblGrid>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FRIEDMAN INDUSTRIES, INCORPORATED</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2025</w:t>
            </w:r>
          </w:p>
        </w:tc>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 LARUE        </w:t>
            </w:r>
          </w:p>
        </w:tc>
      </w:tr>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Alex LaRue, Chief Financial Officer – Secretary and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Treasurer (Principal Financial Officer)</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18 </w:t>
      </w:r>
    </w:p>
    <w:p>
      <w:pPr>
        <w:pStyle w:val="TextBody"/>
        <w:bidi w:val="0"/>
        <w:spacing w:before="0" w:after="0"/>
        <w:ind w:left="0" w:right="0" w:hanging="0"/>
        <w:jc w:val="right"/>
        <w:rPr>
          <w:rFonts w:ascii="Times New Roman;Times;serif" w:hAnsi="Times New Roman;Times;serif"/>
          <w:b/>
          <w:sz w:val="20"/>
        </w:rPr>
      </w:pPr>
      <w:bookmarkStart w:id="11" w:name="ex_832320.htm"/>
      <w:bookmarkStart w:id="12" w:name="ksex_832320"/>
      <w:bookmarkEnd w:id="11"/>
      <w:bookmarkEnd w:id="12"/>
      <w:r>
        <w:rPr>
          <w:rFonts w:ascii="Times New Roman;Times;serif" w:hAnsi="Times New Roman;Times;serif"/>
          <w:b/>
          <w:sz w:val="20"/>
        </w:rPr>
        <w:t xml:space="preserve">EXHIBIT 31.1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Michael J. Taylor, certify that: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report on Form 10-Q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540" w:right="0" w:firstLine="54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140" w:type="dxa"/>
        <w:jc w:val="left"/>
        <w:tblInd w:w="0" w:type="dxa"/>
        <w:tblLayout w:type="fixed"/>
        <w:tblCellMar>
          <w:top w:w="0" w:type="dxa"/>
          <w:left w:w="0" w:type="dxa"/>
          <w:bottom w:w="28" w:type="dxa"/>
          <w:right w:w="0" w:type="dxa"/>
        </w:tblCellMar>
      </w:tblPr>
      <w:tblGrid>
        <w:gridCol w:w="3140"/>
      </w:tblGrid>
      <w:tr>
        <w:trPr/>
        <w:tc>
          <w:tcPr>
            <w:tcW w:w="31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TAYLOR</w:t>
            </w:r>
          </w:p>
        </w:tc>
      </w:tr>
      <w:tr>
        <w:trPr/>
        <w:tc>
          <w:tcPr>
            <w:tcW w:w="3140" w:type="dxa"/>
            <w:tcBorders/>
            <w:tcMar>
              <w:bottom w:w="0"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3" w:name="ex_832321.htm"/>
      <w:bookmarkStart w:id="14" w:name="ksex_832321"/>
      <w:bookmarkEnd w:id="13"/>
      <w:bookmarkEnd w:id="14"/>
      <w:r>
        <w:rPr>
          <w:rFonts w:ascii="Times New Roman;Times;serif" w:hAnsi="Times New Roman;Times;serif"/>
          <w:b/>
          <w:sz w:val="20"/>
        </w:rPr>
        <w:t xml:space="preserve">EXHIBIT 31.2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Alex LaRue, certify that: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report on Form 10-Q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2025</w:t>
      </w:r>
    </w:p>
    <w:p>
      <w:pPr>
        <w:pStyle w:val="TextBody"/>
        <w:bidi w:val="0"/>
        <w:spacing w:before="0" w:after="0"/>
        <w:ind w:left="0" w:right="0" w:hanging="0"/>
        <w:jc w:val="left"/>
        <w:rPr/>
      </w:pPr>
      <w:r>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r>
      <w:tr>
        <w:trPr/>
        <w:tc>
          <w:tcPr>
            <w:tcW w:w="4145" w:type="dxa"/>
            <w:tcBorders/>
            <w:tcMar>
              <w:bottom w:w="0"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 Secretary and Treasurer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5" w:name="ex_832322.htm"/>
      <w:bookmarkStart w:id="16" w:name="ksex_832322"/>
      <w:bookmarkEnd w:id="15"/>
      <w:bookmarkEnd w:id="16"/>
      <w:r>
        <w:rPr>
          <w:rFonts w:ascii="Times New Roman;Times;serif" w:hAnsi="Times New Roman;Times;serif"/>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 connection with the Quarterly Report of Friedman Industries, Incorporated (the “Company”) on Form 10-Q for the period ended</w:t>
      </w:r>
      <w:r>
        <w:rPr>
          <w:rFonts w:ascii="Times New Roman;Times;serif" w:hAnsi="Times New Roman;Times;serif"/>
          <w:sz w:val="20"/>
          <w:shd w:fill="FFFFFF" w:val="clear"/>
        </w:rPr>
        <w:t xml:space="preserve"> </w:t>
      </w:r>
      <w:bookmarkStart w:id="17" w:name="led83830F2021121612298839707"/>
      <w:bookmarkEnd w:id="17"/>
      <w:r>
        <w:rPr>
          <w:rFonts w:ascii="Times New Roman;Times;serif" w:hAnsi="Times New Roman;Times;serif"/>
          <w:sz w:val="20"/>
        </w:rPr>
        <w:t>June 30, 2025,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tbl>
      <w:tblPr>
        <w:tblW w:w="9920" w:type="dxa"/>
        <w:jc w:val="left"/>
        <w:tblInd w:w="0" w:type="dxa"/>
        <w:tblLayout w:type="fixed"/>
        <w:tblCellMar>
          <w:top w:w="0" w:type="dxa"/>
          <w:left w:w="0" w:type="dxa"/>
          <w:bottom w:w="0" w:type="dxa"/>
          <w:right w:w="0" w:type="dxa"/>
        </w:tblCellMar>
      </w:tblPr>
      <w:tblGrid>
        <w:gridCol w:w="60"/>
        <w:gridCol w:w="9860"/>
      </w:tblGrid>
      <w:tr>
        <w:trPr/>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560"/>
        <w:gridCol w:w="309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Taylor</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J. Taylor</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8" w:name="ex_832323.htm"/>
      <w:bookmarkStart w:id="19" w:name="ksex_832323"/>
      <w:bookmarkEnd w:id="18"/>
      <w:bookmarkEnd w:id="19"/>
      <w:r>
        <w:rPr>
          <w:rFonts w:ascii="Times New Roman;Times;serif" w:hAnsi="Times New Roman;Times;serif"/>
          <w:b/>
          <w:sz w:val="20"/>
        </w:rPr>
        <w:t xml:space="preserve">EXHIBIT 32.2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In connection with the Quarterly Report of Friedman Industries, Incorporated (the “Company”) on Form 10-Q for the period ended </w:t>
      </w:r>
      <w:bookmarkStart w:id="20" w:name="led83830F2021121612298873697"/>
      <w:bookmarkEnd w:id="20"/>
      <w:r>
        <w:rPr>
          <w:rFonts w:ascii="Times New Roman;Times;serif" w:hAnsi="Times New Roman;Times;serif"/>
          <w:sz w:val="20"/>
        </w:rPr>
        <w:t>June 30, 2025,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tbl>
      <w:tblPr>
        <w:tblW w:w="9920" w:type="dxa"/>
        <w:jc w:val="left"/>
        <w:tblInd w:w="0" w:type="dxa"/>
        <w:tblLayout w:type="fixed"/>
        <w:tblCellMar>
          <w:top w:w="0" w:type="dxa"/>
          <w:left w:w="0" w:type="dxa"/>
          <w:bottom w:w="0" w:type="dxa"/>
          <w:right w:w="0" w:type="dxa"/>
        </w:tblCellMar>
      </w:tblPr>
      <w:tblGrid>
        <w:gridCol w:w="60"/>
        <w:gridCol w:w="9860"/>
      </w:tblGrid>
      <w:tr>
        <w:trPr/>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560"/>
        <w:gridCol w:w="398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Alex LaRue</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 Secretary and Treasurer</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9092/000143774916043636/ex3-1.htm" TargetMode="External"/><Relationship Id="rId3" Type="http://schemas.openxmlformats.org/officeDocument/2006/relationships/hyperlink" Target="http://www.sec.gov/Archives/edgar/data/39092/000143774916043636/ex3-1.htm" TargetMode="External"/><Relationship Id="rId4" Type="http://schemas.openxmlformats.org/officeDocument/2006/relationships/hyperlink" Target="http://www.sec.gov/Archives/edgar/data/39092/000143774921027176/ex_309205.htm" TargetMode="External"/><Relationship Id="rId5" Type="http://schemas.openxmlformats.org/officeDocument/2006/relationships/hyperlink" Target="http://www.sec.gov/Archives/edgar/data/39092/000143774924034552/ex_745623.htm" TargetMode="External"/><Relationship Id="rId6" Type="http://schemas.openxmlformats.org/officeDocument/2006/relationships/hyperlink" Target="http://www.sec.gov/Archives/edgar/data/39092/000143774925020219/ex_828486.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10264</Words>
  <Characters>57214</Characters>
  <CharactersWithSpaces>68884</CharactersWithSpaces>
  <Paragraphs>3533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