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3180" w:right="1660" w:hanging="3172"/>
        <w:spacing w:after="0" w:line="500" w:lineRule="auto"/>
        <w:tabs>
          <w:tab w:leader="none" w:pos="4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4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FRIEDMAN INDUSTRIES,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74-1504405</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(Check one):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February 7, 2025, the number of shares outstanding of the issuer’s only class of stock was 6,970,536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2" w:right="339" w:bottom="20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24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340" w:type="dxa"/>
            <w:vAlign w:val="bottom"/>
            <w:gridSpan w:val="5"/>
          </w:tcPr>
          <w:p>
            <w:pPr>
              <w:spacing w:after="0"/>
              <w:rPr>
                <w:sz w:val="15"/>
                <w:szCs w:val="15"/>
                <w:color w:val="auto"/>
              </w:rPr>
            </w:pP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8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32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960" w:type="dxa"/>
            <w:vAlign w:val="bottom"/>
            <w:tcBorders>
              <w:top w:val="single" w:sz="8" w:color="CCEEFF"/>
            </w:tcBorders>
            <w:gridSpan w:val="9"/>
          </w:tcPr>
          <w:p>
            <w:pPr>
              <w:spacing w:after="0"/>
              <w:rPr>
                <w:sz w:val="15"/>
                <w:szCs w:val="15"/>
                <w:color w:val="auto"/>
              </w:rPr>
            </w:pPr>
          </w:p>
        </w:tc>
        <w:tc>
          <w:tcPr>
            <w:tcW w:w="18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10"/>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r>
      <w:tr>
        <w:trPr>
          <w:trHeight w:val="198"/>
        </w:trPr>
        <w:tc>
          <w:tcPr>
            <w:tcW w:w="7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credit losses and cash discounts of $145 and $97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and March 31, 2024,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31,727</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47,329</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115,394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115,804</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3,966</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149,286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170,064</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30,906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30,900</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56,586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53,607</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(33,040)</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(31,396)</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56,787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56,758</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230,019</w:t>
            </w:r>
          </w:p>
        </w:tc>
      </w:tr>
      <w:tr>
        <w:trPr>
          <w:trHeight w:val="196"/>
        </w:trPr>
        <w:tc>
          <w:tcPr>
            <w:tcW w:w="76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43,886</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5,989</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financing lease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42,276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54,107</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5,257</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32,509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40,293</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82,923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102,544</w:t>
            </w:r>
          </w:p>
        </w:tc>
      </w:tr>
      <w:tr>
        <w:trPr>
          <w:trHeight w:val="210"/>
        </w:trPr>
        <w:tc>
          <w:tcPr>
            <w:tcW w:w="7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$1: Authorized shares — 10,000,000; Issued shares — 8,873,203 shares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and March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8,873</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35,368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35,247</w:t>
            </w:r>
          </w:p>
        </w:tc>
      </w:tr>
      <w:tr>
        <w:trPr>
          <w:trHeight w:val="198"/>
        </w:trPr>
        <w:tc>
          <w:tcPr>
            <w:tcW w:w="7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at cost (1,906,693 shares and 1,896,892 shares at December 31, and March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(12,929)</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96,188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96,284</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127,329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127,475</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230,019</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94,074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315,384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384,019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materials sold (excludes items shown separately below)</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309,157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95,636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318,346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366,434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economic hedges of risk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12,387</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earnings (loss) per share:</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2,293</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Gain recognized on open derivatives not designated for hedge accounting</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realized loss on derivatives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15,602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(27,656)</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w:t>
            </w:r>
          </w:p>
        </w:tc>
      </w:tr>
      <w:tr>
        <w:trPr>
          <w:trHeight w:val="209"/>
        </w:trPr>
        <w:tc>
          <w:tcPr>
            <w:tcW w:w="80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Deposit on steel processing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in cash surrender value of officers’ life insurance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Borrowings on asset based lending facility</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470,404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609,991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Repayments on asset based lending facility</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(478,188)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(597,144)</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7,173</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Cash and restricted cash at December 31, 2024 and March 31, 2024 included approximately $0.1 million and $3.0 million, respectively, of cash required to collateralize open derivative positions. These amounts are reported in "Other current assets" on the Company's consolidated balance sheets at December 31, 2024 and March 31, 2024. The Company had approximately $4.8 million in restricted cash as of December 31, 2023.</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2024.</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for the previous year include certain reclassifications to conform to the current presentation. To conform with the current year presentation, “Cost of products sold” on the consolidated statements of operations was disaggregated into four separate line items: "Cost of materials sold", "Processing and warehousing expense", "Delivery expense" and "Depreciation and amortization". The Company believes this increased level of detail provides financial statement users with a better understanding of the Company's expenses. "Cost of materials sold" provides the costs associated with purchased steel, inbound freight, transfer freight and certain external processing costs. "Processing and warehousing expense" represents the operating costs at our processing facilities. "Delivery expense" represents the costs of delivering products to customers. The amount the Company charged customers for delivery of products is reported within "Net sales" on the consolidated statements of operations. These reclassifications had no impact on previously reported net earnings or stockholders' equity.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evaluating the impact that adoption of the provisions of ASU 2024-03 will have on its consolidated financial statements.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Improvements to Income Tax Disclosures ("ASU 2023-09"). ASU 2023-09 requires that an entity disclose specific categories in the rate reconciliation, provide additional information for reconciling items that are greater than 5 percent of the amount computed by multiplying pretax income (or loss) by the applicable statutory income tax rate, and provide income taxes paid by jurisdiction that are greater than 5 percent of total income taxes paid. The standard also requires that entities disclose income (or loss) from continuing operations before income tax expense (or benefit) and income tax expense (or benefit) each disaggregated between domestic and foreign operations. ASU 2023-09 is effective for annual periods beginning after December 15, 2024. Early adoption is permitted for annual financial statements that have not yet been issued or made available for issuance. ASU 2023-09 is to be applied on a prospective basis, but retrospective application is permitted. The Company is evaluating the impact that adoption of the provisions of ASU 2023-09 will have on its consolidated financial statements.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Improvements to Reportable Segment Disclosures ("ASU 2023-07"). ASU 2023-07 includes requirements that an entity disclose the title of the chief operating decision maker (CODM) and on an interim and annual basis, significant segment expenses and the composition of other segment items for each segment's reported profit. The standard also permits disclosure of additional measures of segment profit. ASU 2023-07 is effective for fiscal years beginning after December 15, 2023, and interim periods within fiscal years beginning after December 15, 2024. Early adoption is permitted. The guidance is to be applied retrospectively to all prior periods presented in the financial statements. The Company is evaluating the impact that adoption of the provisions of ASU 2023-07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INVENTORIES</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operates in two segments: the flat-roll segment and the tubular segment. Both flat-roll segment and tubular segment inventories consist of raw material and finished goods. Cost for substantially all of the Company's inventory is determined using the average cost method. All inventories are valued at the lower of cost or net realizable value. Flat-roll raw material inventory consists of steel coils the Company will process into sheet and plate. Flat-roll finished goods consists of processed sheet and plate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inventory values by product group follows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Flat-Roll raw material</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88,379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85,483</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Flat-Roll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16,504</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17,030</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Tubular raw material</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4,185</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Tubular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4,804</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9,106</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115,394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115,804</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DEBT</w:t>
      </w:r>
    </w:p>
    <w:p>
      <w:pPr>
        <w:sectPr>
          <w:pgSz w:w="11900" w:h="16838" w:orient="portrait"/>
          <w:cols w:equalWidth="0" w:num="1">
            <w:col w:w="11240"/>
          </w:cols>
          <w:pgMar w:left="320" w:top="121" w:right="339" w:bottom="218" w:gutter="0" w:footer="0" w:header="0"/>
        </w:sectPr>
      </w:pPr>
    </w:p>
    <w:bookmarkStart w:id="7" w:name="page8"/>
    <w:bookmarkEnd w:id="7"/>
    <w:p>
      <w:pPr>
        <w:jc w:val="both"/>
        <w:ind w:firstLine="433"/>
        <w:spacing w:after="0" w:line="252" w:lineRule="auto"/>
        <w:rPr>
          <w:sz w:val="20"/>
          <w:szCs w:val="20"/>
          <w:color w:val="auto"/>
        </w:rPr>
      </w:pPr>
      <w:r>
        <w:rPr>
          <w:rFonts w:ascii="Times New Roman" w:cs="Times New Roman" w:eastAsia="Times New Roman" w:hAnsi="Times New Roman"/>
          <w:sz w:val="18"/>
          <w:szCs w:val="18"/>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December 31, 2024, the Company had a balance of approximately $32.5 million under the ABL Facility with an applicable interest rate of 6.5%. At December 31, 2024, the Company's applicable borrowing base calculation supported access to approximately $99.2 million of the ABL Facility.</w:t>
      </w:r>
    </w:p>
    <w:p>
      <w:pPr>
        <w:spacing w:after="0" w:line="19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E — LEASES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for the Granite City, IL facility with an expiration date of August 31, 2028 and optional renewal provisions for up to 4 renewal terms of five years each. The lease calls for monthly rental payments that adjust on an annual basis. The monthly rental payment in place at December 31, 2024 and remaining in place until adjustment in September 2025 is approximately $13,000 per month. The anticipated execution of renewal options for this lease is included in the ROU asset and lease liability calculation. The Company has an operating lease for administrative office space in The Woodlands, TX with an expiration date of February 28, 2029 and a renewal option for one additional 60 month term. The lease calls for monthly rental payments that adjust on an annual basis. The monthly rental payment in place at December 31, 2024 and remaining in place until adjustment in March 2025 is approximately $11,000 per month. The Company’s lease of its office space in Longview, Texas is the only other operating lease included in the Company's ROU assets and lease liabilities. This lease expires on April 30, 2027 and calls for monthly rental payments of approximately $5,000. The Company’s other operating leases for items such as IT equipment and storage space are either short-term in nature or immaterial.</w:t>
      </w:r>
    </w:p>
    <w:p>
      <w:pPr>
        <w:spacing w:after="0" w:line="18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October 2019, the Company acquired equipment under a 5-year finance lease arrangement with a financed amount of approximately $0.5 million and a monthly payment of approximately $9,000. The last payment under this lease was made in October 2024.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for the three and nine months ended December 31, 2024 and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2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220" w:type="dxa"/>
            <w:vAlign w:val="bottom"/>
            <w:gridSpan w:val="4"/>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 amortization of ROU asset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 interest on lease liability</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5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8"/>
                <w:szCs w:val="18"/>
                <w:color w:val="auto"/>
              </w:rPr>
            </w:pP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December 31, 2024 and March 31,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w:t>
            </w: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Property, plant &amp; equipment</w:t>
            </w:r>
          </w:p>
        </w:tc>
      </w:tr>
      <w:tr>
        <w:trPr>
          <w:trHeight w:val="210"/>
        </w:trPr>
        <w:tc>
          <w:tcPr>
            <w:tcW w:w="20" w:type="dxa"/>
            <w:vAlign w:val="bottom"/>
          </w:tcPr>
          <w:p>
            <w:pPr>
              <w:spacing w:after="0"/>
              <w:rPr>
                <w:sz w:val="18"/>
                <w:szCs w:val="18"/>
                <w:color w:val="auto"/>
              </w:rPr>
            </w:pPr>
          </w:p>
        </w:tc>
        <w:tc>
          <w:tcPr>
            <w:tcW w:w="3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Current portion of finance lease</w:t>
            </w: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Non-current lease liabilities</w:t>
            </w: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2024, the weighted-average remaining lease term was 19.3 years for operating leases. The weighted average discount rate was 7.5% for operating leases.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 (remainder of fiscal year)</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 and beyond</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2,947</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74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PROPERTY, PLANT AND EQUIPMENT</w:t>
      </w:r>
    </w:p>
    <w:p>
      <w:pPr>
        <w:spacing w:after="0" w:line="225"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At December 31, 2024, the Company's construction in process balance of approximately $0.7 million consisted of several smaller projects among our facilities. During December 2024, the Company's tubular segment sold equipment for $0.8 million resulting in a gain of approximately $0.4 million.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STOCK BASED COMPENSATION</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(“RSUs”) for the nine months ended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March 31, 2024</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December 31,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64,487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6.62</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measures compensation expense for RSUs at the market price of the common stock as of the grant date. Compensation expense is recognized over the requisite service period applicable to each award. The Company recorded compensation expense of approximately $0.1 million and $0.2 million in the nine months ended December 31, 2024 and 2023, respectively, relating to the RSUs issued under the Plan. As of December 31, 2024, unrecognized compensation expense related to unvested RSUs was approximately $15,000 which is expected to be recognized over a weighted average period of approximately 0.3 years. As of December 31, 2024, a total of 117,998 shares were still available to be issued under the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DERIVATIVE FINANCIAL INSTRUMENTS</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From time to time, we expect to utilize hot-rolled coil futures or options to reduce our exposure to commodity price risk that is inherent in our business. For the nine months ended December 31, 2024, all of the Company's hedging activities were classified as economic hedges of risk with mark-to-market ("MTM") accounting treatment. For the nine months ended December 31, 2023, the Company had hedging activities classified as cash flow hedges with hedge accounting treatment according to the requirements of ASC 815– Derivatives and Hedging and hedging activities classified as economic hedges of risk with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At December 31, 2024 and March 31, 2024, the Company did not have any hot-rolled coil futures contracts designated as hedging instruments and classified as cash flow or fair value hedges.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December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6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134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6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134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December 31, 2024 and 2023, the Company entered into hot-rolled coil futures contracts that were not designated as hedging instruments for accounting purposes. Accordingly, the change in fair value related to these instruments was immediately recognized in earnings for these periods. During the nine months ended December 31, 2024 and 2023, the Company did not designate any transactions as hedging instruments for accounting purposes. During the nine months ended December 31, 2023, the Company reclassified the loss associated with previously designated cash flow hedges into earnings during the period.</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pre-tax gain (loss) recognized in other comprehensive income and the loss reclassified from accumulated other comprehensive income into earnings for derivative financial instruments designated as cash flow hedges for the nine months ended December 31,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Pre- Tax Loss</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Pre-Tax Gain (Loss)</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 Reclassified</w:t>
            </w:r>
          </w:p>
        </w:tc>
        <w:tc>
          <w:tcPr>
            <w:tcW w:w="2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Reclassified from</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OCI</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AOCI into Net Earnings</w:t>
            </w: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AOCI into Net</w:t>
            </w:r>
          </w:p>
        </w:tc>
        <w:tc>
          <w:tcPr>
            <w:tcW w:w="0" w:type="dxa"/>
            <w:vAlign w:val="bottom"/>
          </w:tcPr>
          <w:p>
            <w:pPr>
              <w:spacing w:after="0"/>
              <w:rPr>
                <w:sz w:val="1"/>
                <w:szCs w:val="1"/>
                <w:color w:val="auto"/>
              </w:rPr>
            </w:pPr>
          </w:p>
        </w:tc>
      </w:tr>
      <w:tr>
        <w:trPr>
          <w:trHeight w:val="238"/>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 the nine months ended December 31, 2023:</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81"/>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9</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recognized in earnings for derivative instruments not designated as hedging instruments during the three and nine months ended December 31, 2024 (in thousands):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16"/>
        </w:trPr>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191"/>
        </w:trPr>
        <w:tc>
          <w:tcPr>
            <w:tcW w:w="4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tcBorders>
              <w:top w:val="single" w:sz="8" w:color="auto"/>
            </w:tcBorders>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hedges of risk</w:t>
            </w: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r>
      <w:tr>
        <w:trPr>
          <w:trHeight w:val="410"/>
        </w:trPr>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Gain Recognized in Earnings</w:t>
            </w:r>
          </w:p>
        </w:tc>
      </w:tr>
      <w:tr>
        <w:trPr>
          <w:trHeight w:val="216"/>
        </w:trPr>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16"/>
        </w:trPr>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0" w:type="dxa"/>
            <w:vAlign w:val="bottom"/>
          </w:tcPr>
          <w:p>
            <w:pPr>
              <w:spacing w:after="0"/>
              <w:rPr>
                <w:sz w:val="20"/>
                <w:szCs w:val="20"/>
                <w:color w:val="auto"/>
              </w:rPr>
            </w:pPr>
          </w:p>
        </w:tc>
      </w:tr>
      <w:tr>
        <w:trPr>
          <w:trHeight w:val="191"/>
        </w:trPr>
        <w:tc>
          <w:tcPr>
            <w:tcW w:w="468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hedges of risk</w:t>
            </w:r>
          </w:p>
        </w:tc>
        <w:tc>
          <w:tcPr>
            <w:tcW w:w="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5,833</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gain (loss) recognized in earnings for derivative instruments not designated as hedging instruments during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and nine months ended December 31, 2023 (in thousands):</w:t>
            </w: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1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Loss Recognized in Earnings</w:t>
            </w:r>
          </w:p>
        </w:tc>
      </w:tr>
      <w:tr>
        <w:trPr>
          <w:trHeight w:val="216"/>
        </w:trPr>
        <w:tc>
          <w:tcPr>
            <w:tcW w:w="1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6"/>
        </w:trPr>
        <w:tc>
          <w:tcPr>
            <w:tcW w:w="1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1"/>
        </w:trPr>
        <w:tc>
          <w:tcPr>
            <w:tcW w:w="1300" w:type="dxa"/>
            <w:vAlign w:val="bottom"/>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20" w:type="dxa"/>
            <w:vAlign w:val="bottom"/>
            <w:tcBorders>
              <w:top w:val="single" w:sz="8" w:color="auto"/>
            </w:tcBorders>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130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hedges of risk</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(4,126)</w:t>
            </w:r>
          </w:p>
        </w:tc>
      </w:tr>
      <w:tr>
        <w:trPr>
          <w:trHeight w:val="410"/>
        </w:trPr>
        <w:tc>
          <w:tcPr>
            <w:tcW w:w="1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Gain Recognized in Earnings</w:t>
            </w:r>
          </w:p>
        </w:tc>
      </w:tr>
      <w:tr>
        <w:trPr>
          <w:trHeight w:val="216"/>
        </w:trPr>
        <w:tc>
          <w:tcPr>
            <w:tcW w:w="1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13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gridSpan w:val="2"/>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1860" w:type="dxa"/>
            <w:vAlign w:val="bottom"/>
            <w:gridSpan w:val="3"/>
            <w:shd w:val="clear" w:color="auto" w:fill="CCEEFF"/>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130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hedges of risk</w:t>
            </w:r>
          </w:p>
        </w:tc>
        <w:tc>
          <w:tcPr>
            <w:tcW w:w="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notional amount (quantity) of our derivative instruments not designated as hedging instruments at December 31, 2024 consisted of 4,020 tons of long positions with maturity dates of January 2025 to February 2025 and 180 tons of short positions with maturity dates ranging from March 2025 to September 2025.</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change in accumulated other comprehensive income (loss), net of tax, for the nine months ended December 31, 2023 (in thousands):</w:t>
      </w:r>
    </w:p>
    <w:p>
      <w:pPr>
        <w:spacing w:after="0" w:line="37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56"/>
        <w:spacing w:after="0" w:line="282" w:lineRule="auto"/>
        <w:tabs>
          <w:tab w:leader="none" w:pos="9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approximately $0.1 million which are included in the provision for (benefit from) income taxes on the Company's Consolidated Statement of Operations for the nine months ended December 31,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2024 and March 31, 2024, cash of approximately $0.1 million and $3.0 million, respectively, was held by our clearing agent to collateralize our open derivative positions. These cash requirements are included in "Other current assets" on the Company's Consolidated Balance Sheets at December 31, 2024 and March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MEASUREMENTS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2024, our financial assets,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2024, our financial liabilities,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(1,612)</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600" w:hanging="5042"/>
        <w:spacing w:after="0" w:line="532" w:lineRule="auto"/>
        <w:rPr>
          <w:sz w:val="20"/>
          <w:szCs w:val="20"/>
          <w:color w:val="auto"/>
        </w:rPr>
      </w:pPr>
      <w:r>
        <w:rPr>
          <w:rFonts w:ascii="Times New Roman" w:cs="Times New Roman" w:eastAsia="Times New Roman" w:hAnsi="Times New Roman"/>
          <w:sz w:val="18"/>
          <w:szCs w:val="18"/>
          <w:color w:val="auto"/>
        </w:rPr>
        <w:t>At December 31, 2024 and March 31, 2024, the Company did not have any fair value measurements on a non-recurring basis.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SEGMENT INFORMATION (in thousands)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engaged in the steel processing, pipe manufacturing and processing and steel and pipe distribution business. Within the Company, there are two product groups: flat-roll and tubular. The Company’s flat-roll operations consist primarily of converting steel coils into flat sheet and plate steel cut to customer specifications. Through its tubular operations, the Company purchases, processes, manufactures and markets tubular products. The following is a summary of significant financial information relating to the product groups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86,144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286,910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352,148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94,074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315,384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384,019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PROFIT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economic hedges of risk</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EARNINGS (LOSS) BEFORE 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205,797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50"/>
        </w:trPr>
        <w:tc>
          <w:tcPr>
            <w:tcW w:w="8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225,386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assets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230,019</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Operating profit (loss) is total net sales less operating expenses, excluding general corporate expenses, gain on economic hedges of risk, interest expense and other income (loss).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At December 31, 2024 and March 31, 2024, corporate assets consist primarily of cash, restricted cash, leased administrative office right-of-use assets, unamortized debt issuance costs and the cash value of officers’ life insurance. Although inventory is transferred at cost between product groups, there are no sales between product groups.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REVENUE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two reportable segments: Flat-Roll and Tubular. Flat-roll primarily generates revenue from cutting to length hot-rolled steel coils.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Flat-roll segment revenue consists of two product types: Company Owned Flat-Roll Products and Processing or Storage of Customer Owned Coil. Tubular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generates revenue from selling steel pipe it has manufactured resulting in a single product type: Manufactured Pipe.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disaggregates our revenue by product for each of our reportable business segments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respectively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Flat-Roll Segment: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Flat-Roll Products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85,131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348,545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or Storage of Customer Owned Coil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3,603</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86,144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286,910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352,148</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Manufactured Pipe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31,871</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STOCKHOLDERS’ EQUITY</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changes in stockholders’ equity for each of the nine months ended December 31, 2024 and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127,475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129,687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shd w:val="clear" w:color="auto" w:fill="CCEEFF"/>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SEPTEMBER 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35,336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97,618</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128,764</w:t>
            </w: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ind w:lef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(1,152)</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35,368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(13,100)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96,188</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127,329</w:t>
            </w:r>
          </w:p>
        </w:tc>
        <w:tc>
          <w:tcPr>
            <w:tcW w:w="0" w:type="dxa"/>
            <w:vAlign w:val="bottom"/>
          </w:tcPr>
          <w:p>
            <w:pPr>
              <w:spacing w:after="0"/>
              <w:rPr>
                <w:sz w:val="1"/>
                <w:szCs w:val="1"/>
                <w:color w:val="auto"/>
              </w:rPr>
            </w:pPr>
          </w:p>
        </w:tc>
      </w:tr>
      <w:tr>
        <w:trPr>
          <w:trHeight w:val="194"/>
        </w:trPr>
        <w:tc>
          <w:tcPr>
            <w:tcW w:w="3280" w:type="dxa"/>
            <w:vAlign w:val="bottom"/>
          </w:tcPr>
          <w:p>
            <w:pPr>
              <w:ind w:left="500"/>
              <w:spacing w:after="0" w:line="194"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115,432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BALANCE AT JUNE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35,083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87,195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3,513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shd w:val="clear" w:color="auto" w:fill="CCEEFF"/>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SEPTEMBER 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90,560</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126,809</w:t>
            </w:r>
          </w:p>
        </w:tc>
        <w:tc>
          <w:tcPr>
            <w:tcW w:w="0" w:type="dxa"/>
            <w:vAlign w:val="bottom"/>
          </w:tcPr>
          <w:p>
            <w:pPr>
              <w:spacing w:after="0"/>
              <w:rPr>
                <w:sz w:val="1"/>
                <w:szCs w:val="1"/>
                <w:color w:val="auto"/>
              </w:rPr>
            </w:pPr>
          </w:p>
        </w:tc>
      </w:tr>
      <w:tr>
        <w:trPr>
          <w:trHeight w:val="214"/>
        </w:trPr>
        <w:tc>
          <w:tcPr>
            <w:tcW w:w="1280" w:type="dxa"/>
            <w:vAlign w:val="bottom"/>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20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1,184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35,198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(12,929)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91,605</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122,743</w:t>
            </w:r>
          </w:p>
        </w:tc>
        <w:tc>
          <w:tcPr>
            <w:tcW w:w="0" w:type="dxa"/>
            <w:vAlign w:val="bottom"/>
          </w:tcPr>
          <w:p>
            <w:pPr>
              <w:spacing w:after="0"/>
              <w:rPr>
                <w:sz w:val="1"/>
                <w:szCs w:val="1"/>
                <w:color w:val="auto"/>
              </w:rPr>
            </w:pPr>
          </w:p>
        </w:tc>
      </w:tr>
      <w:tr>
        <w:trPr>
          <w:trHeight w:val="194"/>
        </w:trPr>
        <w:tc>
          <w:tcPr>
            <w:tcW w:w="1280" w:type="dxa"/>
            <w:vAlign w:val="bottom"/>
          </w:tcPr>
          <w:p>
            <w:pPr>
              <w:ind w:left="500"/>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20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OTHER COMPREHENSIVE INCOME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tax effects on each component of Other Comprehensive Income for the nine months ended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December 31, 2023</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 (in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Allocation to unvested restricted stock units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attributable to common shareholders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6,948,023</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7,245,183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6,942,216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7,274,332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2024 and 2023, the Company allocated dividends and undistributed earnings to the unvested restricted stock units.</w:t>
      </w:r>
    </w:p>
    <w:p>
      <w:pPr>
        <w:spacing w:after="0" w:line="16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42,709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SUPPLEMENTAL CASH FLOW INFORMATION</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paid interest of approximately $2.2 million and $2.1 million during the nine months ended December 31, 2024 and 2023, respectively. Additionally, the Company paid income taxes of approximately $2.9 million and $2.8 million during the nine months ended December 31, 2024 and 2023,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 — INCOME TAXES</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For the nine month periods ended December 31, 2024 and 2023, the Company recorded income tax provisions of approximately $0.1 million and $3.8 million, respectively. For the nine months ended December 31, 2024, the effective tax rate differed from the federal statutory rate due primarily to the tax effect of restricted stock vesting during the period with this impact partially reduced by the inclusion of state tax expenses in the provision. For the nine months ended December 31, 2023, the effective tax rate differed from the federal statutory rate due primarily to the inclusion of state tax expenses in the provision.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steel products and operates in two reportable segments: flat-roll products and tubular products.</w:t>
      </w:r>
    </w:p>
    <w:p>
      <w:pPr>
        <w:spacing w:after="0" w:line="16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improves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8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December 31, 2024 Compared to Nine Months Ended December 31, 2023</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During the nine months ended December 31, 2024 (the “2024 period”), sales, cost of materials sold and adjusted gross profit decreased approximately $68.6 million, $46.0 million and $22.6 million, respectively, compared to the amounts recorded during the nine months ended December 31, 2023 (the “2023 period”). Adjusted gross profit is a non-GAAP measure calculated as sales minus cost of materials sold. The decrease in sales was associated with both a decline in sales volume and a decrease in the average selling price per ton. Sales volume for the 2024 period consisted of approximately 353,000 tons from inventory and another 60,000 tons of toll processing customer owned material compared to the 2023 period volume consisting of approximately 375,000 tons from inventory and 72,000 tons of toll processing. The decline in sales volume for the 2024 period was related to a combination of challenging conditions for some of our customers, extended planned downtime for equipment upgrades, and political uncertainty leading up to the presidential election. Adjusted gross profit was approximately $52.2 million for the 2024 period compared to approximately $74.9 million for the 2023 period. Adjusted gross profit as a percentage of sales was approximately 16.6% for the 2024 period compared to approximately 19.5% for the 2023 period.</w:t>
      </w:r>
    </w:p>
    <w:p>
      <w:pPr>
        <w:spacing w:after="0" w:line="19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hot-rolled steel coil ("HRC"). Entering the 2024 period, HRC prices were on a predominately declining trend dropping approximately 40% from January 2024 through the middle of August 2024. From August 2024 and to the end of the 2024 period, HRC price remained relatively stable. As a result, the Company experienced compressed physical margins throughout the 2024 period. Entering the 2023 period, HRC prices had increased approximately 95% from November 2022 to April 2023. HRC prices then declined approximately 45% until the October 2023 with prices then increasing by approximately 66% by the end of the 2023 period. As a result, the 2023 period benefitted from strong physical margins for the first quarter of the period followed by a quarter of compressed margins and then ended the period with a quarter of improving margins. The Company utilizes HRC futures to partially manage exposure to commodity price risk. The Company recognized hedging related gains of approximately $5.8 million and $0.7 million in the 2024 and 2023 periods, respectively.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Flat-roll product segment sales for the 2024 period totaled approximately $286.9 million compared to approximately $352.1 million for the 2023 period. For a more complete understanding of the average selling prices of goods sold, it is helpful to exclude any sales generated from processing or storage of customer owned material. Sales generated from processing or storage of customer owned material totaled approximately $3.7 million for the 2024 period compared to approximately $3.6 million for the 2023 period. Sales generated from flat-roll segment inventory totaled approximately $283.2 million for the 2024 period compared to approximately $348.5 million for the 2023 period. The average per ton selling price related to these shipments decreased from approximately $995 per ton in the 2023 period to approximately $868 per ton in the 2024 period. Sales volume for the 2024 period consisted of approximately 326,000 tons from inventory and another 60,000 tons of toll processing customer owned material compared to the 2023 period volume consisting of approximately 351,000 tons from inventory and 72,000 tons of toll processing. The decline in sales volume for the 2024 period was related to a combination of challenging conditions for some of our customers, extended planned downtime for equipment upgrades, and political uncertainty leading up to the presidential election. Flat-roll segment operations recorded operating profits of approximately $6.6 million and $23.6 million for the 2024 period and 2023 period, respectively.</w:t>
      </w:r>
    </w:p>
    <w:p>
      <w:pPr>
        <w:spacing w:after="0" w:line="19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Tubular product segment sales for the 2024 period totaled approximately $28.5 million compared to approximately $31.9 million for the 2023 period. Sales decreased primarily due to a decrease in the average selling price per ton from approximately $1,319 per ton for the 2023 period to approximately $1,065 per ton for the 2024 quarter. Tons sold increased from approximately 24,000 tons in the 2023 period to approximately 26,500 tons in the 2024 period. The tubular segment recorded an operating loss of approximately $2.0 million for the 2024 period compared to recording operating profit of approximately $2.2 million for the 2023 period.</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2024 period, selling, general and administrative costs decreased approximately $2.6 million compared to the 2023 period. This decrease is primarily related to lower incentive compensation expense due to the lower earnings in the 2024 period.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Income taxes decreased from a provision for the 2023 period of approximately $3.8 million to a provision for the 2024 period of approximately $0.1 million. This decrease was primarily related to lower earnings before taxes for the 2024 period. The income tax provision as a percentage of earnings before tax was approximately 12.4% and 23.4% for the nine months ended December 31, 2024 and 2023, respectively. For the nine months ended December 31, 2024, the effective tax rate differed from the federal statutory rate due primarily to the tax effect of restricted stock vesting during the period with this impact partially reduced by the inclusion of state tax expenses in the provision. For the nine months ended December 31, 2023, the effective tax rate differed from the federal statutory rate due primarily to the inclusion of state tax expenses in the provision.</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December 31, 2024 Compared to Three Months Ended December 31, 2023</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2024 (the “2024 quarter”), sales, cost of materials sold and adjusted gross profit decreased approximately $21.9 million, $13.5 million and $8.4 million, respectively, compared to the amounts recorded during the three months ended December 31, 2023 (the “2023 quarter”). Adjusted gross profit is a non-GAAP measure calculated as sales minus cost of materials sold. The decrease in sales was associated with both a decline in sales volume and a decrease in the average selling price per ton. Sales volume for the 2024 quarter consisted of approximately 112,500 tons from inventory and another 18,000 tons of toll processing customer owned material compared to the 2023 quarter volume consisting of approximately 118,000 tons from inventory and 22,000 tons of toll processing. The decline in sales volume for the 2024 quarter was related to a combination of weaker demand among some customers and hesitancy among others given political uncertainty during the quarter. Adjusted gross profit was approximately $15.6 million for the 2024 quarter compared to approximately $24.0 million for the 2023 quarter. Adjusted gross profit as a percentage of sales was approximately 16.5% for the 2024 quarter compared to approximately 20.7% for the 2023 quarter.</w:t>
      </w:r>
    </w:p>
    <w:p>
      <w:pPr>
        <w:spacing w:after="0" w:line="18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HRC. Entering the 2024 quarter, HRC price had reached the bottom of a price cycle after a prolonged decline and remained relatively stable near the bottom during the 2024 quarter. As a result, the Company experienced compressed margins throughout the 2024 quarter. The Company experienced an inflection point in HRC price during the 2023 quarter with prices increasing approximately 66% from early October 2023 and through the end of the 2023 quarter. As a result, the Company experienced considerable margin improvement in the second half of the 2023 quarter. The Company utilizes HRC futures to partially manage exposure to commodity price risk. The Company recognized hedging related gains of approximately $0.3 million in the 2024 quarter compared to hedging related losses of approximately $4.1 million in the 2023 quarter.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Flat-roll product segment sales for the 2024 quarter totaled approximately $86.1 million compared to approximately $106.4 million for the 2023 quarter. For a more complete understanding of the average selling prices of goods sold, it is helpful to exclude any sales generated from processing or storage of customer owned material. Sales generated from processing or storage of customer owned material totaled approximately $1.0 million for the 2024 quarter and approximately $1.0 million for the 2023 quarter. Sales generated from flat-roll segment inventory totaled approximately $85.1 million for the 2024 quarter compared to approximately $105.4 million for the 2023 quarter. The average per ton selling price related to these shipments decreased from approximately $960 per ton in the 2023 quarter to approximately $813 per ton in the 2024 quarter. Sales volume for the 2024 quarter consisted of approximately 105,000 tons from inventory and another 18,000 tons of toll processing customer owned material compared to the 2023 quarter volume consisting of approximately 110,000 tons from inventory and 22,000 tons of toll processing. The decline in sales volume for the 2024 quarter was related to a combination of weaker demand among some customers and hesitancy among others given the political uncertainty during the quarter. Flat-roll segment operations recorded operating profits of approximately $1.3 million and $8.7 million for the 2024 quarter and 2023 quarter, respectively.</w:t>
      </w:r>
    </w:p>
    <w:p>
      <w:pPr>
        <w:spacing w:after="0" w:line="194"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Tubular product segment sales for the 2024 quarter totaled approximately $7.9 million compared to approximately $9.5 million for the 2023 quarter. Sales decreased due primarily to a decrease in the average selling price per ton from approximately $1,164 per ton for the 2023 quarter to approximately $1,013 per ton for the 2024 quarter. Sales volume was comparable between the periods with approximately 8,000 tons sold in both the 2023 and the 2024 quarters. The tubular segment recorded operating losses of approximately $0.2 million and $0.1 million for the 2024 quarter and 2023 quarter, respectively.</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2024 quarter, selling, general and administrative costs decreased approximately $0.3 million compared to the 2023 quarter. This decrease is primarily related to lower incentive compensation expense due to the lower earnings in the 2024 quarter.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Income taxes decreased from a provision for the 2023 quarter of approximately $0.1 million to a benefit for the 2024 quarter of approximately $0.4 million. This decrease was primarily related to lower earnings before taxes for the 2024 quarter. The income tax provision or benefit as a percentage of earnings or loss before tax was approximately 25.8% and 5.9% for the three months ended December 31, 2024 and 2023, respectively. For the 2024 quarter, the effective tax rate differed from the federal statutory rate due primarily to the inclusion of state tax expenses in the provision. For the 2023 quarter, the effective tax rate differed from the federal statutory rate due primarily to the adjustment of interim tax estimates during the quarter.</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steel,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purchased steel.</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GAAP measure for gross profit to the non-GAAP measure adjusted gross profit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(GAAP measure)</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(non-GAAP measure presented)</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52,219</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74,862</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amounted to 3.5 at December 31, 2024 and 3.1 at March 31, 2024. Working capital was approximately $107.0 million at December 31, 2024 and $116.0 million at March 31, 2024.</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December 31, 2024, the Company maintained assets and liabilities at levels it believed were commensurate with operations. Changes in balance sheet amounts occurred in the ordinary course of business. Cash and restricted cash decreased due primarily to cash used for the purchase of property, plant and equipment and the reduction of debt. The Company expects to continue to monitor, evaluate and manage balance sheet components depending on changes in market conditions and the Company’s operations.</w:t>
      </w:r>
    </w:p>
    <w:p>
      <w:pPr>
        <w:spacing w:after="0" w:line="18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Company has a $150 million asset-based lending facility ("ABL Facility") which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December 31, 2024, the Company had a balance of approximately $32.5 million under the ABL Facility with an applicable interest rate of 6.5%. At December 31, 2024, the Company's applicable borrowing base calculation supported access to approximately $99.2 million of the ABL Facility. As of the filing date of this Form 10-Q, the Company had borrowings of approximately $49.0 million outstanding under the ABL Facility and the Company's most recent borrowing base calculation provided access to approximately $100.5 million of the ABL Facility.</w:t>
      </w:r>
    </w:p>
    <w:p>
      <w:pPr>
        <w:spacing w:after="0" w:line="19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gains of approximately $0.3 million and $5.8 million in the three and nine months ended December 31, 2024, respectively, related to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H for additional information related to the Company's hedging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529"/>
        <w:spacing w:after="0" w:line="261" w:lineRule="auto"/>
        <w:rPr>
          <w:sz w:val="20"/>
          <w:szCs w:val="20"/>
          <w:color w:val="auto"/>
        </w:rPr>
      </w:pPr>
      <w:r>
        <w:rPr>
          <w:rFonts w:ascii="Times New Roman" w:cs="Times New Roman" w:eastAsia="Times New Roman" w:hAnsi="Times New Roman"/>
          <w:sz w:val="18"/>
          <w:szCs w:val="18"/>
          <w:color w:val="auto"/>
        </w:rPr>
        <w:t>The Company expects sales volume for the fourth quarter of fiscal 2025 to be higher than the third quarter volume due to stronger order activity and the impact of holidays on third quarter volume. HRC prices were stable at the start of the fourth quarter but began to increase at the time of this filing. Most industry participants anticipate prices to increase further during the second half of the quarter. The Company expects fourth quarter sales margins to improve compared to the third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may require management to make estimates and assumptions that affect the amounts reported in the consolidated financial statements and accompanying notes. Actual results could differ from any estimates. The Company did not identify any significant estimates or judgements related to the consolidated financial statements and accompanying notes presented in this Form 10-Q filing.</w:t>
      </w:r>
    </w:p>
    <w:p>
      <w:pPr>
        <w:sectPr>
          <w:pgSz w:w="11900" w:h="16855" w:orient="portrait"/>
          <w:cols w:equalWidth="0" w:num="1">
            <w:col w:w="11240"/>
          </w:cols>
          <w:pgMar w:left="320" w:top="121" w:right="33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December 31, 2024 to ensure that information that is required to be disclosed by the Company in the reports it files or submits under the Exchange Act is (i) recorded, processed, summarized and reported within the time periods specified in the SEC’s rules and forms and</w:t>
      </w:r>
    </w:p>
    <w:p>
      <w:pPr>
        <w:spacing w:after="0" w:line="12" w:lineRule="exact"/>
        <w:rPr>
          <w:sz w:val="20"/>
          <w:szCs w:val="20"/>
          <w:color w:val="auto"/>
        </w:rPr>
      </w:pPr>
    </w:p>
    <w:p>
      <w:pPr>
        <w:ind w:right="20" w:firstLine="8"/>
        <w:spacing w:after="0" w:line="260" w:lineRule="auto"/>
        <w:tabs>
          <w:tab w:leader="none" w:pos="2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the Company’s management, including the CEO and principal financial officer, as appropriate, to allow timely decisions regarding required disclosure.</w:t>
      </w:r>
    </w:p>
    <w:p>
      <w:pPr>
        <w:spacing w:after="0" w:line="1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fiscal quarter ended December 31, 2024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2024, none of our officers or directors adopted, modified or terminated a “Rule 10b5-1 trading arrangement” or a “non-Rule 10b5-1 trading arrangement,” as each term is defined in Item 408(a) and (c), respectively, of Regulation S-K, for the purchase or sale of our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Articles of Incorporation of the Company, as amended (incorporated by reference from Exhibit 3.1 to the Company’s Form S-8 filed</w:t>
              </w:r>
            </w:hyperlink>
          </w:p>
        </w:tc>
      </w:tr>
      <w:tr>
        <w:trPr>
          <w:trHeight w:val="19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on December 21, 2016).</w:t>
              </w:r>
            </w:hyperlink>
          </w:p>
        </w:tc>
        <w:tc>
          <w:tcPr>
            <w:tcW w:w="7900" w:type="dxa"/>
            <w:vAlign w:val="bottom"/>
            <w:gridSpan w:val="6"/>
          </w:tcPr>
          <w:p>
            <w:pPr>
              <w:spacing w:after="0"/>
              <w:rPr>
                <w:sz w:val="17"/>
                <w:szCs w:val="17"/>
                <w:color w:val="auto"/>
              </w:rPr>
            </w:pP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Articles of Amendment to the Articles of Incorporation of the Company, as filed with the Texas Secretary of State on September 22,</w:t>
              </w:r>
            </w:hyperlink>
          </w:p>
        </w:tc>
      </w:tr>
      <w:tr>
        <w:trPr>
          <w:trHeight w:val="19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9"/>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1987 (incorporated by reference from Exhibit 3.1 to the Company’s Form S-8 filed on December 21, 2016).</w:t>
              </w:r>
            </w:hyperlink>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Bylaws of the Company, as amended on November 8, 2021. (incorporated by reference from Exhibit 3.3 to</w:t>
              </w:r>
            </w:hyperlink>
          </w:p>
        </w:tc>
      </w:tr>
      <w:tr>
        <w:trPr>
          <w:trHeight w:val="19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9"/>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the Company's Form 10-Q filed on November 19, 2021).</w:t>
              </w:r>
            </w:hyperlink>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Friedman Industries, Incorporated Key Employee Change In Control Severance Plan. (incorporated by reference from Exhibit 10.1 to</w:t>
              </w:r>
            </w:hyperlink>
          </w:p>
        </w:tc>
      </w:tr>
      <w:tr>
        <w:trPr>
          <w:trHeight w:val="19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9"/>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the Company's Form 10-Q filed on November 12, 2024).</w:t>
              </w:r>
            </w:hyperlink>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signed by Michael J. Taylor.</w:t>
            </w: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3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signed by Alex LaRue.</w:t>
            </w:r>
          </w:p>
        </w:tc>
        <w:tc>
          <w:tcPr>
            <w:tcW w:w="2300" w:type="dxa"/>
            <w:vAlign w:val="bottom"/>
            <w:gridSpan w:val="3"/>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Michael J. Taylor.</w:t>
            </w: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Alex LaRue.</w:t>
            </w: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198" w:lineRule="exact"/>
        <w:rPr>
          <w:sz w:val="20"/>
          <w:szCs w:val="20"/>
          <w:color w:val="auto"/>
        </w:rPr>
      </w:pPr>
    </w:p>
    <w:p>
      <w:pPr>
        <w:ind w:left="5540" w:right="3500" w:hanging="5532"/>
        <w:spacing w:after="0" w:line="386" w:lineRule="auto"/>
        <w:tabs>
          <w:tab w:leader="none" w:pos="11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File (formatted as Inline XBRL and contained in Exhibit 101)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FRIEDMAN INDUSTRIES, INCORPORATED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17145</wp:posOffset>
            </wp:positionV>
            <wp:extent cx="3463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640" w:space="720"/>
            <w:col w:w="1520" w:space="720"/>
            <w:col w:w="3640"/>
          </w:cols>
          <w:pgMar w:left="320" w:top="121"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7"/>
          <w:szCs w:val="17"/>
          <w:color w:val="auto"/>
        </w:rPr>
        <w:t>Alex LaRue, Chief Financial Officer – Secretary and</w:t>
      </w:r>
    </w:p>
    <w:p>
      <w:pPr>
        <w:spacing w:after="0" w:line="3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7, 2025</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80" w:firstLine="980"/>
        <w:spacing w:after="0" w:line="282" w:lineRule="auto"/>
        <w:tabs>
          <w:tab w:leader="none" w:pos="11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7,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December 31, 2024,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 w:firstLine="494"/>
        <w:spacing w:after="0" w:line="563" w:lineRule="auto"/>
        <w:tabs>
          <w:tab w:leader="none" w:pos="7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7, 2025</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December 31, 2024,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 w:firstLine="494"/>
        <w:spacing w:after="0" w:line="563" w:lineRule="auto"/>
        <w:tabs>
          <w:tab w:leader="none" w:pos="7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7, 2025</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LaRue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LaRue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37" Type="http://schemas.openxmlformats.org/officeDocument/2006/relationships/hyperlink" Target="http://www.sec.gov/Archives/edgar/data/39092/000143774916043636/ex3-1.htm" TargetMode="External"/><Relationship Id="rId38" Type="http://schemas.openxmlformats.org/officeDocument/2006/relationships/hyperlink" Target="http://www.sec.gov/Archives/edgar/data/39092/000143774921027176/ex_309205.htm" TargetMode="External"/><Relationship Id="rId39" Type="http://schemas.openxmlformats.org/officeDocument/2006/relationships/hyperlink" Target="http://www.sec.gov/Archives/edgar/data/39092/000143774924034552/ex_7456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2025-02-07T15:20:18Z</dcterms:created>
  <dcterms:modified xsi:type="dcterms:W3CDTF">2025-02-07T15:20:18Z</dcterms:modified>
</cp:coreProperties>
</file>