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rd20230331_10k.htm"/>
      <w:bookmarkStart w:id="1" w:name="ksfrd20230331_10k"/>
      <w:bookmarkStart w:id="2" w:name="frd20230331_10k.htm"/>
      <w:bookmarkStart w:id="3" w:name="ksfrd20230331_10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10-K</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Annual report pursuant to Section 13 or 15(d) of the Securities Exchange Act of 1934 for the fiscal year ended March 31, 2023</w:t>
            </w:r>
          </w:p>
        </w:tc>
      </w:tr>
    </w:tbl>
    <w:p>
      <w:pPr>
        <w:pStyle w:val="TextBody"/>
        <w:bidi w:val="0"/>
        <w:spacing w:before="0" w:after="0"/>
        <w:jc w:val="left"/>
        <w:rPr/>
      </w:pPr>
      <w:r>
        <w:rPr/>
        <w:t>--03-31 FY 2023</w:t>
      </w:r>
    </w:p>
    <w:p>
      <w:pPr>
        <w:pStyle w:val="TextBody"/>
        <w:bidi w:val="0"/>
        <w:spacing w:before="0" w:after="0"/>
        <w:ind w:left="0" w:right="0" w:hanging="0"/>
        <w:jc w:val="left"/>
        <w:rPr/>
      </w:pPr>
      <w:r>
        <w:rPr/>
        <w:t> </w:t>
      </w:r>
    </w:p>
    <w:tbl>
      <w:tblPr>
        <w:tblW w:w="9985" w:type="dxa"/>
        <w:jc w:val="left"/>
        <w:tblInd w:w="0" w:type="dxa"/>
        <w:tblLayout w:type="fixed"/>
        <w:tblCellMar>
          <w:top w:w="0" w:type="dxa"/>
          <w:left w:w="0" w:type="dxa"/>
          <w:bottom w:w="0" w:type="dxa"/>
          <w:right w:w="0" w:type="dxa"/>
        </w:tblCellMar>
      </w:tblPr>
      <w:tblGrid>
        <w:gridCol w:w="230"/>
        <w:gridCol w:w="9755"/>
      </w:tblGrid>
      <w:tr>
        <w:trPr/>
        <w:tc>
          <w:tcPr>
            <w:tcW w:w="230" w:type="dxa"/>
            <w:tcBorders/>
            <w:vAlign w:val="center"/>
          </w:tcPr>
          <w:p>
            <w:pPr>
              <w:pStyle w:val="TableContents"/>
              <w:bidi w:val="0"/>
              <w:spacing w:before="0" w:after="0"/>
              <w:ind w:left="0" w:right="0" w:hanging="0"/>
              <w:jc w:val="both"/>
              <w:rPr/>
            </w:pPr>
            <w:r>
              <w:rPr/>
              <w:t>☐</w:t>
            </w:r>
          </w:p>
        </w:tc>
        <w:tc>
          <w:tcPr>
            <w:tcW w:w="97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 for the transition period from to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No. 1-7521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FRIEDMAN INDUSTRIES, INCORPORATED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 </w:t>
      </w:r>
    </w:p>
    <w:tbl>
      <w:tblPr>
        <w:tblW w:w="5215" w:type="dxa"/>
        <w:jc w:val="left"/>
        <w:tblInd w:w="0" w:type="dxa"/>
        <w:tblLayout w:type="fixed"/>
        <w:tblCellMar>
          <w:top w:w="0" w:type="dxa"/>
          <w:left w:w="0" w:type="dxa"/>
          <w:bottom w:w="0" w:type="dxa"/>
          <w:right w:w="0" w:type="dxa"/>
        </w:tblCellMar>
      </w:tblPr>
      <w:tblGrid>
        <w:gridCol w:w="3695"/>
        <w:gridCol w:w="1520"/>
      </w:tblGrid>
      <w:tr>
        <w:trPr/>
        <w:tc>
          <w:tcPr>
            <w:tcW w:w="36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Texas</w:t>
            </w:r>
          </w:p>
        </w:tc>
        <w:tc>
          <w:tcPr>
            <w:tcW w:w="15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74-1504405</w:t>
            </w:r>
          </w:p>
        </w:tc>
      </w:tr>
      <w:tr>
        <w:trPr/>
        <w:tc>
          <w:tcPr>
            <w:tcW w:w="36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5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9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1121 Judson Road Suite 124, Longview, TX</w:t>
            </w:r>
          </w:p>
        </w:tc>
        <w:tc>
          <w:tcPr>
            <w:tcW w:w="15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75601</w:t>
            </w:r>
          </w:p>
        </w:tc>
      </w:tr>
      <w:tr>
        <w:trPr/>
        <w:tc>
          <w:tcPr>
            <w:tcW w:w="36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(903) 758-3431</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 </w:t>
      </w:r>
    </w:p>
    <w:tbl>
      <w:tblPr>
        <w:tblW w:w="6090" w:type="dxa"/>
        <w:jc w:val="left"/>
        <w:tblInd w:w="0" w:type="dxa"/>
        <w:tblLayout w:type="fixed"/>
        <w:tblCellMar>
          <w:top w:w="0" w:type="dxa"/>
          <w:left w:w="0" w:type="dxa"/>
          <w:bottom w:w="0" w:type="dxa"/>
          <w:right w:w="0" w:type="dxa"/>
        </w:tblCellMar>
      </w:tblPr>
      <w:tblGrid>
        <w:gridCol w:w="2405"/>
        <w:gridCol w:w="1685"/>
        <w:gridCol w:w="2000"/>
      </w:tblGrid>
      <w:tr>
        <w:trPr/>
        <w:tc>
          <w:tcPr>
            <w:tcW w:w="240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685" w:type="dxa"/>
            <w:tcBorders/>
            <w:vAlign w:val="center"/>
          </w:tcPr>
          <w:p>
            <w:pPr>
              <w:pStyle w:val="TableContents"/>
              <w:bidi w:val="0"/>
              <w:spacing w:before="0" w:after="283"/>
              <w:jc w:val="center"/>
              <w:rPr>
                <w:b/>
                <w:u w:val="single"/>
              </w:rPr>
            </w:pPr>
            <w:r>
              <w:rPr>
                <w:b/>
                <w:u w:val="single"/>
              </w:rPr>
              <w:t>Trading Symbol</w:t>
            </w:r>
          </w:p>
        </w:tc>
        <w:tc>
          <w:tcPr>
            <w:tcW w:w="20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r>
            <w:r>
              <w:rPr>
                <w:rFonts w:ascii="Times New Roman;Times;serif" w:hAnsi="Times New Roman;Times;serif"/>
                <w:b/>
                <w:sz w:val="20"/>
                <w:u w:val="single"/>
              </w:rPr>
              <w:t>   on which registered   </w:t>
            </w:r>
          </w:p>
        </w:tc>
      </w:tr>
      <w:tr>
        <w:trPr/>
        <w:tc>
          <w:tcPr>
            <w:tcW w:w="24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 Par Value</w:t>
            </w:r>
          </w:p>
        </w:tc>
        <w:tc>
          <w:tcPr>
            <w:tcW w:w="1685" w:type="dxa"/>
            <w:tcBorders/>
            <w:vAlign w:val="center"/>
          </w:tcPr>
          <w:p>
            <w:pPr>
              <w:pStyle w:val="TableContents"/>
              <w:bidi w:val="0"/>
              <w:spacing w:before="0" w:after="283"/>
              <w:jc w:val="center"/>
              <w:rPr/>
            </w:pPr>
            <w:r>
              <w:rPr/>
              <w:t>FRD</w:t>
            </w:r>
          </w:p>
        </w:tc>
        <w:tc>
          <w:tcPr>
            <w:tcW w:w="20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NYSE American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12(g) of the Act: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if the registrant is not required to file reports pursuant to Section 13 or Section 15(d) of the Act.</w:t>
      </w:r>
    </w:p>
    <w:p>
      <w:pPr>
        <w:pStyle w:val="TextBody"/>
        <w:bidi w:val="0"/>
        <w:spacing w:before="0" w:after="0"/>
        <w:ind w:left="0" w:right="0" w:hanging="0"/>
        <w:jc w:val="center"/>
        <w:rPr/>
      </w:pPr>
      <w:r>
        <w:rPr/>
        <w:t xml:space="preserve">     </w:t>
      </w:r>
      <w:r>
        <w:rPr>
          <w:rFonts w:ascii="Times New Roman;Times;serif" w:hAnsi="Times New Roman;Times;serif"/>
          <w:sz w:val="20"/>
        </w:rPr>
        <w:t>Yes  ☐        No  ☒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Yes  ☒       No  ☐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 xml:space="preserve">               </w:t>
      </w:r>
      <w:r>
        <w:rPr>
          <w:rFonts w:ascii="Times New Roman;Times;serif" w:hAnsi="Times New Roman;Times;serif"/>
          <w:sz w:val="20"/>
        </w:rPr>
        <w:t>Yes  ☒      No  ☐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w:t>
      </w:r>
    </w:p>
    <w:p>
      <w:pPr>
        <w:pStyle w:val="TextBody"/>
        <w:bidi w:val="0"/>
        <w:spacing w:before="0" w:after="0"/>
        <w:ind w:left="0" w:right="0" w:hanging="0"/>
        <w:jc w:val="center"/>
        <w:rPr/>
      </w:pPr>
      <w:r>
        <w:rPr/>
        <w:t>    ☐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8555" w:type="dxa"/>
        <w:jc w:val="left"/>
        <w:tblInd w:w="0" w:type="dxa"/>
        <w:tblLayout w:type="fixed"/>
        <w:tblCellMar>
          <w:top w:w="0" w:type="dxa"/>
          <w:left w:w="0" w:type="dxa"/>
          <w:bottom w:w="0" w:type="dxa"/>
          <w:right w:w="0" w:type="dxa"/>
        </w:tblCellMar>
      </w:tblPr>
      <w:tblGrid>
        <w:gridCol w:w="2450"/>
        <w:gridCol w:w="1625"/>
        <w:gridCol w:w="1985"/>
        <w:gridCol w:w="2495"/>
      </w:tblGrid>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1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162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before="0" w:after="0"/>
        <w:ind w:left="0" w:right="0" w:hanging="0"/>
        <w:jc w:val="left"/>
        <w:rPr/>
      </w:pPr>
      <w:r>
        <w:rPr/>
        <w:t> </w:t>
      </w:r>
    </w:p>
    <w:p>
      <w:pPr>
        <w:pStyle w:val="TextBody"/>
        <w:bidi w:val="0"/>
        <w:spacing w:before="0" w:after="0"/>
        <w:ind w:left="0" w:right="0" w:firstLine="367"/>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hanging="0"/>
        <w:jc w:val="left"/>
        <w:rPr/>
      </w:pPr>
      <w:r>
        <w:rPr/>
        <w:t> </w:t>
      </w:r>
    </w:p>
    <w:p>
      <w:pPr>
        <w:pStyle w:val="TextBody"/>
        <w:bidi w:val="0"/>
        <w:spacing w:before="0" w:after="0"/>
        <w:ind w:left="0" w:right="0" w:firstLine="367"/>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Act).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                 No  ☒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aggregate market value of the Common Stock held by non-affiliates of the registrant as of September 30, 2022 (based upon the closing price on the NYSE American on September 30, 2022) was approximately $49.1 million.</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number of shares of the registrant’s Common Stock outstanding at July 14, 2023 was 7,375,588 shares.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Auditor Moss Adams LLP Houston, Texas 659</w:t>
      </w:r>
    </w:p>
    <w:p>
      <w:pPr>
        <w:pStyle w:val="TextBody"/>
        <w:bidi w:val="0"/>
        <w:spacing w:before="0" w:after="0"/>
        <w:ind w:left="0" w:right="0" w:firstLine="360"/>
        <w:jc w:val="both"/>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DOCUMENTS INCORPORATED BY REFERENCE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Portions of the Annual Report to Shareholders of Friedman Industries, Incorporated for the fiscal year ended March 31, 2023 — Part II.</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PART I </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Item 1.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Friedman Industries, Incorporated (the “Company”), a Texas corporation incorporated in 1965, is a manufacturer and processor of steel products and operates in two reportable segments: coil products and tubular products. Significant financial information relating to the Company’s business segments for the last two years is contained </w:t>
      </w:r>
      <w:r>
        <w:rPr>
          <w:rFonts w:ascii="Times New Roman;Times;serif" w:hAnsi="Times New Roman;Times;serif"/>
          <w:sz w:val="20"/>
          <w:shd w:fill="FFFFFF" w:val="clear"/>
        </w:rPr>
        <w:t xml:space="preserve">in </w:t>
      </w:r>
      <w:r>
        <w:rPr>
          <w:rFonts w:ascii="Times New Roman;Times;serif" w:hAnsi="Times New Roman;Times;serif"/>
          <w:sz w:val="20"/>
        </w:rPr>
        <w:t>Note 13of the Consolidated Financial Statements included in the Company’s Annual Report to Shareholders for the fiscal year ended March 31, 2023, which financial statements are incorporated herein by reference in Item 8 hereof.</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Coil </w:t>
      </w:r>
      <w:r>
        <w:rPr>
          <w:rFonts w:ascii="Times New Roman;Times;serif" w:hAnsi="Times New Roman;Times;serif"/>
          <w:b/>
          <w:sz w:val="20"/>
          <w:shd w:fill="FFFFFF" w:val="clear"/>
        </w:rPr>
        <w:t xml:space="preserve">Products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coil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2 of the Consolidated Financial Statements included in the Company’s Annual Report to Shareholders for the fiscal year ended March 31, 2023.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the coil product segment's revenue is generated from sales of Company owned inventory but the segment also generates revenue from the processing or storage of customer owned coils on a fee basis.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coil processing facilities are substantially similar with respect to products produced. The Company makes shipments of coil products based on which facility offers the desired product or, if the product is available at multiple facilities, based on other factors, such as customer location, freight conditions and the ability of the facility to fulfill the order on a timely basis. Coil products are sold on a wholesale, rapid-delivery basis in competition with other processors of hot-rolled steel coils. Shipments are made via unaffiliated truckers or by rail.</w:t>
      </w:r>
    </w:p>
    <w:p>
      <w:pPr>
        <w:pStyle w:val="TextBody"/>
        <w:bidi w:val="0"/>
        <w:spacing w:before="0" w:after="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coil segment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Tubular Products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w:t>
      </w:r>
      <w:r>
        <w:rPr>
          <w:rFonts w:ascii="Times New Roman;Times;serif" w:hAnsi="Times New Roman;Times;serif"/>
          <w:sz w:val="20"/>
          <w:shd w:fill="FFFFFF" w:val="clear"/>
        </w:rPr>
        <w:t>TTP has a pipe finishing facility capable of applying threads and couplings to oil country tubular goods and performing other services that are customary in the pipe finishing process. The pipe finishing facility is currently idled. All of the tubular segment's revenue is generated from sales of Company owned inventory.</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TTP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Marketing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sets forth the approximate percentage of total sales contributed by each group of products and services during each of the Company’s last two fiscal years:</w:t>
      </w:r>
    </w:p>
    <w:p>
      <w:pPr>
        <w:pStyle w:val="TextBody"/>
        <w:bidi w:val="0"/>
        <w:spacing w:before="0" w:after="0"/>
        <w:ind w:left="0" w:right="0" w:hanging="0"/>
        <w:jc w:val="left"/>
        <w:rPr/>
      </w:pPr>
      <w:r>
        <w:rPr/>
        <w:t> </w:t>
      </w:r>
    </w:p>
    <w:tbl>
      <w:tblPr>
        <w:tblW w:w="4688" w:type="dxa"/>
        <w:jc w:val="left"/>
        <w:tblInd w:w="0" w:type="dxa"/>
        <w:tblLayout w:type="fixed"/>
        <w:tblCellMar>
          <w:top w:w="0" w:type="dxa"/>
          <w:left w:w="0" w:type="dxa"/>
          <w:bottom w:w="0" w:type="dxa"/>
          <w:right w:w="0" w:type="dxa"/>
        </w:tblCellMar>
      </w:tblPr>
      <w:tblGrid>
        <w:gridCol w:w="2270"/>
        <w:gridCol w:w="60"/>
        <w:gridCol w:w="198"/>
        <w:gridCol w:w="766"/>
        <w:gridCol w:w="185"/>
        <w:gridCol w:w="60"/>
        <w:gridCol w:w="198"/>
        <w:gridCol w:w="766"/>
        <w:gridCol w:w="185"/>
      </w:tblGrid>
      <w:tr>
        <w:trPr/>
        <w:tc>
          <w:tcPr>
            <w:tcW w:w="22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Product and Service Groups</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Fiscal 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Fiscal 2022</w:t>
            </w:r>
          </w:p>
        </w:tc>
        <w:tc>
          <w:tcPr>
            <w:tcW w:w="18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Coil Products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Tubular Products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Coil Products.</w:t>
      </w:r>
      <w:r>
        <w:rPr>
          <w:rFonts w:ascii="Times New Roman;Times;serif" w:hAnsi="Times New Roman;Times;serif"/>
          <w:sz w:val="20"/>
        </w:rPr>
        <w:t>  The Company sells coil products and processing or storage services to approximately 520 customers located primarily in the midwestern, 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 In fiscal years 2023 and 2022, sales of coil products to O'Neal Steel accounted for approximately 15% and 11% of the Company's total sales, respectively. No other individual coil products customer accounted for 10% or more of the Company's total sales for either of the two fiscal years.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sells all of its coil products through its own sales force. At March 31, 2023, the sales force was comprised of the Vice President of Sales – Coil Divisions and 23 sales personnel.</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Tubular Products.</w:t>
      </w:r>
      <w:r>
        <w:rPr>
          <w:rFonts w:ascii="Times New Roman;Times;serif" w:hAnsi="Times New Roman;Times;serif"/>
          <w:sz w:val="20"/>
        </w:rPr>
        <w:t>  The Company sells its tubular products nationally to approximately 95 customers. The Company’s principal customers for these products are steel and pipe distributors. In fiscal years 2023 and 2022, no individual tubular customer accounted for 10% or more of the Company’s total sales.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sells all of its tubular products through its own sales force. At March 31, 2023, the sales force was comprised of the Vice President and General Manager – Tubular Division and two sales personnel.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Competition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is engaged in a non-seasonal, highly-competitive business. The Company competes with other processors of hot-rolled steel coils, tubular manufacturers, steel distributors and brokers.</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believes that, generally, its ability to compete is dependent upon its ability to offer products at prices competitive with or below those of other steel suppliers, as well as its ability to provide products meeting customer specifications on a rapid-delivery basis.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Human Capital</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i/>
          <w:sz w:val="20"/>
        </w:rPr>
      </w:pPr>
      <w:r>
        <w:rPr>
          <w:rFonts w:ascii="Times New Roman;Times;serif" w:hAnsi="Times New Roman;Times;serif"/>
          <w:i/>
          <w:sz w:val="20"/>
        </w:rPr>
        <w:t>Employee Base</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At March 31, 2023, the Company had 234 full-time employees and 1 part-time employee, of which 59 were salaried and 176 were hourly wage earners. At March 31, 2022, the Company had 98 full-time employees and 1 part-time employee, of which 22 were salaried and 77 were hourly wage earners. All of the Company's employees are based in the United States.</w:t>
      </w:r>
    </w:p>
    <w:p>
      <w:pPr>
        <w:pStyle w:val="TextBody"/>
        <w:bidi w:val="0"/>
        <w:spacing w:before="0" w:after="0"/>
        <w:ind w:left="0" w:right="0" w:firstLine="490"/>
        <w:jc w:val="both"/>
        <w:rPr/>
      </w:pPr>
      <w:r>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Talent Management and 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success and growth depend in large part on our ability to attract, develop, and retain a diverse population of talented employees at all levels of our organization. Our goal is to foster an inclusive and respectful work environment where employees are comfortable to express ideas and openly communicate throughout the organization with the goal of continuously improving our company. Our compensation programs are designed to ensure that we attract and retain the right talent and are focused on rewarding employees based on their individual performance as well as company performance that is made possible by their efforts. Our employee benefits programs are structured to provide competitive benefits that are effective in attracting and retaining talent and that address the needs of a diverse employee base.</w:t>
      </w:r>
    </w:p>
    <w:p>
      <w:pPr>
        <w:pStyle w:val="TextBody"/>
        <w:bidi w:val="0"/>
        <w:spacing w:before="0" w:after="0"/>
        <w:ind w:left="0" w:right="0" w:hanging="0"/>
        <w:jc w:val="left"/>
        <w:rPr/>
      </w:pPr>
      <w:r>
        <w:rPr/>
        <w:t> </w:t>
      </w:r>
    </w:p>
    <w:p>
      <w:pPr>
        <w:pStyle w:val="TextBody"/>
        <w:bidi w:val="0"/>
        <w:spacing w:before="0" w:after="0"/>
        <w:ind w:left="160" w:right="0" w:firstLine="360"/>
        <w:jc w:val="left"/>
        <w:rPr>
          <w:rFonts w:ascii="Times New Roman" w:hAnsi="Times New Roman"/>
          <w:i/>
          <w:caps w:val="false"/>
          <w:smallCaps w:val="false"/>
          <w:sz w:val="20"/>
        </w:rPr>
      </w:pPr>
      <w:r>
        <w:rPr>
          <w:rFonts w:ascii="Times New Roman" w:hAnsi="Times New Roman"/>
          <w:i/>
          <w:caps w:val="false"/>
          <w:smallCaps w:val="false"/>
          <w:sz w:val="20"/>
        </w:rPr>
        <w:t>Safety and Wellness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health and safety of our workforce is fundamental to the success of our company. We have established policies and work procedures aimed at ensuring the safety of our employees. We seek to have our employees actively engaged in the safety process through initial trainings and ongoing regular meetings. We believe safety is a shared responsibility of everyone within our organization. The Company recognizes the importance of our employees' wellness and provides industry leading benefit programs and employee policies that help ensure employees' physical, mental and work-life balance needs are met.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Officers of the Company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sets forth as of March 31, 2023, for each executive officer of the Company, the name, age, officer positions and arrangements with other persons regarding his selection as an officer, if any, and the period during which such officer has served in such capacity:</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30"/>
        <w:gridCol w:w="60"/>
        <w:gridCol w:w="350"/>
        <w:gridCol w:w="60"/>
        <w:gridCol w:w="8905"/>
      </w:tblGrid>
      <w:tr>
        <w:trPr/>
        <w:tc>
          <w:tcPr>
            <w:tcW w:w="8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8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 Offices with the Company</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Other Arrangements, if any</w:t>
            </w:r>
          </w:p>
        </w:tc>
      </w:tr>
      <w:tr>
        <w:trPr/>
        <w:tc>
          <w:tcPr>
            <w:tcW w:w="830" w:type="dxa"/>
            <w:tcBorders/>
            <w:shd w:fill="CCEEFF" w:val="clear"/>
            <w:tcMar>
              <w:bottom w:w="0" w:type="dxa"/>
            </w:tcMar>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Michael J. Taylor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President and Chief Executive Officer since September 2019; formerly Interim President and Interim Chief Executive Officer since February 2019; Chairman of the Board of Directors since June 2017; member of the Board of Directors since December 2016</w:t>
            </w:r>
          </w:p>
        </w:tc>
      </w:tr>
      <w:tr>
        <w:trPr/>
        <w:tc>
          <w:tcPr>
            <w:tcW w:w="830" w:type="dxa"/>
            <w:tcBorders/>
            <w:shd w:fill="FFFFFF" w:val="clear"/>
            <w:tcMar>
              <w:bottom w:w="0" w:type="dxa"/>
            </w:tcMar>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Alex LaRue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Chief Financial Officer – Secretary and Treasurer since March 2018; formerly Vice President — Secretary and Treasurer since 2014; formerly Assistant Vice President — Secretary and Treasurer since 2013; formerly Controller — Texas Tubular Products since 2011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required.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1B.  Unresolved Staff Comments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Item 2.  Properties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principal real properties of the Company are described in the following table:</w:t>
      </w:r>
    </w:p>
    <w:p>
      <w:pPr>
        <w:pStyle w:val="TextBody"/>
        <w:bidi w:val="0"/>
        <w:spacing w:before="0" w:after="0"/>
        <w:ind w:left="0" w:right="0" w:hanging="0"/>
        <w:jc w:val="left"/>
        <w:rPr/>
      </w:pPr>
      <w:r>
        <w:rPr/>
        <w:t> </w:t>
      </w:r>
    </w:p>
    <w:tbl>
      <w:tblPr>
        <w:tblW w:w="7665" w:type="dxa"/>
        <w:jc w:val="left"/>
        <w:tblInd w:w="0" w:type="dxa"/>
        <w:tblLayout w:type="fixed"/>
        <w:tblCellMar>
          <w:top w:w="0" w:type="dxa"/>
          <w:left w:w="0" w:type="dxa"/>
          <w:bottom w:w="0" w:type="dxa"/>
          <w:right w:w="0" w:type="dxa"/>
        </w:tblCellMar>
      </w:tblPr>
      <w:tblGrid>
        <w:gridCol w:w="3125"/>
        <w:gridCol w:w="60"/>
        <w:gridCol w:w="1535"/>
        <w:gridCol w:w="60"/>
        <w:gridCol w:w="2645"/>
        <w:gridCol w:w="240"/>
      </w:tblGrid>
      <w:tr>
        <w:trPr/>
        <w:tc>
          <w:tcPr>
            <w:tcW w:w="3125" w:type="dxa"/>
            <w:tcBorders/>
            <w:vAlign w:val="center"/>
          </w:tcPr>
          <w:p>
            <w:pPr>
              <w:pStyle w:val="TableContents"/>
              <w:bidi w:val="0"/>
              <w:spacing w:before="0" w:after="0"/>
              <w:ind w:left="900" w:right="0" w:hanging="0"/>
              <w:jc w:val="left"/>
              <w:rPr>
                <w:rFonts w:ascii="Times New Roman;Times;serif" w:hAnsi="Times New Roman;Times;serif"/>
                <w:b/>
                <w:sz w:val="20"/>
                <w:u w:val="single"/>
              </w:rPr>
            </w:pPr>
            <w:r>
              <w:rPr>
                <w:rFonts w:ascii="Times New Roman;Times;serif" w:hAnsi="Times New Roman;Times;serif"/>
                <w:b/>
                <w:sz w:val="20"/>
                <w:u w:val="single"/>
              </w:rPr>
              <w:t>Location</w:t>
            </w:r>
          </w:p>
        </w:tc>
        <w:tc>
          <w:tcPr>
            <w:tcW w:w="60" w:type="dxa"/>
            <w:tcBorders/>
            <w:vAlign w:val="center"/>
          </w:tcPr>
          <w:p>
            <w:pPr>
              <w:pStyle w:val="TableContents"/>
              <w:bidi w:val="0"/>
              <w:spacing w:before="0" w:after="283"/>
              <w:jc w:val="left"/>
              <w:rPr/>
            </w:pPr>
            <w:r>
              <w:rPr/>
              <w:t> </w:t>
            </w:r>
          </w:p>
        </w:tc>
        <w:tc>
          <w:tcPr>
            <w:tcW w:w="1535" w:type="dxa"/>
            <w:tcBorders>
              <w:bottom w:val="single" w:sz="2" w:space="0" w:color="000000"/>
            </w:tcBorders>
            <w:tcMar>
              <w:bottom w:w="28" w:type="dxa"/>
            </w:tcMar>
            <w:vAlign w:val="center"/>
          </w:tcPr>
          <w:p>
            <w:pPr>
              <w:pStyle w:val="TableContents"/>
              <w:bidi w:val="0"/>
              <w:spacing w:before="0" w:after="0"/>
              <w:ind w:left="144" w:right="0" w:hanging="0"/>
              <w:jc w:val="center"/>
              <w:rPr>
                <w:rFonts w:ascii="Times New Roman;Times;serif" w:hAnsi="Times New Roman;Times;serif"/>
                <w:b/>
                <w:sz w:val="20"/>
              </w:rPr>
            </w:pPr>
            <w:r>
              <w:rPr>
                <w:rFonts w:ascii="Times New Roman;Times;serif" w:hAnsi="Times New Roman;Times;serif"/>
                <w:b/>
                <w:sz w:val="20"/>
              </w:rPr>
              <w:t>Approximate</w:t>
            </w:r>
          </w:p>
          <w:p>
            <w:pPr>
              <w:pStyle w:val="TableContents"/>
              <w:bidi w:val="0"/>
              <w:spacing w:before="0" w:after="0"/>
              <w:ind w:left="144" w:right="0" w:hanging="0"/>
              <w:jc w:val="center"/>
              <w:rPr>
                <w:rFonts w:ascii="Times New Roman;Times;serif" w:hAnsi="Times New Roman;Times;serif"/>
                <w:b/>
                <w:sz w:val="20"/>
              </w:rPr>
            </w:pPr>
            <w:r>
              <w:rPr>
                <w:rFonts w:ascii="Times New Roman;Times;serif" w:hAnsi="Times New Roman;Times;serif"/>
                <w:b/>
                <w:sz w:val="20"/>
              </w:rPr>
              <w:t>Size</w:t>
            </w:r>
          </w:p>
        </w:tc>
        <w:tc>
          <w:tcPr>
            <w:tcW w:w="60" w:type="dxa"/>
            <w:tcBorders/>
            <w:vAlign w:val="center"/>
          </w:tcPr>
          <w:p>
            <w:pPr>
              <w:pStyle w:val="TableContents"/>
              <w:bidi w:val="0"/>
              <w:spacing w:before="0" w:after="283"/>
              <w:jc w:val="left"/>
              <w:rPr/>
            </w:pPr>
            <w:r>
              <w:rPr/>
              <w:t> </w:t>
            </w:r>
          </w:p>
        </w:tc>
        <w:tc>
          <w:tcPr>
            <w:tcW w:w="2645" w:type="dxa"/>
            <w:tcBorders>
              <w:bottom w:val="single" w:sz="2" w:space="0" w:color="000000"/>
            </w:tcBorders>
            <w:tcMar>
              <w:bottom w:w="28" w:type="dxa"/>
            </w:tcMar>
            <w:vAlign w:val="center"/>
          </w:tcPr>
          <w:p>
            <w:pPr>
              <w:pStyle w:val="TableContents"/>
              <w:bidi w:val="0"/>
              <w:spacing w:before="0" w:after="0"/>
              <w:ind w:left="144" w:right="0" w:hanging="0"/>
              <w:jc w:val="center"/>
              <w:rPr>
                <w:rFonts w:ascii="Times New Roman;Times;serif" w:hAnsi="Times New Roman;Times;serif"/>
                <w:b/>
                <w:sz w:val="20"/>
              </w:rPr>
            </w:pPr>
            <w:r>
              <w:rPr>
                <w:rFonts w:ascii="Times New Roman;Times;serif" w:hAnsi="Times New Roman;Times;serif"/>
                <w:b/>
                <w:sz w:val="20"/>
              </w:rPr>
              <w:t>Ownership</w:t>
            </w:r>
          </w:p>
        </w:tc>
        <w:tc>
          <w:tcPr>
            <w:tcW w:w="24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Lone Star, Texas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Plant — Texas Tubular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161,000 sq. feet</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Offices — Texas Tubular Products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12,200 sq. feet</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Land — Texas Tubular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 acres</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Longview, Texas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Offices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 sq. feet</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Leased(2)</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Hickman, Arkansas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Plant and Warehouse — Coil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64,600 sq. feet</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Offices — Coil Products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 sq. feet</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Land — Coil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 acres</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Decatur, Alabama</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Plant and Warehouse — Coil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 sq. feet</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Offices — Coil Products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 sq. feet</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480" w:right="0" w:hanging="240"/>
              <w:jc w:val="left"/>
              <w:rPr>
                <w:rFonts w:ascii="Times New Roman;Times;serif" w:hAnsi="Times New Roman;Times;serif"/>
                <w:sz w:val="20"/>
              </w:rPr>
            </w:pPr>
            <w:r>
              <w:rPr>
                <w:rFonts w:ascii="Times New Roman;Times;serif" w:hAnsi="Times New Roman;Times;serif"/>
                <w:sz w:val="20"/>
              </w:rPr>
              <w:t>Land — Coil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 acres</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Owned(1)</w:t>
            </w:r>
          </w:p>
        </w:tc>
        <w:tc>
          <w:tcPr>
            <w:tcW w:w="240" w:type="dxa"/>
            <w:tcBorders/>
            <w:shd w:fill="FFFFFF" w:val="clear"/>
            <w:vAlign w:val="center"/>
          </w:tcPr>
          <w:p>
            <w:pPr>
              <w:pStyle w:val="TableContents"/>
              <w:bidi w:val="0"/>
              <w:spacing w:before="0" w:after="0"/>
              <w:ind w:left="0" w:right="0" w:hanging="0"/>
              <w:jc w:val="left"/>
              <w:rPr/>
            </w:pPr>
            <w:r>
              <w:rPr/>
              <w:t> </w:t>
            </w:r>
          </w:p>
        </w:tc>
      </w:tr>
      <w:tr>
        <w:trPr/>
        <w:tc>
          <w:tcPr>
            <w:tcW w:w="3125" w:type="dxa"/>
            <w:tcBorders/>
            <w:shd w:fill="CCEEFF" w:val="clear"/>
            <w:vAlign w:val="center"/>
          </w:tcPr>
          <w:p>
            <w:pPr>
              <w:pStyle w:val="TableContents"/>
              <w:bidi w:val="0"/>
              <w:spacing w:before="0" w:after="283"/>
              <w:jc w:val="left"/>
              <w:rPr>
                <w:b/>
              </w:rPr>
            </w:pPr>
            <w:r>
              <w:rPr>
                <w:b/>
              </w:rPr>
              <w:t>Sinton, Texas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r>
              <w:rPr/>
              <w:t>Plant and Warehouse</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70,000 sq. feet</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283"/>
              <w:jc w:val="right"/>
              <w:rPr/>
            </w:pPr>
            <w:r>
              <w:rPr/>
              <w:t>Leasehold Improvement (3)</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r>
              <w:rPr/>
              <w:t>Offices — Coil Products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3,100 sq. feet</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right"/>
              <w:rPr/>
            </w:pPr>
            <w:r>
              <w:rPr/>
              <w:t>Leasehold Improvement (3)</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r>
              <w:rPr/>
              <w:t>Land — Coil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26.5 acres</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283"/>
              <w:jc w:val="right"/>
              <w:rPr/>
            </w:pPr>
            <w:r>
              <w:rPr/>
              <w:t>Leased (3)</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East Chicago, Indiana</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283"/>
              <w:jc w:val="left"/>
              <w:rPr/>
            </w:pPr>
            <w:r>
              <w:rPr/>
              <w:t>     </w:t>
            </w:r>
            <w:r>
              <w:rPr/>
              <w:t>Plant and Warehouse</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150,900 sq. feet</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283"/>
              <w:jc w:val="right"/>
              <w:rPr/>
            </w:pPr>
            <w:r>
              <w:rPr/>
              <w:t>Owned (1)</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r>
              <w:rPr/>
              <w:t>Offices — Coil Products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3,200 sq. feet</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right"/>
              <w:rPr/>
            </w:pPr>
            <w:r>
              <w:rPr/>
              <w:t>Owned (1)</w:t>
            </w:r>
          </w:p>
        </w:tc>
        <w:tc>
          <w:tcPr>
            <w:tcW w:w="24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r>
              <w:rPr/>
              <w:t>Land — Coil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5.0 acres</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283"/>
              <w:jc w:val="right"/>
              <w:rPr/>
            </w:pPr>
            <w:r>
              <w:rPr/>
              <w:t>Owned (1)</w:t>
            </w:r>
          </w:p>
        </w:tc>
        <w:tc>
          <w:tcPr>
            <w:tcW w:w="24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Granite City, Illinois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firstLine="180"/>
              <w:jc w:val="left"/>
              <w:rPr/>
            </w:pPr>
            <w:r>
              <w:rPr/>
              <w:t> </w:t>
            </w:r>
          </w:p>
        </w:tc>
      </w:tr>
      <w:tr>
        <w:trPr/>
        <w:tc>
          <w:tcPr>
            <w:tcW w:w="3125" w:type="dxa"/>
            <w:tcBorders/>
            <w:shd w:fill="FFFFFF" w:val="clear"/>
            <w:vAlign w:val="center"/>
          </w:tcPr>
          <w:p>
            <w:pPr>
              <w:pStyle w:val="TableContents"/>
              <w:bidi w:val="0"/>
              <w:spacing w:before="0" w:after="283"/>
              <w:jc w:val="left"/>
              <w:rPr/>
            </w:pPr>
            <w:r>
              <w:rPr/>
              <w:t> </w:t>
            </w:r>
            <w:r>
              <w:rPr/>
              <w:t>Plant and Warehouse</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321,000 sq. feet</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283"/>
              <w:jc w:val="right"/>
              <w:rPr/>
            </w:pPr>
            <w:r>
              <w:rPr/>
              <w:t>Leasehold Improvement (4)</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3125" w:type="dxa"/>
            <w:tcBorders/>
            <w:shd w:fill="CCEEFF" w:val="clear"/>
            <w:vAlign w:val="center"/>
          </w:tcPr>
          <w:p>
            <w:pPr>
              <w:pStyle w:val="TableContents"/>
              <w:bidi w:val="0"/>
              <w:spacing w:before="0" w:after="283"/>
              <w:jc w:val="left"/>
              <w:rPr/>
            </w:pPr>
            <w:r>
              <w:rPr/>
              <w:t> </w:t>
            </w:r>
            <w:r>
              <w:rPr/>
              <w:t>Offices — Coil Products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4,400 sq. feet</w:t>
            </w:r>
          </w:p>
        </w:tc>
        <w:tc>
          <w:tcPr>
            <w:tcW w:w="6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right"/>
              <w:rPr/>
            </w:pPr>
            <w:r>
              <w:rPr/>
              <w:t>Leasehold Improvement (4)</w:t>
            </w:r>
          </w:p>
        </w:tc>
        <w:tc>
          <w:tcPr>
            <w:tcW w:w="240" w:type="dxa"/>
            <w:tcBorders/>
            <w:shd w:fill="CCEEFF" w:val="clear"/>
            <w:vAlign w:val="center"/>
          </w:tcPr>
          <w:p>
            <w:pPr>
              <w:pStyle w:val="TableContents"/>
              <w:bidi w:val="0"/>
              <w:spacing w:before="0" w:after="283"/>
              <w:ind w:left="0" w:right="0" w:firstLine="180"/>
              <w:jc w:val="left"/>
              <w:rPr/>
            </w:pPr>
            <w:r>
              <w:rPr/>
              <w:t> </w:t>
            </w:r>
          </w:p>
        </w:tc>
      </w:tr>
      <w:tr>
        <w:trPr/>
        <w:tc>
          <w:tcPr>
            <w:tcW w:w="3125" w:type="dxa"/>
            <w:tcBorders/>
            <w:shd w:fill="FFFFFF" w:val="clear"/>
            <w:vAlign w:val="center"/>
          </w:tcPr>
          <w:p>
            <w:pPr>
              <w:pStyle w:val="TableContents"/>
              <w:bidi w:val="0"/>
              <w:spacing w:before="0" w:after="283"/>
              <w:jc w:val="left"/>
              <w:rPr/>
            </w:pPr>
            <w:r>
              <w:rPr/>
              <w:t> </w:t>
            </w:r>
            <w:r>
              <w:rPr/>
              <w:t>Land — Coil Products</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31.1 acres</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before="0" w:after="283"/>
              <w:jc w:val="right"/>
              <w:rPr/>
            </w:pPr>
            <w:r>
              <w:rPr/>
              <w:t>Leased(4)</w:t>
            </w:r>
          </w:p>
        </w:tc>
        <w:tc>
          <w:tcPr>
            <w:tcW w:w="2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of the Company’s owned real properties, plants and offices are held in fee and are not subject to any mortgage or deed of trust.</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office lease is with a non-affiliated party, expires on April 30, 2024, and requires a monthly rental payment by the Company of approximately $5,000.</w:t>
            </w:r>
          </w:p>
        </w:tc>
      </w:tr>
      <w:tr>
        <w:trPr/>
        <w:tc>
          <w:tcPr>
            <w:tcW w:w="208" w:type="dxa"/>
            <w:tcBorders/>
            <w:vAlign w:val="center"/>
          </w:tcPr>
          <w:p>
            <w:pPr>
              <w:pStyle w:val="TableContents"/>
              <w:bidi w:val="0"/>
              <w:spacing w:before="0" w:after="283"/>
              <w:jc w:val="left"/>
              <w:rPr>
                <w:sz w:val="20"/>
              </w:rPr>
            </w:pPr>
            <w:r>
              <w:rPr>
                <w:sz w:val="20"/>
              </w:rPr>
              <w:t>(3)</w:t>
            </w:r>
          </w:p>
        </w:tc>
        <w:tc>
          <w:tcPr>
            <w:tcW w:w="9997" w:type="dxa"/>
            <w:tcBorders/>
            <w:vAlign w:val="center"/>
          </w:tcPr>
          <w:p>
            <w:pPr>
              <w:pStyle w:val="TableContents"/>
              <w:bidi w:val="0"/>
              <w:spacing w:before="0" w:after="283"/>
              <w:jc w:val="left"/>
              <w:rPr>
                <w:sz w:val="20"/>
              </w:rPr>
            </w:pPr>
            <w:r>
              <w:rPr>
                <w:sz w:val="20"/>
              </w:rPr>
              <w:t>The associated lease is a 99 year lease with Steel Dynamics Inc. that calls for an annual rental payment of $1 and has an expiration date of February 19, 2120.</w:t>
            </w:r>
          </w:p>
        </w:tc>
      </w:tr>
      <w:tr>
        <w:trPr/>
        <w:tc>
          <w:tcPr>
            <w:tcW w:w="208" w:type="dxa"/>
            <w:tcBorders/>
            <w:vAlign w:val="center"/>
          </w:tcPr>
          <w:p>
            <w:pPr>
              <w:pStyle w:val="TableContents"/>
              <w:bidi w:val="0"/>
              <w:spacing w:before="0" w:after="283"/>
              <w:jc w:val="left"/>
              <w:rPr>
                <w:sz w:val="20"/>
              </w:rPr>
            </w:pPr>
            <w:r>
              <w:rPr>
                <w:sz w:val="20"/>
              </w:rPr>
              <w:t>(4)</w:t>
            </w:r>
          </w:p>
        </w:tc>
        <w:tc>
          <w:tcPr>
            <w:tcW w:w="9997" w:type="dxa"/>
            <w:tcBorders/>
            <w:vAlign w:val="center"/>
          </w:tcPr>
          <w:p>
            <w:pPr>
              <w:pStyle w:val="TableContents"/>
              <w:bidi w:val="0"/>
              <w:spacing w:before="0" w:after="283"/>
              <w:jc w:val="left"/>
              <w:rPr>
                <w:shd w:fill="FFFFFF" w:val="clear"/>
              </w:rPr>
            </w:pPr>
            <w:r>
              <w:rPr>
                <w:sz w:val="20"/>
                <w:shd w:fill="FFFFFF" w:val="clear"/>
              </w:rPr>
              <w:t>The associated lease is with America's Central Port District and was assigned to the Company during the acquisition of this facility. The lease expires on August 31, 2023 and requires a quarterly rental payment of approximately $19,000. The Company is in the process of extending this lease</w:t>
            </w:r>
            <w:r>
              <w:rPr>
                <w:shd w:fill="FFFFFF" w:val="clea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3.  Legal Proceedings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is not, and during fiscal year 2023 was not, a party to, nor is its property the subject of, any material pending 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  Mine Safety Disclosures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PART II </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5.  Market for Registrant’s Common Equity, Related Stockholder Matters and Issuer Purchases of Equity Securities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Common Stock is traded principally on the NYSE – American (Symbol: FRD).</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Reference is hereby made to the sections of the Company’s Annual Report to Shareholders for the fiscal year ended March 31, 2023, entitled “Description of Business — Range of High and Low Sales Prices of Common Stock” and “Description of Business — Cash Dividends Declared Per Share of Common Stock”, which sections are hereby incorporated herein by reference.</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approximate number of shareholders of record of Common Stock of the Company as of April 28, 2023 was 170. Because many of the Company’s common shares are held by brokers and other institutions on behalf of shareholders, the Company is unable to estimate the total number of individual shareholders represented by these record holders.</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6.  Selected Financial Data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required.</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7.   Management’s Discussion and Analysis of Financial Condition and Results of Operations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Information with respect to Item 7 is hereby incorporated herein by reference from the section of the Company’s Annual Report to Shareholders for the fiscal year ended March 31, 2023, entitled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7A.  Quantitative and Qualitative Disclosures about Market Risk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required.</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8.  Financial Statements and Supplementary Data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financial statements and notes thereto of the Company included in the Company’s Annual Report to Shareholders for the fiscal year ended March 31, 2023, are hereby incorporated herein by reference:</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Balance Sheets —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Operations — Years ended March 31, 2023 and 2022</w:t>
      </w:r>
    </w:p>
    <w:p>
      <w:pPr>
        <w:pStyle w:val="TextBody"/>
        <w:bidi w:val="0"/>
        <w:spacing w:before="0" w:after="0"/>
        <w:ind w:left="0" w:right="0" w:firstLine="979"/>
        <w:jc w:val="both"/>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Comprehensive Income — Years ended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Stockholders’ Equity — Years ended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Cash Flows — Years ended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Report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supplementary schedule for the Company for the years ended March 31, 2023 and 2022, is incorporated herein by reference above in this Item 8 from the Company's Annual Report to Shareholders for the fiscal year ended March 31, 2023.</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Schedule II — Valuation and Qualifying Accounts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All other schedules for which provision is made in the applicable accounting regulation of the U.S. Securities and Exchange Commission (the “SEC”) are not required under the related instructions or are inapplicable and, therefore, have been omitted.</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9.  Changes in and Disagreements with Accountants on Accounting and Financial Disclosure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9A.   Controls and Procedures </w:t>
      </w:r>
    </w:p>
    <w:p>
      <w:pPr>
        <w:pStyle w:val="TextBody"/>
        <w:bidi w:val="0"/>
        <w:spacing w:before="0" w:after="0"/>
        <w:ind w:left="979" w:right="0" w:hanging="979"/>
        <w:jc w:val="both"/>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Information with respect to Item 9A is hereby incorporated herein by reference from the sections of the Company’s Annual Report to Shareholders for the fiscal year ended March 31, 2023, entitled “</w:t>
      </w:r>
      <w:r>
        <w:rPr>
          <w:rFonts w:ascii="Times New Roman" w:hAnsi="Times New Roman"/>
          <w:i/>
          <w:caps w:val="false"/>
          <w:smallCaps w:val="false"/>
          <w:sz w:val="20"/>
        </w:rPr>
        <w:t>Evaluation of Disclosure Controls and Procedures</w:t>
      </w:r>
      <w:r>
        <w:rPr>
          <w:rFonts w:ascii="Times New Roman" w:hAnsi="Times New Roman"/>
          <w:caps w:val="false"/>
          <w:smallCaps w:val="false"/>
          <w:sz w:val="20"/>
        </w:rPr>
        <w:t>” and “</w:t>
      </w:r>
      <w:r>
        <w:rPr>
          <w:rFonts w:ascii="Times New Roman" w:hAnsi="Times New Roman"/>
          <w:i/>
          <w:caps w:val="false"/>
          <w:smallCaps w:val="false"/>
          <w:sz w:val="20"/>
        </w:rPr>
        <w:t>Management's Report on Internal Control Over Financial Reporting</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9B.  Other Information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PART III </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10.  Directors, Executive Officers and Corporate Governance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Except as otherwise set forth below, information with respect to Item 10 is hereby incorporated herein by reference from the Company’s proxy statement in respect of the 2023 Annual Meeting of Shareholders, definitive copies of which are expected to be filed with the SEC on or before 120 days after the end of the Company’s 2023 fiscal year.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Information with respect to Item 10 regarding executive officers is hereby incorporated by reference from the information set forth under the caption “Executive Officers of the Company” in Item 1 of this Annual Report on Form 10-K.</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adopted the Friedman Industries, Incorporated Code of Conduct and Ethics (the “Code”), which applies to the Company’s employees, directors and officers, including its principal executive officer, principal financial officer, principal accounting officer or controller or persons performing similar functions. A copy of the Code is filed as an exhibit hereto.</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11.  Executive Compensation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Information with respect to Item 11 is hereby incorporated herein by reference from the Company’s proxy statement in respect of the 2023 Annual Meeting of Shareholders, definitive copies of which are expected to be filed with the SEC on or before 120 days after the end of the Company’s 2023 fiscal year.</w:t>
      </w:r>
    </w:p>
    <w:p>
      <w:pPr>
        <w:pStyle w:val="TextBody"/>
        <w:bidi w:val="0"/>
        <w:spacing w:before="0" w:after="0"/>
        <w:ind w:left="0" w:right="0" w:hanging="0"/>
        <w:jc w:val="left"/>
        <w:rPr/>
      </w:pPr>
      <w:r>
        <w:rPr/>
        <w:t> </w:t>
      </w:r>
    </w:p>
    <w:p>
      <w:pPr>
        <w:pStyle w:val="TextBody"/>
        <w:bidi w:val="0"/>
        <w:spacing w:before="0" w:after="0"/>
        <w:ind w:left="1101" w:right="0" w:hanging="1102"/>
        <w:jc w:val="both"/>
        <w:rPr>
          <w:rFonts w:ascii="Times New Roman;Times;serif" w:hAnsi="Times New Roman;Times;serif"/>
          <w:b/>
          <w:sz w:val="20"/>
        </w:rPr>
      </w:pPr>
      <w:r>
        <w:rPr>
          <w:rFonts w:ascii="Times New Roman;Times;serif" w:hAnsi="Times New Roman;Times;serif"/>
          <w:b/>
          <w:sz w:val="20"/>
        </w:rPr>
        <w:t xml:space="preserve">Item 12.  Security Ownership of Certain Beneficial Owners and Management and Related Stockholder Matters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Equity Compensation Plan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disclosure required pursuant to Item 201(d) of Regulation S-K is hereby incorporated herein by reference from the Company’s proxy statement in respect of the 2023 Annual Meeting of Shareholders, definitive copies of which are expected to be filed with the SEC on or before 120 days after the end of the Company’s 2023 fiscal year.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Additional information with respect to Item 12 regarding equity compensation plan information relating to the Company is hereby incorporated herein by reference from Note 3 — Equity Compensation Plans and Capital Stock included in the Notes to Consolidated Financial Statements of the Company included in the Company’s Annual Report to Shareholders for the fiscal year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Security Ownership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additional information with respect to Item 12 regarding the security ownership of certain beneficial owners and management, and related matters, is hereby incorporated herein by reference from the Company’s proxy statement in respect to the 2023 Annual Meeting of Shareholders, definitive copies of which are expected to be filed with the SEC on or before 120 days after the end of the Company’s 2023 fiscal year.</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13.  Certain Relationships, Related Transactions and Director Independence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Information with respect to Item 13 is hereby incorporated herein by reference from the Company’s proxy statement in respect of the 2023 Annual Meeting of Shareholders, definitive copies of which are expected to be filed with the SEC on or before 120 days after the end of the Company’s 2023 fiscal year.</w:t>
      </w:r>
    </w:p>
    <w:p>
      <w:pPr>
        <w:pStyle w:val="TextBody"/>
        <w:bidi w:val="0"/>
        <w:spacing w:before="0" w:after="0"/>
        <w:ind w:left="0" w:right="0" w:hanging="0"/>
        <w:jc w:val="left"/>
        <w:rPr/>
      </w:pPr>
      <w:r>
        <w:rPr/>
        <w:t> </w:t>
      </w:r>
    </w:p>
    <w:p>
      <w:pPr>
        <w:pStyle w:val="TextBody"/>
        <w:bidi w:val="0"/>
        <w:spacing w:before="0" w:after="0"/>
        <w:ind w:left="979" w:right="0" w:hanging="979"/>
        <w:jc w:val="both"/>
        <w:rPr>
          <w:rFonts w:ascii="Times New Roman;Times;serif" w:hAnsi="Times New Roman;Times;serif"/>
          <w:b/>
          <w:sz w:val="20"/>
        </w:rPr>
      </w:pPr>
      <w:r>
        <w:rPr>
          <w:rFonts w:ascii="Times New Roman;Times;serif" w:hAnsi="Times New Roman;Times;serif"/>
          <w:b/>
          <w:sz w:val="20"/>
        </w:rPr>
        <w:t xml:space="preserve">Item 14.  Principal Accountant Fees and Services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Information with respect to Item 14 is hereby incorporated herein by reference from the Company’s proxy statement in respect of the 2023 Annual Meeting of Shareholders, definitive copies of which are expected to be filed with the SEC on or before 120 days after the end of the Company’s 2023 fiscal year.</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PART IV</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Item 15.  Exhibits and Financial Statement Schedules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Documents included in this report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1. Financial Statements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financial statements and notes thereto of the Company are included in the Company’s Annual Report to Shareholders for the fiscal year ended March 31, 2023, which is incorporated herein by reference:</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Balance Sheets —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Operations — Years ended March 31, 2023 and 2022</w:t>
      </w:r>
    </w:p>
    <w:p>
      <w:pPr>
        <w:pStyle w:val="TextBody"/>
        <w:bidi w:val="0"/>
        <w:spacing w:before="0" w:after="0"/>
        <w:ind w:left="0" w:right="0" w:firstLine="979"/>
        <w:jc w:val="both"/>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Comprehensive Income — Years ended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Stockholders’ Equity — Years ended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Consolidated Statements of Cash Flows — Years ended March 31, 2023 and 2022</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Report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2.  Financial Statement Schedules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financial statement schedule is included in the Company's Annual Report to Shareholders for the fiscal year ended March 31, 2023, which is incorporated herein by reference:</w:t>
      </w:r>
    </w:p>
    <w:p>
      <w:pPr>
        <w:pStyle w:val="TextBody"/>
        <w:bidi w:val="0"/>
        <w:spacing w:before="0" w:after="0"/>
        <w:ind w:left="0" w:right="0" w:hanging="0"/>
        <w:jc w:val="left"/>
        <w:rPr/>
      </w:pPr>
      <w:r>
        <w:rPr/>
        <w:t> </w:t>
      </w:r>
    </w:p>
    <w:p>
      <w:pPr>
        <w:pStyle w:val="TextBody"/>
        <w:bidi w:val="0"/>
        <w:spacing w:before="0" w:after="0"/>
        <w:ind w:left="0" w:right="0" w:firstLine="979"/>
        <w:jc w:val="both"/>
        <w:rPr>
          <w:rFonts w:ascii="Times New Roman;Times;serif" w:hAnsi="Times New Roman;Times;serif"/>
          <w:sz w:val="20"/>
        </w:rPr>
      </w:pPr>
      <w:r>
        <w:rPr>
          <w:rFonts w:ascii="Times New Roman;Times;serif" w:hAnsi="Times New Roman;Times;serif"/>
          <w:sz w:val="20"/>
        </w:rPr>
        <w:t>Schedule II — Valuation and Qualifying Accounts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All other schedules for which provision is made in the applicable accounting regulations of the SEC are not required under the related instructions or are inapplicable and, therefore, have been omitted.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3.  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590"/>
        <w:gridCol w:w="60"/>
        <w:gridCol w:w="260"/>
        <w:gridCol w:w="9295"/>
      </w:tblGrid>
      <w:tr>
        <w:trPr/>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c>
          <w:tcPr>
            <w:tcW w:w="260" w:type="dxa"/>
            <w:tcBorders/>
            <w:tcMar>
              <w:bottom w:w="0" w:type="dxa"/>
            </w:tcMar>
            <w:vAlign w:val="center"/>
          </w:tcPr>
          <w:p>
            <w:pPr>
              <w:pStyle w:val="TableContents"/>
              <w:bidi w:val="0"/>
              <w:spacing w:before="0" w:after="0"/>
              <w:ind w:left="0" w:right="0" w:hanging="0"/>
              <w:jc w:val="left"/>
              <w:rPr/>
            </w:pPr>
            <w:r>
              <w:rPr/>
              <w:t> </w:t>
            </w:r>
          </w:p>
        </w:tc>
        <w:tc>
          <w:tcPr>
            <w:tcW w:w="92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jc w:val="left"/>
              <w:rPr/>
            </w:pPr>
            <w:r>
              <w:rPr/>
              <w:t> </w:t>
            </w:r>
          </w:p>
        </w:tc>
        <w:tc>
          <w:tcPr>
            <w:tcW w:w="9295" w:type="dxa"/>
            <w:tcBorders/>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sz w:val="20"/>
                </w:rPr>
                <w:t>Articles of Incorporation of the Company, as amended (incorporated by reference from Exhibit 3.1 to the Company’s Form S-8 filed on December 21, 2016).</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sz w:val="20"/>
                </w:rPr>
                <w:t>Articles of Amendment to the Articles of Incorporation of the Company, as filed with the Texas Secretary of State on September 22, 1987 (incorporated by reference from Exhibit 3.1 to the Company’s Form S-8 filed on December 21, 2016).</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sz w:val="20"/>
                </w:rPr>
                <w:t>Amended and Restated Bylaws of the Company, as amended on November 8, 2021 (incorporated by reference from Exhibit 3.3 to the Company’s Form 10-Q filed on November 19, 2021).</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sz w:val="20"/>
                </w:rPr>
                <w:t>Friedman Industries, Incorporated 2016 Restricted Stock Plan (incorporated by reference from Exhibit 4.2 to the Company’s Form S-8 filed on December 21, 2016).</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sz w:val="20"/>
                </w:rPr>
                <w:t>Form of Friedman Industries, Incorporated Restricted Stock Award Agreement (incorporated by reference from Exhibit 4.3 to the Company’s Form S-8 filed on December 21, 2016).</w:t>
              </w:r>
            </w:hyperlink>
          </w:p>
        </w:tc>
      </w:tr>
      <w:tr>
        <w:trPr/>
        <w:tc>
          <w:tcPr>
            <w:tcW w:w="5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sz w:val="20"/>
                </w:rPr>
                <w:t>First Amendment to the Friedman Industries, Incorporated 2016 Restricted Stock Plan (incorporated by reference from Appendix C to the Company’s Form DEF 14A filed on July 26, 2019).</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283"/>
              <w:jc w:val="righ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Amended and Restated Credit Agreement dated May 19, 2021 (incorporated by reference from Exhibit 10.9 to the Company’s Form 10-K for the fiscal year ended March 31, 2021 filed on July 7, 2021).</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Pledge and Security Agreement dated May 19, 2021 (incorporated by reference from Exhibit 10.10 to the Company’s Form 10-K for the fiscal year ended March 31, 2021 filed on July 7, 2021).</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10">
              <w:r>
                <w:rPr>
                  <w:rStyle w:val="InternetLink"/>
                </w:rPr>
                <w:t>First Amendment to Amended and Restated Credit Agreement (incorporated by reference from Exhibit 10.6 to the Company's Form 10-K for the fiscal year ended March 31, 2022 filed on August 2, 2022).</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11">
              <w:r>
                <w:rPr>
                  <w:rStyle w:val="InternetLink"/>
                </w:rPr>
                <w:t>Second Amendment to Amended and Restated Credit Agreement (incorporated by reference from Exhibit 10.7 to the Company's Form 10-K for the fiscal year ended March 31, 2022 filed on August 2, 2022).</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12">
              <w:r>
                <w:rPr>
                  <w:rStyle w:val="InternetLink"/>
                </w:rPr>
                <w:t>Lease Assignment and Assumption Agreement for Parcel 1-A and Parcel 4 of Granite City, Illinois Property (incorporated by reference from Exhibit 10.9 to the Company's Form 10-K for the fiscal year ended March 31, 2022 filed on August 2, 2022).</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Lease Assignment and Assumption Agreement for Parcel 1-B of Granite City, Illinois Property (incorporated by reference from Exhibit 10.10 to the Company's Form 10-K for the fiscal year ended March 31, 2022 filed on August 2, 2022).</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283"/>
              <w:jc w:val="right"/>
              <w:rPr/>
            </w:pPr>
            <w:r>
              <w:rPr/>
              <w:t>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14">
              <w:r>
                <w:rPr>
                  <w:rStyle w:val="InternetLink"/>
                </w:rPr>
                <w:t>Lease Assignment and Assumption Agreement for Parcel 5 of Granite City, Illinois Property (incorporated by reference from Exhibit 10.11 to the Company's Form 10-K for the fiscal year ended March 31, 2022 filed on August 2, 2022).</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283"/>
              <w:jc w:val="right"/>
              <w:rPr/>
            </w:pPr>
            <w:r>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center"/>
              <w:rPr/>
            </w:pPr>
            <w:r>
              <w:rPr/>
              <w:t>—</w:t>
            </w:r>
          </w:p>
        </w:tc>
        <w:tc>
          <w:tcPr>
            <w:tcW w:w="9295" w:type="dxa"/>
            <w:tcBorders/>
            <w:shd w:fill="CCEEFF" w:val="clear"/>
            <w:tcMar>
              <w:bottom w:w="0" w:type="dxa"/>
            </w:tcMar>
            <w:vAlign w:val="center"/>
          </w:tcPr>
          <w:p>
            <w:pPr>
              <w:pStyle w:val="TableContents"/>
              <w:bidi w:val="0"/>
              <w:spacing w:before="0" w:after="283"/>
              <w:jc w:val="left"/>
              <w:rPr/>
            </w:pPr>
            <w:hyperlink r:id="rId15">
              <w:r>
                <w:rPr>
                  <w:rStyle w:val="InternetLink"/>
                </w:rPr>
                <w:t>Third Amendment to Amended and Restated Credit Agreement (incorporated by reference from Exhibit 10.12 to the Company's Form 10-K for the fiscal year ended March 31, 2022 filed on August 2, 2022).</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w:anchor="ex_489158.htm">
              <w:r>
                <w:rPr>
                  <w:rStyle w:val="InternetLink"/>
                  <w:rFonts w:ascii="Times New Roman;Times;serif" w:hAnsi="Times New Roman;Times;serif"/>
                  <w:sz w:val="20"/>
                </w:rPr>
                <w:t>The Company’s Annual Report to Shareholders for the fiscal year ended March 31, 2023.</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w:anchor="ex_489159.htm">
              <w:r>
                <w:rPr>
                  <w:rStyle w:val="InternetLink"/>
                  <w:rFonts w:ascii="Times New Roman;Times;serif" w:hAnsi="Times New Roman;Times;serif"/>
                  <w:sz w:val="20"/>
                </w:rPr>
                <w:t>Friedman Industries, Incorporated Code of Conduct and Ethics.</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w:anchor="ex_489160.htm">
              <w:r>
                <w:rPr>
                  <w:rStyle w:val="InternetLink"/>
                  <w:rFonts w:ascii="Times New Roman;Times;serif" w:hAnsi="Times New Roman;Times;serif"/>
                  <w:sz w:val="20"/>
                </w:rPr>
                <w:t>List of Subsidiaries.</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w:anchor="ex_489161.htm">
              <w:r>
                <w:rPr>
                  <w:rStyle w:val="InternetLink"/>
                  <w:rFonts w:ascii="Times New Roman;Times;serif" w:hAnsi="Times New Roman;Times;serif"/>
                  <w:sz w:val="20"/>
                </w:rPr>
                <w:t>Consent of Moss Adams LLP.</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w:anchor="ex_489162.htm">
              <w:r>
                <w:rPr>
                  <w:rStyle w:val="InternetLink"/>
                  <w:rFonts w:ascii="Times New Roman;Times;serif" w:hAnsi="Times New Roman;Times;serif"/>
                  <w:sz w:val="20"/>
                </w:rPr>
                <w:t>Certification Pursuant to Section 302 of the Sarbanes-Oxley Act of 2002, signed by Michael J. Taylor.</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left"/>
              <w:rPr/>
            </w:pPr>
            <w:hyperlink w:anchor="ex_489163.htm">
              <w:r>
                <w:rPr>
                  <w:rStyle w:val="InternetLink"/>
                  <w:rFonts w:ascii="Times New Roman;Times;serif" w:hAnsi="Times New Roman;Times;serif"/>
                  <w:sz w:val="20"/>
                </w:rPr>
                <w:t>Certification Pursuant to Section 302 of the Sarbanes-Oxley Act of 2002, signed by Alex LaRue.</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both"/>
              <w:rPr/>
            </w:pPr>
            <w:hyperlink w:anchor="ex_489164.htm">
              <w:r>
                <w:rPr>
                  <w:rStyle w:val="InternetLink"/>
                  <w:rFonts w:ascii="Times New Roman;Times;serif" w:hAnsi="Times New Roman;Times;serif"/>
                  <w:sz w:val="20"/>
                </w:rPr>
                <w:t>Certification Pursuant to 18 U.S.C. Section 1350, as Adopted Pursuant to Section 906 of the Sarbanes-Oxley Act of 2002, signed by Michael J. Taylor.</w:t>
              </w:r>
            </w:hyperlink>
          </w:p>
        </w:tc>
      </w:tr>
      <w:tr>
        <w:trPr/>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9295" w:type="dxa"/>
            <w:tcBorders/>
            <w:shd w:fill="FFFFFF" w:val="clear"/>
            <w:tcMar>
              <w:bottom w:w="0" w:type="dxa"/>
            </w:tcMar>
            <w:vAlign w:val="center"/>
          </w:tcPr>
          <w:p>
            <w:pPr>
              <w:pStyle w:val="TableContents"/>
              <w:bidi w:val="0"/>
              <w:spacing w:before="0" w:after="283"/>
              <w:jc w:val="left"/>
              <w:rPr/>
            </w:pPr>
            <w:r>
              <w:rPr/>
              <w:t> </w:t>
            </w:r>
          </w:p>
        </w:tc>
      </w:tr>
      <w:tr>
        <w:trPr/>
        <w:tc>
          <w:tcPr>
            <w:tcW w:w="5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0"/>
              <w:ind w:left="0" w:right="0" w:hanging="0"/>
              <w:jc w:val="center"/>
              <w:rPr/>
            </w:pPr>
            <w:r>
              <w:rPr/>
              <w:t>—</w:t>
            </w:r>
          </w:p>
        </w:tc>
        <w:tc>
          <w:tcPr>
            <w:tcW w:w="9295" w:type="dxa"/>
            <w:tcBorders/>
            <w:shd w:fill="CCEEFF" w:val="clear"/>
            <w:tcMar>
              <w:bottom w:w="0" w:type="dxa"/>
            </w:tcMar>
            <w:vAlign w:val="center"/>
          </w:tcPr>
          <w:p>
            <w:pPr>
              <w:pStyle w:val="TableContents"/>
              <w:bidi w:val="0"/>
              <w:spacing w:before="0" w:after="0"/>
              <w:ind w:left="0" w:right="0" w:hanging="0"/>
              <w:jc w:val="both"/>
              <w:rPr/>
            </w:pPr>
            <w:hyperlink w:anchor="ex_489165.htm">
              <w:r>
                <w:rPr>
                  <w:rStyle w:val="InternetLink"/>
                  <w:rFonts w:ascii="Times New Roman;Times;serif" w:hAnsi="Times New Roman;Times;serif"/>
                  <w:sz w:val="20"/>
                </w:rPr>
                <w:t>Certification Pursuant to 18 U.S.C. Section 1350, as Adopted Pursuant to Section 906 of the Sarbanes-Oxley Act of 2002, signed by Alex LaRue.</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9345" w:type="dxa"/>
        <w:jc w:val="left"/>
        <w:tblInd w:w="0" w:type="dxa"/>
        <w:tblLayout w:type="fixed"/>
        <w:tblCellMar>
          <w:top w:w="0" w:type="dxa"/>
          <w:left w:w="0" w:type="dxa"/>
          <w:bottom w:w="0" w:type="dxa"/>
          <w:right w:w="0" w:type="dxa"/>
        </w:tblCellMar>
      </w:tblPr>
      <w:tblGrid>
        <w:gridCol w:w="980"/>
        <w:gridCol w:w="60"/>
        <w:gridCol w:w="260"/>
        <w:gridCol w:w="8045"/>
      </w:tblGrid>
      <w:tr>
        <w:trPr/>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**101.INS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0"/>
              <w:ind w:left="0" w:right="0" w:hanging="0"/>
              <w:jc w:val="center"/>
              <w:rPr/>
            </w:pPr>
            <w:r>
              <w:rPr/>
              <w:t>—</w:t>
            </w:r>
          </w:p>
        </w:tc>
        <w:tc>
          <w:tcPr>
            <w:tcW w:w="8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Instance Document.</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04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**101.SCH</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0"/>
              <w:ind w:left="0" w:right="0" w:hanging="0"/>
              <w:jc w:val="center"/>
              <w:rPr/>
            </w:pPr>
            <w:r>
              <w:rPr/>
              <w:t>—</w:t>
            </w:r>
          </w:p>
        </w:tc>
        <w:tc>
          <w:tcPr>
            <w:tcW w:w="8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Schema Document.</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04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**101.CAL</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0"/>
              <w:ind w:left="0" w:right="0" w:hanging="0"/>
              <w:jc w:val="center"/>
              <w:rPr/>
            </w:pPr>
            <w:r>
              <w:rPr/>
              <w:t>—</w:t>
            </w:r>
          </w:p>
        </w:tc>
        <w:tc>
          <w:tcPr>
            <w:tcW w:w="8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Calculation Linkbase Document.</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c>
          <w:tcPr>
            <w:tcW w:w="804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**101.DEF</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0"/>
              <w:ind w:left="0" w:right="0" w:hanging="0"/>
              <w:jc w:val="center"/>
              <w:rPr/>
            </w:pPr>
            <w:r>
              <w:rPr/>
              <w:t>—</w:t>
            </w:r>
          </w:p>
        </w:tc>
        <w:tc>
          <w:tcPr>
            <w:tcW w:w="8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Definition Linkbase Document.</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04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**101.LAB</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0"/>
              <w:ind w:left="0" w:right="0" w:hanging="0"/>
              <w:jc w:val="center"/>
              <w:rPr/>
            </w:pPr>
            <w:r>
              <w:rPr/>
              <w:t>—</w:t>
            </w:r>
          </w:p>
        </w:tc>
        <w:tc>
          <w:tcPr>
            <w:tcW w:w="8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Label Linkbase Document.</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04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**101.PRE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0"/>
              <w:ind w:left="0" w:right="0" w:hanging="0"/>
              <w:jc w:val="center"/>
              <w:rPr/>
            </w:pPr>
            <w:r>
              <w:rPr/>
              <w:t>—</w:t>
            </w:r>
          </w:p>
        </w:tc>
        <w:tc>
          <w:tcPr>
            <w:tcW w:w="8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Presentation Linkbase Document.</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04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w:t>
            </w:r>
          </w:p>
        </w:tc>
        <w:tc>
          <w:tcPr>
            <w:tcW w:w="80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Cover Page Interactive Data File (embedded within the Inline XBRL and contained in Exhibit 101)</w:t>
            </w:r>
          </w:p>
        </w:tc>
      </w:tr>
    </w:tbl>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tbl>
      <w:tblPr>
        <w:tblW w:w="1465" w:type="dxa"/>
        <w:jc w:val="left"/>
        <w:tblInd w:w="0" w:type="dxa"/>
        <w:tblLayout w:type="fixed"/>
        <w:tblCellMar>
          <w:top w:w="0" w:type="dxa"/>
          <w:left w:w="0" w:type="dxa"/>
          <w:bottom w:w="0" w:type="dxa"/>
          <w:right w:w="0" w:type="dxa"/>
        </w:tblCellMar>
      </w:tblPr>
      <w:tblGrid>
        <w:gridCol w:w="230"/>
        <w:gridCol w:w="1235"/>
      </w:tblGrid>
      <w:tr>
        <w:trPr/>
        <w:tc>
          <w:tcPr>
            <w:tcW w:w="2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2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Friedman Industries, Incorporated has duly caused this report to be signed on its behalf by the undersigned, thereunto duly authorized.</w:t>
      </w:r>
    </w:p>
    <w:p>
      <w:pPr>
        <w:pStyle w:val="TextBody"/>
        <w:bidi w:val="0"/>
        <w:spacing w:before="0" w:after="0"/>
        <w:ind w:left="0" w:right="0" w:hanging="0"/>
        <w:jc w:val="left"/>
        <w:rPr/>
      </w:pPr>
      <w:r>
        <w:rPr/>
        <w:t> </w:t>
      </w:r>
    </w:p>
    <w:tbl>
      <w:tblPr>
        <w:tblW w:w="3904" w:type="dxa"/>
        <w:jc w:val="left"/>
        <w:tblInd w:w="0" w:type="dxa"/>
        <w:tblLayout w:type="fixed"/>
        <w:tblCellMar>
          <w:top w:w="0" w:type="dxa"/>
          <w:left w:w="0" w:type="dxa"/>
          <w:bottom w:w="0" w:type="dxa"/>
          <w:right w:w="0" w:type="dxa"/>
        </w:tblCellMar>
      </w:tblPr>
      <w:tblGrid>
        <w:gridCol w:w="75"/>
        <w:gridCol w:w="350"/>
        <w:gridCol w:w="3404"/>
        <w:gridCol w:w="75"/>
      </w:tblGrid>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FRIEDMAN INDUSTRIES, INCORPORATED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J. TAYLOR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4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Michael J. Taylor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4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w:t>
            </w:r>
            <w:r>
              <w:rPr>
                <w:rFonts w:ascii="Times New Roman;Times;serif" w:hAnsi="Times New Roman;Times;serif"/>
                <w:sz w:val="20"/>
              </w:rPr>
              <w:t> </w:t>
            </w:r>
            <w:r>
              <w:rPr>
                <w:rFonts w:ascii="Times New Roman;Times;serif" w:hAnsi="Times New Roman;Times;serif"/>
                <w:i/>
                <w:sz w:val="20"/>
              </w:rPr>
              <w:t>Chief Executive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 xml:space="preserve">Dated: </w:t>
            </w:r>
            <w:r>
              <w:rPr>
                <w:rFonts w:ascii="Times New Roman;Times;serif" w:hAnsi="Times New Roman;Times;serif"/>
                <w:sz w:val="20"/>
                <w:shd w:fill="FFFFFF" w:val="clear"/>
              </w:rPr>
              <w:t xml:space="preserve">July </w:t>
            </w:r>
            <w:r>
              <w:rPr>
                <w:rFonts w:ascii="Times New Roman;Times;serif" w:hAnsi="Times New Roman;Times;serif"/>
                <w:sz w:val="20"/>
              </w:rPr>
              <w:t>14</w:t>
            </w:r>
            <w:r>
              <w:rPr>
                <w:rFonts w:ascii="Times New Roman;Times;serif" w:hAnsi="Times New Roman;Times;serif"/>
                <w:sz w:val="20"/>
                <w:shd w:fill="FFFFFF" w:val="clear"/>
              </w:rPr>
              <w:t>, 2023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Friedman Industries, Incorporated in the capacities and on the dates indicated.</w:t>
      </w:r>
    </w:p>
    <w:p>
      <w:pPr>
        <w:pStyle w:val="TextBody"/>
        <w:bidi w:val="0"/>
        <w:spacing w:before="0" w:after="0"/>
        <w:ind w:left="0" w:right="0" w:hanging="0"/>
        <w:jc w:val="left"/>
        <w:rPr/>
      </w:pPr>
      <w:r>
        <w:rPr/>
        <w:t> </w:t>
      </w:r>
    </w:p>
    <w:tbl>
      <w:tblPr>
        <w:tblW w:w="7725" w:type="dxa"/>
        <w:jc w:val="left"/>
        <w:tblInd w:w="0" w:type="dxa"/>
        <w:tblLayout w:type="fixed"/>
        <w:tblCellMar>
          <w:top w:w="0" w:type="dxa"/>
          <w:left w:w="0" w:type="dxa"/>
          <w:bottom w:w="28" w:type="dxa"/>
          <w:right w:w="0" w:type="dxa"/>
        </w:tblCellMar>
      </w:tblPr>
      <w:tblGrid>
        <w:gridCol w:w="2705"/>
        <w:gridCol w:w="60"/>
        <w:gridCol w:w="3590"/>
        <w:gridCol w:w="60"/>
        <w:gridCol w:w="1310"/>
      </w:tblGrid>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J. TAYLOR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and</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Michael J. Taylor</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Director (Principal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 LARUE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 Secretary and</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Alex LaRue</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Treasurer (Principal Financial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DURGA D. AGRAWAL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Durga D. Agrawal</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MAX REICHENTHAL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Max Reichenthal</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283"/>
              <w:jc w:val="center"/>
              <w:rPr/>
            </w:pPr>
            <w:r>
              <w:rPr/>
              <w:t>/S/    SANDY SCOTT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Sandy Scott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JOEL SPIRA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Joel Spira</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TIM STEVENSON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Tim Stevenson</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283"/>
              <w:jc w:val="center"/>
              <w:rPr/>
            </w:pPr>
            <w:r>
              <w:rPr/>
              <w:t>/S/    SHARON TAYLOR</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Sharon Taylor</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JOE L. WILLIAMS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shd w:fill="FFFFFF" w:val="clear"/>
              </w:rPr>
              <w:t xml:space="preserve">July </w:t>
            </w:r>
            <w:r>
              <w:rPr/>
              <w:t>14</w:t>
            </w:r>
            <w:r>
              <w:rPr>
                <w:shd w:fill="FFFFFF" w:val="clear"/>
              </w:rPr>
              <w:t>, 2023</w:t>
            </w:r>
          </w:p>
        </w:tc>
      </w:tr>
      <w:tr>
        <w:trPr/>
        <w:tc>
          <w:tcPr>
            <w:tcW w:w="2705" w:type="dxa"/>
            <w:tcBorders/>
            <w:tcMar>
              <w:bottom w:w="0" w:type="dxa"/>
            </w:tcMar>
            <w:vAlign w:val="center"/>
          </w:tcPr>
          <w:p>
            <w:pPr>
              <w:pStyle w:val="TableContents"/>
              <w:bidi w:val="0"/>
              <w:spacing w:before="0" w:after="283"/>
              <w:jc w:val="center"/>
              <w:rPr/>
            </w:pPr>
            <w:r>
              <w:rPr/>
              <w:t>Joe L. Williams</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10 </w:t>
      </w:r>
    </w:p>
    <w:p>
      <w:pPr>
        <w:pStyle w:val="TextBody"/>
        <w:bidi w:val="0"/>
        <w:spacing w:before="0" w:after="0"/>
        <w:ind w:left="0" w:right="0" w:hanging="0"/>
        <w:jc w:val="left"/>
        <w:rPr/>
      </w:pPr>
      <w:bookmarkStart w:id="4" w:name="ex_489158.htm"/>
      <w:bookmarkStart w:id="5" w:name="ksex_489158"/>
      <w:bookmarkEnd w:id="4"/>
      <w:bookmarkEnd w:id="5"/>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13.1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FORM 10-K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COMPANY’S ANNUAL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REPORT TO SHAREHOLDERS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THE FISCAL YEAR ENDED </w:t>
      </w:r>
      <w:r>
        <w:rPr>
          <w:rFonts w:ascii="Times New Roman;Times;serif" w:hAnsi="Times New Roman;Times;serif"/>
          <w:b/>
          <w:caps/>
          <w:sz w:val="20"/>
        </w:rPr>
        <w:t>March 31, 2023</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drawing>
          <wp:inline distT="0" distB="0" distL="0" distR="0">
            <wp:extent cx="2543175" cy="11226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2543175" cy="1122680"/>
                    </a:xfrm>
                    <a:prstGeom prst="rect">
                      <a:avLst/>
                    </a:prstGeom>
                  </pic:spPr>
                </pic:pic>
              </a:graphicData>
            </a:graphic>
          </wp:inline>
        </w:drawing>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jc w:val="center"/>
        <w:rPr/>
      </w:pPr>
      <w:r>
        <w:rPr/>
        <w:t xml:space="preserve">  </w:t>
      </w:r>
    </w:p>
    <w:p>
      <w:pPr>
        <w:pStyle w:val="TextBody"/>
        <w:bidi w:val="0"/>
        <w:spacing w:before="0" w:after="0"/>
        <w:ind w:left="0" w:right="0" w:hanging="0"/>
        <w:jc w:val="center"/>
        <w:rPr>
          <w:rFonts w:ascii="Times New Roman;Times;serif" w:hAnsi="Times New Roman;Times;serif"/>
          <w:b/>
          <w:color w:val="2647BB"/>
          <w:sz w:val="72"/>
        </w:rPr>
      </w:pPr>
      <w:r>
        <w:rPr>
          <w:rFonts w:ascii="Times New Roman;Times;serif" w:hAnsi="Times New Roman;Times;serif"/>
          <w:b/>
          <w:color w:val="2647BB"/>
          <w:sz w:val="72"/>
        </w:rPr>
        <w:t>2023</w:t>
      </w:r>
    </w:p>
    <w:p>
      <w:pPr>
        <w:pStyle w:val="TextBody"/>
        <w:bidi w:val="0"/>
        <w:spacing w:before="0" w:after="0"/>
        <w:ind w:left="0" w:right="0" w:hanging="0"/>
        <w:jc w:val="center"/>
        <w:rPr>
          <w:rFonts w:ascii="Times New Roman;Times;serif" w:hAnsi="Times New Roman;Times;serif"/>
          <w:b/>
          <w:color w:val="2647BB"/>
          <w:sz w:val="72"/>
        </w:rPr>
      </w:pPr>
      <w:r>
        <w:rPr>
          <w:rFonts w:ascii="Times New Roman;Times;serif" w:hAnsi="Times New Roman;Times;serif"/>
          <w:b/>
          <w:color w:val="2647BB"/>
          <w:sz w:val="72"/>
        </w:rPr>
        <w:t xml:space="preserve">ANNUAL REPORT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4490" w:type="dxa"/>
        <w:jc w:val="left"/>
        <w:tblInd w:w="0" w:type="dxa"/>
        <w:tblLayout w:type="fixed"/>
        <w:tblCellMar>
          <w:top w:w="28" w:type="dxa"/>
          <w:left w:w="28" w:type="dxa"/>
          <w:bottom w:w="0" w:type="dxa"/>
          <w:right w:w="28" w:type="dxa"/>
        </w:tblCellMar>
      </w:tblPr>
      <w:tblGrid>
        <w:gridCol w:w="4490"/>
      </w:tblGrid>
      <w:tr>
        <w:trPr/>
        <w:tc>
          <w:tcPr>
            <w:tcW w:w="4490" w:type="dxa"/>
            <w:tcBorders>
              <w:top w:val="single" w:sz="2" w:space="0" w:color="000000"/>
              <w:left w:val="single" w:sz="2" w:space="0" w:color="000000"/>
              <w:right w:val="single" w:sz="2" w:space="0" w:color="000000"/>
            </w:tcBorders>
            <w:vAlign w:val="center"/>
          </w:tcPr>
          <w:p>
            <w:pPr>
              <w:pStyle w:val="TableContents"/>
              <w:bidi w:val="0"/>
              <w:spacing w:before="0" w:after="283"/>
              <w:jc w:val="center"/>
              <w:rPr>
                <w:rFonts w:ascii="Times New Roman" w:hAnsi="Times New Roman"/>
                <w:b/>
                <w:sz w:val="36"/>
              </w:rPr>
            </w:pPr>
            <w:r>
              <w:rPr>
                <w:rFonts w:ascii="Times New Roman" w:hAnsi="Times New Roman"/>
                <w:b/>
                <w:sz w:val="36"/>
              </w:rPr>
              <w:t>FINANCIAL HIGHLIGHTS</w:t>
            </w:r>
          </w:p>
        </w:tc>
      </w:tr>
      <w:tr>
        <w:trPr/>
        <w:tc>
          <w:tcPr>
            <w:tcW w:w="4490" w:type="dxa"/>
            <w:tcBorders>
              <w:top w:val="single" w:sz="2" w:space="0" w:color="000000"/>
              <w:left w:val="single" w:sz="2" w:space="0" w:color="000000"/>
              <w:right w:val="single" w:sz="2" w:space="0" w:color="000000"/>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(In thousands, except per share data)</w:t>
            </w:r>
          </w:p>
        </w:tc>
      </w:tr>
    </w:tbl>
    <w:tbl>
      <w:tblPr>
        <w:tblW w:w="4618" w:type="dxa"/>
        <w:jc w:val="left"/>
        <w:tblInd w:w="0" w:type="dxa"/>
        <w:tblLayout w:type="fixed"/>
        <w:tblCellMar>
          <w:top w:w="0" w:type="dxa"/>
          <w:left w:w="28" w:type="dxa"/>
          <w:bottom w:w="0" w:type="dxa"/>
          <w:right w:w="0" w:type="dxa"/>
        </w:tblCellMar>
      </w:tblPr>
      <w:tblGrid>
        <w:gridCol w:w="2420"/>
        <w:gridCol w:w="60"/>
        <w:gridCol w:w="151"/>
        <w:gridCol w:w="843"/>
        <w:gridCol w:w="60"/>
        <w:gridCol w:w="60"/>
        <w:gridCol w:w="147"/>
        <w:gridCol w:w="817"/>
        <w:gridCol w:w="60"/>
      </w:tblGrid>
      <w:tr>
        <w:trPr/>
        <w:tc>
          <w:tcPr>
            <w:tcW w:w="2420" w:type="dxa"/>
            <w:tcBorders>
              <w:left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left w:w="0"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left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shd w:fill="FFFFFF" w:val="clear"/>
            <w:tcMar>
              <w:left w:w="0" w:type="dxa"/>
            </w:tcMar>
            <w:vAlign w:val="center"/>
          </w:tcPr>
          <w:p>
            <w:pPr>
              <w:pStyle w:val="TableContents"/>
              <w:bidi w:val="0"/>
              <w:spacing w:before="0" w:after="283"/>
              <w:jc w:val="left"/>
              <w:rPr/>
            </w:pPr>
            <w:r>
              <w:rPr/>
              <w:t> </w:t>
            </w:r>
          </w:p>
        </w:tc>
        <w:tc>
          <w:tcPr>
            <w:tcW w:w="60" w:type="dxa"/>
            <w:tcBorders/>
            <w:shd w:fill="FFFFFF" w:val="clear"/>
            <w:tcMar>
              <w:left w:w="0"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left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Fiscal 2022</w:t>
            </w:r>
          </w:p>
        </w:tc>
        <w:tc>
          <w:tcPr>
            <w:tcW w:w="60" w:type="dxa"/>
            <w:tcBorders>
              <w:right w:val="single" w:sz="2" w:space="0" w:color="000000"/>
            </w:tcBorders>
            <w:shd w:fill="FFFFFF" w:val="clear"/>
            <w:tcMar>
              <w:left w:w="0" w:type="dxa"/>
              <w:right w:w="28" w:type="dxa"/>
            </w:tcMar>
            <w:vAlign w:val="center"/>
          </w:tcPr>
          <w:p>
            <w:pPr>
              <w:pStyle w:val="TableContents"/>
              <w:bidi w:val="0"/>
              <w:spacing w:before="0" w:after="283"/>
              <w:jc w:val="left"/>
              <w:rPr/>
            </w:pPr>
            <w:r>
              <w:rPr/>
              <w:t> </w:t>
            </w:r>
          </w:p>
        </w:tc>
      </w:tr>
      <w:tr>
        <w:trPr/>
        <w:tc>
          <w:tcPr>
            <w:tcW w:w="2420" w:type="dxa"/>
            <w:tcBorders>
              <w:left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tcMar>
              <w:left w:w="0" w:type="dxa"/>
            </w:tcMar>
            <w:vAlign w:val="center"/>
          </w:tcPr>
          <w:p>
            <w:pPr>
              <w:pStyle w:val="TableContents"/>
              <w:bidi w:val="0"/>
              <w:spacing w:before="0" w:after="283"/>
              <w:ind w:left="0" w:right="0" w:hanging="0"/>
              <w:jc w:val="left"/>
              <w:rPr/>
            </w:pPr>
            <w:r>
              <w:rPr/>
              <w:t> </w:t>
            </w:r>
          </w:p>
        </w:tc>
        <w:tc>
          <w:tcPr>
            <w:tcW w:w="151" w:type="dxa"/>
            <w:tcBorders/>
            <w:shd w:fill="CCEE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3" w:type="dxa"/>
            <w:tcBorders/>
            <w:shd w:fill="CCEEFF" w:val="clear"/>
            <w:tcMar>
              <w:left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547,542</w:t>
            </w:r>
          </w:p>
        </w:tc>
        <w:tc>
          <w:tcPr>
            <w:tcW w:w="60" w:type="dxa"/>
            <w:tcBorders/>
            <w:shd w:fill="CCEEFF" w:val="clear"/>
            <w:tcMar>
              <w:left w:w="0" w:type="dxa"/>
            </w:tcMar>
            <w:vAlign w:val="center"/>
          </w:tcPr>
          <w:p>
            <w:pPr>
              <w:pStyle w:val="TableContents"/>
              <w:bidi w:val="0"/>
              <w:spacing w:before="0" w:after="283"/>
              <w:jc w:val="left"/>
              <w:rPr/>
            </w:pPr>
            <w:r>
              <w:rPr/>
              <w:t> </w:t>
            </w:r>
          </w:p>
        </w:tc>
        <w:tc>
          <w:tcPr>
            <w:tcW w:w="60" w:type="dxa"/>
            <w:tcBorders/>
            <w:shd w:fill="CCEEFF" w:val="clear"/>
            <w:tcMar>
              <w:left w:w="0" w:type="dxa"/>
            </w:tcMar>
            <w:vAlign w:val="center"/>
          </w:tcPr>
          <w:p>
            <w:pPr>
              <w:pStyle w:val="TableContents"/>
              <w:bidi w:val="0"/>
              <w:spacing w:before="0" w:after="283"/>
              <w:ind w:left="0" w:right="0" w:hanging="0"/>
              <w:jc w:val="left"/>
              <w:rPr/>
            </w:pPr>
            <w:r>
              <w:rPr/>
              <w:t> </w:t>
            </w:r>
          </w:p>
        </w:tc>
        <w:tc>
          <w:tcPr>
            <w:tcW w:w="147" w:type="dxa"/>
            <w:tcBorders/>
            <w:shd w:fill="CCEE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shd w:fill="CCEEFF" w:val="clear"/>
            <w:tcMar>
              <w:left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285,235</w:t>
            </w:r>
          </w:p>
        </w:tc>
        <w:tc>
          <w:tcPr>
            <w:tcW w:w="60" w:type="dxa"/>
            <w:tcBorders>
              <w:right w:val="single" w:sz="2" w:space="0" w:color="000000"/>
            </w:tcBorders>
            <w:shd w:fill="CCEEFF" w:val="clear"/>
            <w:tcMar>
              <w:left w:w="0" w:type="dxa"/>
              <w:right w:w="28" w:type="dxa"/>
            </w:tcMar>
            <w:vAlign w:val="center"/>
          </w:tcPr>
          <w:p>
            <w:pPr>
              <w:pStyle w:val="TableContents"/>
              <w:bidi w:val="0"/>
              <w:spacing w:before="0" w:after="283"/>
              <w:jc w:val="left"/>
              <w:rPr/>
            </w:pPr>
            <w:r>
              <w:rPr/>
              <w:t> </w:t>
            </w:r>
          </w:p>
        </w:tc>
      </w:tr>
      <w:tr>
        <w:trPr/>
        <w:tc>
          <w:tcPr>
            <w:tcW w:w="2420" w:type="dxa"/>
            <w:tcBorders>
              <w:left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tcMar>
              <w:left w:w="0" w:type="dxa"/>
            </w:tcMar>
            <w:vAlign w:val="center"/>
          </w:tcPr>
          <w:p>
            <w:pPr>
              <w:pStyle w:val="TableContents"/>
              <w:bidi w:val="0"/>
              <w:spacing w:before="0" w:after="283"/>
              <w:ind w:left="0" w:right="0" w:hanging="0"/>
              <w:jc w:val="left"/>
              <w:rPr/>
            </w:pPr>
            <w:r>
              <w:rPr/>
              <w:t> </w:t>
            </w:r>
          </w:p>
        </w:tc>
        <w:tc>
          <w:tcPr>
            <w:tcW w:w="151" w:type="dxa"/>
            <w:tcBorders/>
            <w:shd w:fill="FFFF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3" w:type="dxa"/>
            <w:tcBorders/>
            <w:shd w:fill="FFFFFF" w:val="clear"/>
            <w:tcMar>
              <w:left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21,344</w:t>
            </w:r>
          </w:p>
        </w:tc>
        <w:tc>
          <w:tcPr>
            <w:tcW w:w="60" w:type="dxa"/>
            <w:tcBorders/>
            <w:shd w:fill="FFFFFF" w:val="clear"/>
            <w:tcMar>
              <w:left w:w="0" w:type="dxa"/>
            </w:tcMar>
            <w:vAlign w:val="center"/>
          </w:tcPr>
          <w:p>
            <w:pPr>
              <w:pStyle w:val="TableContents"/>
              <w:bidi w:val="0"/>
              <w:spacing w:before="0" w:after="283"/>
              <w:jc w:val="left"/>
              <w:rPr/>
            </w:pPr>
            <w:r>
              <w:rPr/>
              <w:t> </w:t>
            </w:r>
          </w:p>
        </w:tc>
        <w:tc>
          <w:tcPr>
            <w:tcW w:w="60" w:type="dxa"/>
            <w:tcBorders/>
            <w:shd w:fill="FFFFFF" w:val="clear"/>
            <w:tcMar>
              <w:left w:w="0" w:type="dxa"/>
            </w:tcMar>
            <w:vAlign w:val="center"/>
          </w:tcPr>
          <w:p>
            <w:pPr>
              <w:pStyle w:val="TableContents"/>
              <w:bidi w:val="0"/>
              <w:spacing w:before="0" w:after="283"/>
              <w:ind w:left="0" w:right="0" w:hanging="0"/>
              <w:jc w:val="left"/>
              <w:rPr/>
            </w:pPr>
            <w:r>
              <w:rPr/>
              <w:t> </w:t>
            </w:r>
          </w:p>
        </w:tc>
        <w:tc>
          <w:tcPr>
            <w:tcW w:w="147" w:type="dxa"/>
            <w:tcBorders/>
            <w:shd w:fill="FFFF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shd w:fill="FFFFFF" w:val="clear"/>
            <w:tcMar>
              <w:left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14,066</w:t>
            </w:r>
          </w:p>
        </w:tc>
        <w:tc>
          <w:tcPr>
            <w:tcW w:w="60" w:type="dxa"/>
            <w:tcBorders>
              <w:right w:val="single" w:sz="2" w:space="0" w:color="000000"/>
            </w:tcBorders>
            <w:shd w:fill="FFFFFF" w:val="clear"/>
            <w:tcMar>
              <w:left w:w="0" w:type="dxa"/>
              <w:right w:w="28" w:type="dxa"/>
            </w:tcMar>
            <w:vAlign w:val="center"/>
          </w:tcPr>
          <w:p>
            <w:pPr>
              <w:pStyle w:val="TableContents"/>
              <w:bidi w:val="0"/>
              <w:spacing w:before="0" w:after="283"/>
              <w:jc w:val="left"/>
              <w:rPr/>
            </w:pPr>
            <w:r>
              <w:rPr/>
              <w:t> </w:t>
            </w:r>
          </w:p>
        </w:tc>
      </w:tr>
      <w:tr>
        <w:trPr/>
        <w:tc>
          <w:tcPr>
            <w:tcW w:w="2420" w:type="dxa"/>
            <w:tcBorders>
              <w:left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per share (Basic)</w:t>
            </w:r>
          </w:p>
        </w:tc>
        <w:tc>
          <w:tcPr>
            <w:tcW w:w="60" w:type="dxa"/>
            <w:tcBorders/>
            <w:shd w:fill="CCEEFF" w:val="clear"/>
            <w:tcMar>
              <w:left w:w="0" w:type="dxa"/>
            </w:tcMar>
            <w:vAlign w:val="center"/>
          </w:tcPr>
          <w:p>
            <w:pPr>
              <w:pStyle w:val="TableContents"/>
              <w:bidi w:val="0"/>
              <w:spacing w:before="0" w:after="283"/>
              <w:ind w:left="0" w:right="0" w:hanging="0"/>
              <w:jc w:val="left"/>
              <w:rPr/>
            </w:pPr>
            <w:r>
              <w:rPr/>
              <w:t> </w:t>
            </w:r>
          </w:p>
        </w:tc>
        <w:tc>
          <w:tcPr>
            <w:tcW w:w="151" w:type="dxa"/>
            <w:tcBorders/>
            <w:shd w:fill="CCEE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3" w:type="dxa"/>
            <w:tcBorders/>
            <w:shd w:fill="CCEEFF" w:val="clear"/>
            <w:tcMar>
              <w:left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2.91</w:t>
            </w:r>
          </w:p>
        </w:tc>
        <w:tc>
          <w:tcPr>
            <w:tcW w:w="60" w:type="dxa"/>
            <w:tcBorders/>
            <w:shd w:fill="CCEEFF" w:val="clear"/>
            <w:tcMar>
              <w:left w:w="0" w:type="dxa"/>
            </w:tcMar>
            <w:vAlign w:val="center"/>
          </w:tcPr>
          <w:p>
            <w:pPr>
              <w:pStyle w:val="TableContents"/>
              <w:bidi w:val="0"/>
              <w:spacing w:before="0" w:after="283"/>
              <w:jc w:val="left"/>
              <w:rPr/>
            </w:pPr>
            <w:r>
              <w:rPr/>
              <w:t> </w:t>
            </w:r>
          </w:p>
        </w:tc>
        <w:tc>
          <w:tcPr>
            <w:tcW w:w="60" w:type="dxa"/>
            <w:tcBorders/>
            <w:shd w:fill="CCEEFF" w:val="clear"/>
            <w:tcMar>
              <w:left w:w="0" w:type="dxa"/>
            </w:tcMar>
            <w:vAlign w:val="center"/>
          </w:tcPr>
          <w:p>
            <w:pPr>
              <w:pStyle w:val="TableContents"/>
              <w:bidi w:val="0"/>
              <w:spacing w:before="0" w:after="283"/>
              <w:ind w:left="0" w:right="0" w:hanging="0"/>
              <w:jc w:val="left"/>
              <w:rPr/>
            </w:pPr>
            <w:r>
              <w:rPr/>
              <w:t> </w:t>
            </w:r>
          </w:p>
        </w:tc>
        <w:tc>
          <w:tcPr>
            <w:tcW w:w="147" w:type="dxa"/>
            <w:tcBorders/>
            <w:shd w:fill="CCEE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shd w:fill="CCEEFF" w:val="clear"/>
            <w:tcMar>
              <w:left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60" w:type="dxa"/>
            <w:tcBorders>
              <w:right w:val="single" w:sz="2" w:space="0" w:color="000000"/>
            </w:tcBorders>
            <w:shd w:fill="CCEEFF" w:val="clear"/>
            <w:tcMar>
              <w:left w:w="0" w:type="dxa"/>
              <w:right w:w="28" w:type="dxa"/>
            </w:tcMar>
            <w:vAlign w:val="center"/>
          </w:tcPr>
          <w:p>
            <w:pPr>
              <w:pStyle w:val="TableContents"/>
              <w:bidi w:val="0"/>
              <w:spacing w:before="0" w:after="283"/>
              <w:jc w:val="left"/>
              <w:rPr/>
            </w:pPr>
            <w:r>
              <w:rPr/>
              <w:t> </w:t>
            </w:r>
          </w:p>
        </w:tc>
      </w:tr>
      <w:tr>
        <w:trPr/>
        <w:tc>
          <w:tcPr>
            <w:tcW w:w="2420" w:type="dxa"/>
            <w:tcBorders>
              <w:left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dividends per share</w:t>
            </w:r>
          </w:p>
        </w:tc>
        <w:tc>
          <w:tcPr>
            <w:tcW w:w="60" w:type="dxa"/>
            <w:tcBorders/>
            <w:shd w:fill="FFFFFF" w:val="clear"/>
            <w:tcMar>
              <w:left w:w="0" w:type="dxa"/>
            </w:tcMar>
            <w:vAlign w:val="center"/>
          </w:tcPr>
          <w:p>
            <w:pPr>
              <w:pStyle w:val="TableContents"/>
              <w:bidi w:val="0"/>
              <w:spacing w:before="0" w:after="283"/>
              <w:ind w:left="0" w:right="0" w:hanging="0"/>
              <w:jc w:val="left"/>
              <w:rPr/>
            </w:pPr>
            <w:r>
              <w:rPr/>
              <w:t> </w:t>
            </w:r>
          </w:p>
        </w:tc>
        <w:tc>
          <w:tcPr>
            <w:tcW w:w="151" w:type="dxa"/>
            <w:tcBorders/>
            <w:shd w:fill="FFFF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3" w:type="dxa"/>
            <w:tcBorders/>
            <w:shd w:fill="FFFFFF" w:val="clear"/>
            <w:tcMar>
              <w:left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0.08</w:t>
            </w:r>
          </w:p>
        </w:tc>
        <w:tc>
          <w:tcPr>
            <w:tcW w:w="60" w:type="dxa"/>
            <w:tcBorders/>
            <w:shd w:fill="FFFFFF" w:val="clear"/>
            <w:tcMar>
              <w:left w:w="0" w:type="dxa"/>
            </w:tcMar>
            <w:vAlign w:val="center"/>
          </w:tcPr>
          <w:p>
            <w:pPr>
              <w:pStyle w:val="TableContents"/>
              <w:bidi w:val="0"/>
              <w:spacing w:before="0" w:after="283"/>
              <w:jc w:val="left"/>
              <w:rPr/>
            </w:pPr>
            <w:r>
              <w:rPr/>
              <w:t> </w:t>
            </w:r>
          </w:p>
        </w:tc>
        <w:tc>
          <w:tcPr>
            <w:tcW w:w="60" w:type="dxa"/>
            <w:tcBorders/>
            <w:shd w:fill="FFFFFF" w:val="clear"/>
            <w:tcMar>
              <w:left w:w="0" w:type="dxa"/>
            </w:tcMar>
            <w:vAlign w:val="center"/>
          </w:tcPr>
          <w:p>
            <w:pPr>
              <w:pStyle w:val="TableContents"/>
              <w:bidi w:val="0"/>
              <w:spacing w:before="0" w:after="283"/>
              <w:ind w:left="0" w:right="0" w:hanging="0"/>
              <w:jc w:val="left"/>
              <w:rPr/>
            </w:pPr>
            <w:r>
              <w:rPr/>
              <w:t> </w:t>
            </w:r>
          </w:p>
        </w:tc>
        <w:tc>
          <w:tcPr>
            <w:tcW w:w="147" w:type="dxa"/>
            <w:tcBorders/>
            <w:shd w:fill="FFFF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shd w:fill="FFFFFF" w:val="clear"/>
            <w:tcMar>
              <w:left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60" w:type="dxa"/>
            <w:tcBorders>
              <w:right w:val="single" w:sz="2" w:space="0" w:color="000000"/>
            </w:tcBorders>
            <w:shd w:fill="FFFFFF" w:val="clear"/>
            <w:tcMar>
              <w:left w:w="0" w:type="dxa"/>
              <w:right w:w="28" w:type="dxa"/>
            </w:tcMar>
            <w:vAlign w:val="center"/>
          </w:tcPr>
          <w:p>
            <w:pPr>
              <w:pStyle w:val="TableContents"/>
              <w:bidi w:val="0"/>
              <w:spacing w:before="0" w:after="283"/>
              <w:jc w:val="left"/>
              <w:rPr/>
            </w:pPr>
            <w:r>
              <w:rPr/>
              <w:t> </w:t>
            </w:r>
          </w:p>
        </w:tc>
      </w:tr>
      <w:tr>
        <w:trPr/>
        <w:tc>
          <w:tcPr>
            <w:tcW w:w="2420" w:type="dxa"/>
            <w:tcBorders>
              <w:left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tcMar>
              <w:left w:w="0" w:type="dxa"/>
            </w:tcMar>
            <w:vAlign w:val="center"/>
          </w:tcPr>
          <w:p>
            <w:pPr>
              <w:pStyle w:val="TableContents"/>
              <w:bidi w:val="0"/>
              <w:spacing w:before="0" w:after="283"/>
              <w:ind w:left="0" w:right="0" w:hanging="0"/>
              <w:jc w:val="left"/>
              <w:rPr/>
            </w:pPr>
            <w:r>
              <w:rPr/>
              <w:t> </w:t>
            </w:r>
          </w:p>
        </w:tc>
        <w:tc>
          <w:tcPr>
            <w:tcW w:w="151" w:type="dxa"/>
            <w:tcBorders/>
            <w:shd w:fill="CCEE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3" w:type="dxa"/>
            <w:tcBorders/>
            <w:shd w:fill="CCEEFF" w:val="clear"/>
            <w:tcMar>
              <w:left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115,432</w:t>
            </w:r>
          </w:p>
        </w:tc>
        <w:tc>
          <w:tcPr>
            <w:tcW w:w="60" w:type="dxa"/>
            <w:tcBorders/>
            <w:shd w:fill="CCEEFF" w:val="clear"/>
            <w:tcMar>
              <w:left w:w="0" w:type="dxa"/>
            </w:tcMar>
            <w:vAlign w:val="center"/>
          </w:tcPr>
          <w:p>
            <w:pPr>
              <w:pStyle w:val="TableContents"/>
              <w:bidi w:val="0"/>
              <w:spacing w:before="0" w:after="283"/>
              <w:jc w:val="left"/>
              <w:rPr/>
            </w:pPr>
            <w:r>
              <w:rPr/>
              <w:t> </w:t>
            </w:r>
          </w:p>
        </w:tc>
        <w:tc>
          <w:tcPr>
            <w:tcW w:w="60" w:type="dxa"/>
            <w:tcBorders/>
            <w:shd w:fill="CCEEFF" w:val="clear"/>
            <w:tcMar>
              <w:left w:w="0" w:type="dxa"/>
            </w:tcMar>
            <w:vAlign w:val="center"/>
          </w:tcPr>
          <w:p>
            <w:pPr>
              <w:pStyle w:val="TableContents"/>
              <w:bidi w:val="0"/>
              <w:spacing w:before="0" w:after="283"/>
              <w:ind w:left="0" w:right="0" w:hanging="0"/>
              <w:jc w:val="left"/>
              <w:rPr/>
            </w:pPr>
            <w:r>
              <w:rPr/>
              <w:t> </w:t>
            </w:r>
          </w:p>
        </w:tc>
        <w:tc>
          <w:tcPr>
            <w:tcW w:w="147" w:type="dxa"/>
            <w:tcBorders/>
            <w:shd w:fill="CCEEFF" w:val="clear"/>
            <w:tcMar>
              <w:left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shd w:fill="CCEEFF" w:val="clear"/>
            <w:tcMar>
              <w:left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79,687</w:t>
            </w:r>
          </w:p>
        </w:tc>
        <w:tc>
          <w:tcPr>
            <w:tcW w:w="60" w:type="dxa"/>
            <w:tcBorders>
              <w:right w:val="single" w:sz="2" w:space="0" w:color="000000"/>
            </w:tcBorders>
            <w:shd w:fill="CCEEFF" w:val="clear"/>
            <w:tcMar>
              <w:left w:w="0" w:type="dxa"/>
              <w:right w:w="28" w:type="dxa"/>
            </w:tcMar>
            <w:vAlign w:val="center"/>
          </w:tcPr>
          <w:p>
            <w:pPr>
              <w:pStyle w:val="TableContents"/>
              <w:bidi w:val="0"/>
              <w:spacing w:before="0" w:after="283"/>
              <w:jc w:val="left"/>
              <w:rPr/>
            </w:pPr>
            <w:r>
              <w:rPr/>
              <w:t> </w:t>
            </w:r>
          </w:p>
        </w:tc>
      </w:tr>
      <w:tr>
        <w:trPr/>
        <w:tc>
          <w:tcPr>
            <w:tcW w:w="2420" w:type="dxa"/>
            <w:tcBorders>
              <w:left w:val="single" w:sz="2" w:space="0" w:color="000000"/>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w:t>
            </w:r>
          </w:p>
        </w:tc>
        <w:tc>
          <w:tcPr>
            <w:tcW w:w="60" w:type="dxa"/>
            <w:tcBorders>
              <w:bottom w:val="single" w:sz="2" w:space="0" w:color="000000"/>
            </w:tcBorders>
            <w:shd w:fill="FFFFFF" w:val="clear"/>
            <w:tcMar>
              <w:left w:w="0" w:type="dxa"/>
              <w:bottom w:w="28" w:type="dxa"/>
            </w:tcM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FFFFFF" w:val="clear"/>
            <w:tcMar>
              <w:left w:w="0"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3" w:type="dxa"/>
            <w:tcBorders>
              <w:bottom w:val="single" w:sz="2" w:space="0" w:color="000000"/>
            </w:tcBorders>
            <w:shd w:fill="FFFFFF" w:val="clear"/>
            <w:tcMar>
              <w:left w:w="0" w:type="dxa"/>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98,568</w:t>
            </w:r>
          </w:p>
        </w:tc>
        <w:tc>
          <w:tcPr>
            <w:tcW w:w="60" w:type="dxa"/>
            <w:tcBorders>
              <w:bottom w:val="single" w:sz="2" w:space="0" w:color="000000"/>
            </w:tcBorders>
            <w:shd w:fill="FFFFFF" w:val="clear"/>
            <w:tcMar>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left w:w="0" w:type="dxa"/>
              <w:bottom w:w="28" w:type="dxa"/>
            </w:tcM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left w:w="0"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7" w:type="dxa"/>
            <w:tcBorders>
              <w:bottom w:val="single" w:sz="2" w:space="0" w:color="000000"/>
            </w:tcBorders>
            <w:shd w:fill="FFFFFF" w:val="clear"/>
            <w:tcMar>
              <w:left w:w="0"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64,551</w:t>
            </w:r>
          </w:p>
        </w:tc>
        <w:tc>
          <w:tcPr>
            <w:tcW w:w="60" w:type="dxa"/>
            <w:tcBorders>
              <w:bottom w:val="single" w:sz="2" w:space="0" w:color="000000"/>
              <w:right w:val="single" w:sz="2" w:space="0" w:color="000000"/>
            </w:tcBorders>
            <w:shd w:fill="FFFFFF" w:val="clear"/>
            <w:tcMar>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 xml:space="preserve">TO OUR SHAREHOLDERS: </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Fiscal year 2023 was a historic year for Friedman Industries, Inc. (the “Company”). The year started with the Company’s first acquisition in history when we purchased two steel coil processing facilities in East Chicago, Indiana and Granite City, Illinois. The quality of the equipment and products produced at these facilities is great and we welcomed an excellent group of operations, commercial and administrative employees to the Friedman team as part of the acquisition. The facilities were immediately accretive to the Company’s operating results and we expect the facilities to contribute meaningful value to the Company as we progress. In October 2022, our newly constructed facility in Sinton, Texas commenced operations. The Sinton facility takes our steel processing capabilities to the next level with one of the largest stretcher leveler cut-to-length lines in North America. As we continue to ramp up production at the Sinton facility, we remain excited by the potential for the facility. We concluded the year by capturing the most profitable year in Company history and more than doubling our annual sales volume.</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Fiscal 2023 was another volatile year for hot-rolled coil (“HRC”). The year started with a sharp and abrupt increase in HRC price following the Russian invasion of Ukraine with prices reaching almost $1,500 per ton at the end of April 2022. From there, HRC prices declined approximately 60% until December 2022. From December 2022 to the end of fiscal 2023, HRC prices increased approximately 87% as domestic steel producers announced several rounds of price increases. I am proud of our team for navigating these challenging market conditions and maintaining profitability for each quarter of fiscal 2023 all while also integrating our newly acquired and newly constructed facilities into our overall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 have many memorable experiences during my 40 plus years in the steel industry but fiscal 2023 will stand out as a highlight. Our team successfully executed significant strategic initiatives which more than doubled the scale of our business.  Through the process we gained valuable experience in identifying, evaluating and executing growth opportunities. Our desire is to leverage this experience as we seek additional growth opportunities with the goal of providing long-term value for the Company and its shareholders.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are invited to attend the Annual Meeting of Shareholders scheduled to start at 9:00 a.m. (Central Time) on Wednesday, September 13, 2023, in the offices of Norton Rose Fulbright US LLP, 1301 McKinney, 51st Floor, Houston, Texas 77010.</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75260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752600" cy="5715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J. Taylor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Chairman of the Board of Directors </w:t>
      </w:r>
    </w:p>
    <w:p>
      <w:pPr>
        <w:pStyle w:val="TextBody"/>
        <w:bidi w:val="0"/>
        <w:spacing w:before="0" w:after="0"/>
        <w:ind w:left="0" w:right="0" w:firstLine="18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both"/>
        <w:rPr/>
      </w:pPr>
      <w:r>
        <w:rPr/>
        <w:t>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 xml:space="preserve">OFFICERS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J. Taylor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President and</w:t>
      </w:r>
      <w:r>
        <w:rPr>
          <w:rFonts w:ascii="Times New Roman;Times;serif" w:hAnsi="Times New Roman;Times;serif"/>
          <w:sz w:val="20"/>
        </w:rPr>
        <w:t xml:space="preserve"> </w:t>
      </w:r>
      <w:r>
        <w:rPr>
          <w:rFonts w:ascii="Times New Roman;Times;serif" w:hAnsi="Times New Roman;Times;serif"/>
          <w:i/>
          <w:sz w:val="20"/>
        </w:rPr>
        <w:t>Chief Executive</w:t>
      </w:r>
      <w:r>
        <w:rPr>
          <w:rFonts w:ascii="Times New Roman;Times;serif" w:hAnsi="Times New Roman;Times;serif"/>
          <w:sz w:val="20"/>
        </w:rPr>
        <w:t xml:space="preserve"> </w:t>
      </w:r>
      <w:r>
        <w:rPr>
          <w:rFonts w:ascii="Times New Roman;Times;serif" w:hAnsi="Times New Roman;Times;serif"/>
          <w:i/>
          <w:sz w:val="20"/>
        </w:rPr>
        <w:t>Officer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Howard Henderson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Vice President of Operations — Texas Tubular Division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Jonathan Holcomb</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Vice President</w:t>
      </w:r>
      <w:r>
        <w:rPr>
          <w:rFonts w:ascii="Times New Roman;Times;serif" w:hAnsi="Times New Roman;Times;serif"/>
          <w:sz w:val="20"/>
        </w:rPr>
        <w:t xml:space="preserve"> </w:t>
      </w:r>
      <w:r>
        <w:rPr>
          <w:rFonts w:ascii="Times New Roman;Times;serif" w:hAnsi="Times New Roman;Times;serif"/>
          <w:i/>
          <w:sz w:val="20"/>
        </w:rPr>
        <w:t>of Sales</w:t>
      </w:r>
      <w:r>
        <w:rPr>
          <w:rFonts w:ascii="Times New Roman;Times;serif" w:hAnsi="Times New Roman;Times;serif"/>
          <w:sz w:val="20"/>
        </w:rPr>
        <w:t> — </w:t>
      </w:r>
      <w:r>
        <w:rPr>
          <w:rFonts w:ascii="Times New Roman;Times;serif" w:hAnsi="Times New Roman;Times;serif"/>
          <w:i/>
          <w:sz w:val="20"/>
        </w:rPr>
        <w:t>Coil Divisions and Vice President of Purchasing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Alex LaRue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Chief Financial Officer</w:t>
      </w:r>
      <w:r>
        <w:rPr>
          <w:rFonts w:ascii="Times New Roman;Times;serif" w:hAnsi="Times New Roman;Times;serif"/>
          <w:sz w:val="20"/>
        </w:rPr>
        <w:t> — </w:t>
      </w:r>
      <w:r>
        <w:rPr>
          <w:rFonts w:ascii="Times New Roman;Times;serif" w:hAnsi="Times New Roman;Times;serif"/>
          <w:i/>
          <w:sz w:val="20"/>
        </w:rPr>
        <w:t>Secretary and Treasurer</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Paul Rottmann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Vice President of Operations — Coil Divisions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Steve Teeter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Vice President</w:t>
      </w:r>
      <w:r>
        <w:rPr>
          <w:rFonts w:ascii="Times New Roman;Times;serif" w:hAnsi="Times New Roman;Times;serif"/>
          <w:sz w:val="20"/>
        </w:rPr>
        <w:t xml:space="preserve"> </w:t>
      </w:r>
      <w:r>
        <w:rPr>
          <w:rFonts w:ascii="Times New Roman;Times;serif" w:hAnsi="Times New Roman;Times;serif"/>
          <w:i/>
          <w:sz w:val="20"/>
        </w:rPr>
        <w:t>of Operations</w:t>
      </w:r>
      <w:r>
        <w:rPr>
          <w:rFonts w:ascii="Times New Roman;Times;serif" w:hAnsi="Times New Roman;Times;serif"/>
          <w:sz w:val="20"/>
        </w:rPr>
        <w:t xml:space="preserve"> — </w:t>
      </w:r>
      <w:r>
        <w:rPr>
          <w:rFonts w:ascii="Times New Roman;Times;serif" w:hAnsi="Times New Roman;Times;serif"/>
          <w:i/>
          <w:sz w:val="20"/>
        </w:rPr>
        <w:t>Southeast Coil Divisions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Thompson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Vice President</w:t>
      </w:r>
      <w:r>
        <w:rPr>
          <w:rFonts w:ascii="Times New Roman;Times;serif" w:hAnsi="Times New Roman;Times;serif"/>
          <w:sz w:val="20"/>
        </w:rPr>
        <w:t xml:space="preserve"> </w:t>
      </w:r>
      <w:r>
        <w:rPr>
          <w:rFonts w:ascii="Times New Roman;Times;serif" w:hAnsi="Times New Roman;Times;serif"/>
          <w:i/>
          <w:sz w:val="20"/>
        </w:rPr>
        <w:t>and General Manager</w:t>
      </w:r>
      <w:r>
        <w:rPr>
          <w:rFonts w:ascii="Times New Roman;Times;serif" w:hAnsi="Times New Roman;Times;serif"/>
          <w:sz w:val="20"/>
        </w:rPr>
        <w:t> — </w:t>
      </w:r>
      <w:r>
        <w:rPr>
          <w:rFonts w:ascii="Times New Roman;Times;serif" w:hAnsi="Times New Roman;Times;serif"/>
          <w:i/>
          <w:sz w:val="20"/>
        </w:rPr>
        <w:t>Tubular Division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COMPANY OFFICES AND WEBSITES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CORPORATE OFFICE &amp; COIL PRODUCTS SALES OFFICE</w:t>
      </w:r>
    </w:p>
    <w:p>
      <w:pPr>
        <w:pStyle w:val="TextBody"/>
        <w:bidi w:val="0"/>
        <w:spacing w:before="0" w:after="0"/>
        <w:ind w:left="0" w:right="0" w:hanging="0"/>
        <w:jc w:val="both"/>
        <w:rPr/>
      </w:pPr>
      <w:r>
        <w:rPr/>
        <w:t>    </w:t>
      </w:r>
      <w:r>
        <w:rPr>
          <w:rFonts w:ascii="Times New Roman;Times;serif" w:hAnsi="Times New Roman;Times;serif"/>
          <w:sz w:val="20"/>
        </w:rPr>
        <w:t>1121 Judson Road, Suite 124</w:t>
      </w:r>
    </w:p>
    <w:p>
      <w:pPr>
        <w:pStyle w:val="TextBody"/>
        <w:bidi w:val="0"/>
        <w:spacing w:before="0" w:after="0"/>
        <w:ind w:left="0" w:right="0" w:hanging="0"/>
        <w:jc w:val="both"/>
        <w:rPr/>
      </w:pPr>
      <w:r>
        <w:rPr/>
        <w:t>    </w:t>
      </w:r>
      <w:r>
        <w:rPr>
          <w:rFonts w:ascii="Times New Roman;Times;serif" w:hAnsi="Times New Roman;Times;serif"/>
          <w:sz w:val="20"/>
        </w:rPr>
        <w:t>Longview, Texas 75601</w:t>
      </w:r>
    </w:p>
    <w:p>
      <w:pPr>
        <w:pStyle w:val="TextBody"/>
        <w:bidi w:val="0"/>
        <w:spacing w:before="0" w:after="0"/>
        <w:ind w:left="0" w:right="0" w:hanging="0"/>
        <w:jc w:val="both"/>
        <w:rPr/>
      </w:pPr>
      <w:r>
        <w:rPr/>
        <w:t>    </w:t>
      </w:r>
      <w:r>
        <w:rPr>
          <w:rFonts w:ascii="Times New Roman;Times;serif" w:hAnsi="Times New Roman;Times;serif"/>
          <w:sz w:val="20"/>
        </w:rPr>
        <w:t>903-758-3431</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TUBULAR PRODUCTS SALES OFFICE</w:t>
      </w:r>
    </w:p>
    <w:p>
      <w:pPr>
        <w:pStyle w:val="TextBody"/>
        <w:bidi w:val="0"/>
        <w:spacing w:before="0" w:after="0"/>
        <w:ind w:left="0" w:right="0" w:hanging="0"/>
        <w:jc w:val="both"/>
        <w:rPr/>
      </w:pPr>
      <w:r>
        <w:rPr/>
        <w:t>    </w:t>
      </w:r>
      <w:r>
        <w:rPr>
          <w:rFonts w:ascii="Times New Roman;Times;serif" w:hAnsi="Times New Roman;Times;serif"/>
          <w:sz w:val="20"/>
        </w:rPr>
        <w:t>3681 FM 250</w:t>
      </w:r>
    </w:p>
    <w:p>
      <w:pPr>
        <w:pStyle w:val="TextBody"/>
        <w:bidi w:val="0"/>
        <w:spacing w:before="0" w:after="0"/>
        <w:ind w:left="0" w:right="0" w:hanging="0"/>
        <w:jc w:val="both"/>
        <w:rPr/>
      </w:pPr>
      <w:r>
        <w:rPr/>
        <w:t>    </w:t>
      </w:r>
      <w:r>
        <w:rPr>
          <w:rFonts w:ascii="Times New Roman;Times;serif" w:hAnsi="Times New Roman;Times;serif"/>
          <w:sz w:val="20"/>
        </w:rPr>
        <w:t>Lone Star, Texas 75668</w:t>
      </w:r>
    </w:p>
    <w:p>
      <w:pPr>
        <w:pStyle w:val="TextBody"/>
        <w:bidi w:val="0"/>
        <w:spacing w:before="0" w:after="0"/>
        <w:ind w:left="0" w:right="0" w:hanging="0"/>
        <w:jc w:val="both"/>
        <w:rPr/>
      </w:pPr>
      <w:r>
        <w:rPr/>
        <w:t>    </w:t>
      </w:r>
      <w:r>
        <w:rPr>
          <w:rFonts w:ascii="Times New Roman;Times;serif" w:hAnsi="Times New Roman;Times;serif"/>
          <w:sz w:val="20"/>
        </w:rPr>
        <w:t>903-639-2511</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WEBSITES*</w:t>
      </w:r>
    </w:p>
    <w:p>
      <w:pPr>
        <w:pStyle w:val="TextBody"/>
        <w:bidi w:val="0"/>
        <w:spacing w:before="0" w:after="0"/>
        <w:ind w:left="0" w:right="0" w:hanging="0"/>
        <w:jc w:val="both"/>
        <w:rPr/>
      </w:pPr>
      <w:r>
        <w:rPr/>
        <w:t>    </w:t>
      </w:r>
      <w:r>
        <w:rPr>
          <w:rFonts w:ascii="Times New Roman;Times;serif" w:hAnsi="Times New Roman;Times;serif"/>
          <w:sz w:val="20"/>
        </w:rPr>
        <w:t>www.friedmanindustries.com</w:t>
      </w:r>
    </w:p>
    <w:p>
      <w:pPr>
        <w:pStyle w:val="TextBody"/>
        <w:bidi w:val="0"/>
        <w:spacing w:before="0" w:after="0"/>
        <w:ind w:left="0" w:right="0" w:hanging="0"/>
        <w:jc w:val="both"/>
        <w:rPr/>
      </w:pPr>
      <w:r>
        <w:rPr/>
        <w:t>    </w:t>
      </w:r>
      <w:r>
        <w:rPr>
          <w:rFonts w:ascii="Times New Roman;Times;serif" w:hAnsi="Times New Roman;Times;serif"/>
          <w:sz w:val="20"/>
        </w:rPr>
        <w:t>www.texastubular.com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COUNSEL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Norton Rose Fulbright US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1301 McKinney, Suite 5100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Houston, Texas 77010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Moss Adams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500 Dallas Street, Suite 2500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Houston, TX 77002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 AGENT AND REGISTRAR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Equiniti Trust Company LLC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6201 15th Avenue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Brooklyn, NY 11219</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Information on our websites is expressly not incorporated by reference into this document.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DIRECTORS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Durga D. Agrawal</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President, Piping Technology &amp; Products, Inc. (pipe fabrication)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Houston, Texas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Max Reichenthal</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President, Texas Iron and Metal (steel product sales)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Houston, Texas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Sandy Scott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Retired, formerly, Chief Executive Officer of Sprint Industrial Holdings (rental equipment and transportation company), currently serving on the boards of directors of Terra Nova Solutions, Rowland Inc., CEDA International, DWD International, LLC and Goodwill of Houston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Houston, Texas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Joel Spira</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Private investor; formerly, Partner, Weinstein Spira &amp; Company (accounting firm)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Houston, Texas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Tim Stevenson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Chief Executive Officer and Founder, Metal Edge Partners</w:t>
      </w:r>
      <w:r>
        <w:rPr>
          <w:rFonts w:ascii="Times New Roman;Times;serif" w:hAnsi="Times New Roman;Times;serif"/>
          <w:sz w:val="20"/>
        </w:rPr>
        <w:t xml:space="preserve"> </w:t>
      </w:r>
      <w:r>
        <w:rPr>
          <w:rFonts w:ascii="Times New Roman;Times;serif" w:hAnsi="Times New Roman;Times;serif"/>
          <w:i/>
          <w:sz w:val="20"/>
        </w:rPr>
        <w:t>(metals price risk management and strategic advisory services)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Plymouth, Minnesota</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Michael J. Taylor, </w:t>
      </w:r>
      <w:r>
        <w:rPr>
          <w:rFonts w:ascii="Times New Roman;Times;serif" w:hAnsi="Times New Roman;Times;serif"/>
          <w:i/>
          <w:sz w:val="20"/>
        </w:rPr>
        <w:t>Chairman</w:t>
      </w:r>
      <w:r>
        <w:rPr>
          <w:rFonts w:ascii="Times New Roman;Times;serif" w:hAnsi="Times New Roman;Times;serif"/>
          <w:sz w:val="20"/>
        </w:rPr>
        <w:t xml:space="preserve"> </w:t>
      </w:r>
      <w:r>
        <w:rPr>
          <w:rFonts w:ascii="Times New Roman;Times;serif" w:hAnsi="Times New Roman;Times;serif"/>
          <w:i/>
          <w:sz w:val="20"/>
        </w:rPr>
        <w:t>of the Board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President and Chief Executive Officer of the Company</w:t>
      </w:r>
      <w:r>
        <w:rPr>
          <w:rFonts w:ascii="Times New Roman;Times;serif" w:hAnsi="Times New Roman;Times;serif"/>
          <w:sz w:val="20"/>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Houston, Texas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Sharon Taylor</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Executive Vice President and Chief Financial Officer, Martin Midstream Partners L.P. and Martin Resource Management Corporation (terminalling, processing, transportation, storage and packaging services for petroleum products and by-products)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Kilgore, Texas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Joe L. Williams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Partner, Pozmantier, Williams</w:t>
      </w:r>
      <w:r>
        <w:rPr>
          <w:rFonts w:ascii="Times New Roman;Times;serif" w:hAnsi="Times New Roman;Times;serif"/>
          <w:sz w:val="20"/>
        </w:rPr>
        <w:t xml:space="preserve"> </w:t>
      </w:r>
      <w:r>
        <w:rPr>
          <w:rFonts w:ascii="Times New Roman;Times;serif" w:hAnsi="Times New Roman;Times;serif"/>
          <w:i/>
          <w:sz w:val="20"/>
        </w:rPr>
        <w:t>and Stone</w:t>
      </w:r>
      <w:r>
        <w:rPr>
          <w:rFonts w:ascii="Times New Roman;Times;serif" w:hAnsi="Times New Roman;Times;serif"/>
          <w:sz w:val="20"/>
        </w:rPr>
        <w:t xml:space="preserve"> </w:t>
      </w:r>
      <w:r>
        <w:rPr>
          <w:rFonts w:ascii="Times New Roman;Times;serif" w:hAnsi="Times New Roman;Times;serif"/>
          <w:i/>
          <w:sz w:val="20"/>
        </w:rPr>
        <w:t xml:space="preserve">Insurance Consultants, LLC (insurance and risk management consultants)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Houston, Texas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ANNUAL REPORT ON FORM 10-K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Shareholders may obtain without charge a copy of the Company’s Annual Report on Form 10-K for the year ended March 31, 2023, as filed with the U.S. Securities and Exchange Commission. Written requests should be addressed to: Alex LaRue, Chief Financial Officer</w:t>
      </w:r>
      <w:r>
        <w:rPr>
          <w:rFonts w:ascii="Times New Roman;Times;serif" w:hAnsi="Times New Roman;Times;serif"/>
          <w:sz w:val="20"/>
        </w:rPr>
        <w:t xml:space="preserve"> — </w:t>
      </w:r>
      <w:r>
        <w:rPr>
          <w:rFonts w:ascii="Times New Roman;Times;serif" w:hAnsi="Times New Roman;Times;serif"/>
          <w:b/>
          <w:sz w:val="20"/>
        </w:rPr>
        <w:t xml:space="preserve">Secretary and Treasurer, Friedman Industries, Incorporated, P.O. Box 2192, Longview, Texas 75606.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36"/>
        </w:rPr>
      </w:pPr>
      <w:r>
        <w:rPr>
          <w:rFonts w:ascii="Times New Roman;Times;serif" w:hAnsi="Times New Roman;Times;serif"/>
          <w:b/>
          <w:sz w:val="36"/>
        </w:rPr>
        <w:t>DESCRIPTION OF BUSINESS</w:t>
      </w:r>
      <w:r>
        <w:rPr>
          <w:rFonts w:ascii="Times New Roman;Times;serif" w:hAnsi="Times New Roman;Times;serif"/>
          <w:sz w:val="36"/>
        </w:rPr>
        <w:t>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Friedman Industries, Incorporated (the “Company”) is a manufacturer and processor of steel products and operates in two product segments: coil products and tubular products.</w:t>
      </w:r>
    </w:p>
    <w:p>
      <w:pPr>
        <w:pStyle w:val="TextBody"/>
        <w:bidi w:val="0"/>
        <w:spacing w:before="0" w:after="0"/>
        <w:ind w:left="0" w:right="0" w:hanging="0"/>
        <w:jc w:val="left"/>
        <w:rPr/>
      </w:pPr>
      <w:r>
        <w:rPr/>
        <w:t> </w:t>
      </w:r>
    </w:p>
    <w:p>
      <w:pPr>
        <w:pStyle w:val="TextBody"/>
        <w:bidi w:val="0"/>
        <w:spacing w:before="0" w:after="0"/>
        <w:ind w:left="245" w:right="0" w:hanging="0"/>
        <w:jc w:val="both"/>
        <w:rPr>
          <w:rFonts w:ascii="Times New Roman;Times;serif" w:hAnsi="Times New Roman;Times;serif"/>
          <w:i/>
          <w:sz w:val="20"/>
        </w:rPr>
      </w:pPr>
      <w:r>
        <w:rPr>
          <w:rFonts w:ascii="Times New Roman;Times;serif" w:hAnsi="Times New Roman;Times;serif"/>
          <w:i/>
          <w:sz w:val="20"/>
        </w:rPr>
        <w:t xml:space="preserve">Coil Products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coil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2.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coil product segment revenue is generated from sales of Company owned inventory but the segment also generates revenue from the processing or storage of customer owned coils on a fee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coil processing facilities are substantially similar with respect to products produced. The Company makes shipments of coil products based on which facility offers the desired product or, if the product is available at multiple facilities, based on other factors, such as customer location, freight conditions and the ability of the facility to fulfill the order on a timely basis. Coil products are sold on a wholesale, rapid-delivery basis in competition with other processors of hot-rolled steel coils. Shipments are made via unaffiliated truckers or by rail.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coil segment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Company sells coil products and processing services to approximately 520 customers located primarily in the midwestern, 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w:t>
      </w:r>
    </w:p>
    <w:p>
      <w:pPr>
        <w:pStyle w:val="TextBody"/>
        <w:bidi w:val="0"/>
        <w:spacing w:before="0" w:after="0"/>
        <w:ind w:left="0" w:right="0" w:hanging="0"/>
        <w:jc w:val="left"/>
        <w:rPr/>
      </w:pPr>
      <w:r>
        <w:rPr/>
        <w:t> </w:t>
      </w:r>
    </w:p>
    <w:p>
      <w:pPr>
        <w:pStyle w:val="TextBody"/>
        <w:bidi w:val="0"/>
        <w:spacing w:before="0" w:after="0"/>
        <w:ind w:left="245" w:right="0" w:hanging="0"/>
        <w:jc w:val="both"/>
        <w:rPr>
          <w:rFonts w:ascii="Times New Roman;Times;serif" w:hAnsi="Times New Roman;Times;serif"/>
          <w:i/>
          <w:sz w:val="20"/>
        </w:rPr>
      </w:pPr>
      <w:r>
        <w:rPr>
          <w:rFonts w:ascii="Times New Roman;Times;serif" w:hAnsi="Times New Roman;Times;serif"/>
          <w:i/>
          <w:sz w:val="20"/>
        </w:rPr>
        <w:t xml:space="preserve">Tubular Products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w:t>
      </w:r>
      <w:r>
        <w:rPr>
          <w:rFonts w:ascii="Times New Roman" w:hAnsi="Times New Roman"/>
          <w:caps w:val="false"/>
          <w:smallCaps w:val="false"/>
          <w:sz w:val="20"/>
          <w:shd w:fill="FFFFFF" w:val="clear"/>
        </w:rPr>
        <w:t xml:space="preserve"> TTP has a pipe finishing facility capable of applying threads and couplings to oil country tubular goods and performing other services that are customary in the pipe finishing process. The pipe finishing facility is currently idled.</w:t>
      </w:r>
      <w:r>
        <w:rPr>
          <w:rFonts w:ascii="Times New Roman" w:hAnsi="Times New Roman"/>
          <w:caps w:val="false"/>
          <w:smallCaps w:val="false"/>
          <w:sz w:val="20"/>
        </w:rPr>
        <w:t xml:space="preserve"> All of the tubular segment's revenue is generated from sales of Company owned inventory.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sells its tubular products nationally to approximately 95 customers. The Company’s principal customers for these products are steel and pipe distributors.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TTP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Significant financial information relating to the Company’s two product groups, coil and tubular products, is contained i</w:t>
      </w:r>
      <w:r>
        <w:rPr>
          <w:rFonts w:ascii="Times New Roman;Times;serif" w:hAnsi="Times New Roman;Times;serif"/>
          <w:sz w:val="20"/>
          <w:shd w:fill="FFFFFF" w:val="clear"/>
        </w:rPr>
        <w:t xml:space="preserve">n </w:t>
      </w:r>
      <w:r>
        <w:rPr>
          <w:rFonts w:ascii="Times New Roman;Times;serif" w:hAnsi="Times New Roman;Times;serif"/>
          <w:sz w:val="20"/>
        </w:rPr>
        <w:t>Note 13</w:t>
      </w:r>
      <w:r>
        <w:rPr>
          <w:rFonts w:ascii="Times New Roman;Times;serif" w:hAnsi="Times New Roman;Times;serif"/>
          <w:sz w:val="20"/>
          <w:shd w:fill="FFFFFF" w:val="clear"/>
        </w:rPr>
        <w:t xml:space="preserve"> of </w:t>
      </w:r>
      <w:r>
        <w:rPr>
          <w:rFonts w:ascii="Times New Roman;Times;serif" w:hAnsi="Times New Roman;Times;serif"/>
          <w:sz w:val="20"/>
        </w:rPr>
        <w:t>the Notes to the Company’s Consolidated Financial Statements appearing herein.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RANGE OF HIGH AND LOW SALES PRICES OF COMMON STOCK</w:t>
      </w:r>
    </w:p>
    <w:p>
      <w:pPr>
        <w:pStyle w:val="TextBody"/>
        <w:bidi w:val="0"/>
        <w:spacing w:before="0" w:after="0"/>
        <w:ind w:left="0" w:right="0" w:hanging="0"/>
        <w:jc w:val="left"/>
        <w:rPr/>
      </w:pPr>
      <w:r>
        <w:rPr/>
        <w:t> </w:t>
      </w:r>
    </w:p>
    <w:tbl>
      <w:tblPr>
        <w:tblW w:w="4080" w:type="dxa"/>
        <w:jc w:val="left"/>
        <w:tblInd w:w="0" w:type="dxa"/>
        <w:tblLayout w:type="fixed"/>
        <w:tblCellMar>
          <w:top w:w="0" w:type="dxa"/>
          <w:left w:w="0" w:type="dxa"/>
          <w:bottom w:w="0" w:type="dxa"/>
          <w:right w:w="0" w:type="dxa"/>
        </w:tblCellMar>
      </w:tblPr>
      <w:tblGrid>
        <w:gridCol w:w="1265"/>
        <w:gridCol w:w="60"/>
        <w:gridCol w:w="125"/>
        <w:gridCol w:w="485"/>
        <w:gridCol w:w="60"/>
        <w:gridCol w:w="60"/>
        <w:gridCol w:w="125"/>
        <w:gridCol w:w="380"/>
        <w:gridCol w:w="60"/>
        <w:gridCol w:w="60"/>
        <w:gridCol w:w="125"/>
        <w:gridCol w:w="485"/>
        <w:gridCol w:w="60"/>
        <w:gridCol w:w="60"/>
        <w:gridCol w:w="125"/>
        <w:gridCol w:w="485"/>
        <w:gridCol w:w="60"/>
      </w:tblGrid>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Low</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Low</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Quarter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11.11</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Quarter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8.59</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Quarter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CASH DIVIDENDS DECLARED PER SHARE OF COMMON STOCK</w:t>
      </w:r>
    </w:p>
    <w:p>
      <w:pPr>
        <w:pStyle w:val="TextBody"/>
        <w:bidi w:val="0"/>
        <w:spacing w:before="0" w:after="0"/>
        <w:ind w:left="0" w:right="0" w:hanging="0"/>
        <w:jc w:val="left"/>
        <w:rPr/>
      </w:pPr>
      <w:r>
        <w:rPr/>
        <w:t> </w:t>
      </w:r>
    </w:p>
    <w:tbl>
      <w:tblPr>
        <w:tblW w:w="3493" w:type="dxa"/>
        <w:jc w:val="left"/>
        <w:tblInd w:w="0" w:type="dxa"/>
        <w:tblLayout w:type="fixed"/>
        <w:tblCellMar>
          <w:top w:w="0" w:type="dxa"/>
          <w:left w:w="0" w:type="dxa"/>
          <w:bottom w:w="0" w:type="dxa"/>
          <w:right w:w="0" w:type="dxa"/>
        </w:tblCellMar>
      </w:tblPr>
      <w:tblGrid>
        <w:gridCol w:w="1265"/>
        <w:gridCol w:w="60"/>
        <w:gridCol w:w="245"/>
        <w:gridCol w:w="749"/>
        <w:gridCol w:w="60"/>
        <w:gridCol w:w="60"/>
        <w:gridCol w:w="245"/>
        <w:gridCol w:w="749"/>
        <w:gridCol w:w="60"/>
      </w:tblGrid>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Quarter</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 Quarter</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Quarter</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Common Stock is traded principally on the NYSE American (trading symbol FRD).</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approximate number of shareholders of record of Common Stock of the Company as of April 28, 2023 was 170. Because many of the Company’s common shares are held by brokers and other institutions on behalf of shareholders, the Company is unable to estimate the total number of individual shareholders represented by these record holders. </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 xml:space="preserve">CONSOLIDATED BALANCE SHEETS </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(In thousands, except for share data)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 xml:space="preserve">ASSETS </w:t>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2,598</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net of allowances for bad debts and cash discounts of $183 and $100 at March 31, 2023 and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49,367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35,671</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86,246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67,946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Current portion of derivative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4,241</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14,906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143,656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125,362</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Buildings and yard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28,550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8,582</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51,001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30,422</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15,925</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(28,455</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53,933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30,106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value of officers’ life insurance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1,270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income tax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2,133</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 recoverable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1,404</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199,312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159,275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LIABILITIES AND STOCKHOLDERS’ EQUITY</w:t>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36,847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44,804</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Contribution to retirement plan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Employee compensation and related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financing lease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Current portion of derivative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14,429</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45,088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60,811</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POSTRETIREMENT BENEFITS OTHER THAN PENSIONS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4,357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BASED LENDING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33,117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18,436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firstLine="36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83,880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79,588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(SEE NOTE 12)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Authorized shares — 10,000,000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Issued shares — 8,868,716 shares and 8,344,975 shares at March 31, 2023 and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8,345</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30,442</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(317</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2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Treasury stock at cost (1,493,128 shares and 1,488,966 shares at March 31, 2023 and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(7,778</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2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79,653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58,909</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115,432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79,687</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199,312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159,275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36"/>
        </w:rPr>
      </w:pPr>
      <w:r>
        <w:rPr>
          <w:rFonts w:ascii="Times New Roman;Times;serif" w:hAnsi="Times New Roman;Times;serif"/>
          <w:b/>
          <w:sz w:val="36"/>
        </w:rPr>
        <w:t>CONSOLIDATED STATEMENTS OF OPERATIONS</w:t>
      </w:r>
      <w:r>
        <w:rPr>
          <w:rFonts w:ascii="Times New Roman;Times;serif" w:hAnsi="Times New Roman;Times;serif"/>
          <w:sz w:val="36"/>
        </w:rPr>
        <w:t xml:space="preserve"> </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(In thousands, except per share data)</w:t>
      </w:r>
    </w:p>
    <w:p>
      <w:pPr>
        <w:pStyle w:val="TextBody"/>
        <w:bidi w:val="0"/>
        <w:spacing w:before="0" w:after="0"/>
        <w:ind w:left="0" w:right="0" w:hanging="0"/>
        <w:jc w:val="both"/>
        <w:rPr/>
      </w:pPr>
      <w:r>
        <w:rPr/>
        <w:t> </w:t>
      </w:r>
    </w:p>
    <w:tbl>
      <w:tblPr>
        <w:tblW w:w="5427" w:type="dxa"/>
        <w:jc w:val="left"/>
        <w:tblInd w:w="0" w:type="dxa"/>
        <w:tblLayout w:type="fixed"/>
        <w:tblCellMar>
          <w:top w:w="0" w:type="dxa"/>
          <w:left w:w="0" w:type="dxa"/>
          <w:bottom w:w="0" w:type="dxa"/>
          <w:right w:w="0" w:type="dxa"/>
        </w:tblCellMar>
      </w:tblPr>
      <w:tblGrid>
        <w:gridCol w:w="3395"/>
        <w:gridCol w:w="60"/>
        <w:gridCol w:w="133"/>
        <w:gridCol w:w="739"/>
        <w:gridCol w:w="85"/>
        <w:gridCol w:w="63"/>
        <w:gridCol w:w="133"/>
        <w:gridCol w:w="739"/>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547,542</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285,235</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Cost of products sold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504,457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244,248</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22,011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12,467</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526,468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256,715</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EARNINGS FROM OPERATIONS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21,074</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28,520</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economic hedges of risk</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9,306</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(2,218</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1,702</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28,189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18,331</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(benefit from) income taxes: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3,519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4,826</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3,326</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6,845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4,265</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21,344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14,066</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per share: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2.91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2.91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36"/>
        </w:rPr>
      </w:pPr>
      <w:r>
        <w:rPr>
          <w:rFonts w:ascii="Times New Roman;Times;serif" w:hAnsi="Times New Roman;Times;serif"/>
          <w:b/>
          <w:sz w:val="36"/>
        </w:rPr>
        <w:t>CONSOLIDATED STATEMENTS OF COMPREHENSIVE INCOME</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 thousands)</w:t>
      </w:r>
    </w:p>
    <w:tbl>
      <w:tblPr>
        <w:tblW w:w="4462" w:type="dxa"/>
        <w:jc w:val="left"/>
        <w:tblInd w:w="0" w:type="dxa"/>
        <w:tblLayout w:type="fixed"/>
        <w:tblCellMar>
          <w:top w:w="0" w:type="dxa"/>
          <w:left w:w="0" w:type="dxa"/>
          <w:bottom w:w="0" w:type="dxa"/>
          <w:right w:w="0" w:type="dxa"/>
        </w:tblCellMar>
      </w:tblPr>
      <w:tblGrid>
        <w:gridCol w:w="2450"/>
        <w:gridCol w:w="60"/>
        <w:gridCol w:w="152"/>
        <w:gridCol w:w="721"/>
        <w:gridCol w:w="73"/>
        <w:gridCol w:w="73"/>
        <w:gridCol w:w="152"/>
        <w:gridCol w:w="721"/>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8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21,344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14,066</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flow hedges, net of tax</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9,952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9,952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31,296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 xml:space="preserve">CONSOLIDATED STATEMENTS OF STOCKHOLDERS’ EQUITY </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(In thousands, except per share data)</w:t>
      </w:r>
    </w:p>
    <w:p>
      <w:pPr>
        <w:pStyle w:val="TextBody"/>
        <w:bidi w:val="0"/>
        <w:spacing w:before="0" w:after="0"/>
        <w:ind w:left="0" w:right="0" w:hanging="0"/>
        <w:jc w:val="left"/>
        <w:rPr/>
      </w:pPr>
      <w:r>
        <w:rPr/>
        <w:t> </w:t>
      </w:r>
    </w:p>
    <w:tbl>
      <w:tblPr>
        <w:tblW w:w="9980" w:type="dxa"/>
        <w:jc w:val="left"/>
        <w:tblInd w:w="0" w:type="dxa"/>
        <w:tblLayout w:type="fixed"/>
        <w:tblCellMar>
          <w:top w:w="0" w:type="dxa"/>
          <w:left w:w="0" w:type="dxa"/>
          <w:bottom w:w="0" w:type="dxa"/>
          <w:right w:w="0" w:type="dxa"/>
        </w:tblCellMar>
      </w:tblPr>
      <w:tblGrid>
        <w:gridCol w:w="3815"/>
        <w:gridCol w:w="60"/>
        <w:gridCol w:w="157"/>
        <w:gridCol w:w="613"/>
        <w:gridCol w:w="60"/>
        <w:gridCol w:w="60"/>
        <w:gridCol w:w="207"/>
        <w:gridCol w:w="1088"/>
        <w:gridCol w:w="80"/>
        <w:gridCol w:w="60"/>
        <w:gridCol w:w="160"/>
        <w:gridCol w:w="760"/>
        <w:gridCol w:w="80"/>
        <w:gridCol w:w="60"/>
        <w:gridCol w:w="140"/>
        <w:gridCol w:w="615"/>
        <w:gridCol w:w="80"/>
        <w:gridCol w:w="60"/>
        <w:gridCol w:w="136"/>
        <w:gridCol w:w="649"/>
        <w:gridCol w:w="80"/>
        <w:gridCol w:w="60"/>
        <w:gridCol w:w="125"/>
        <w:gridCol w:w="695"/>
        <w:gridCol w:w="80"/>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of Tax</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2021</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65,339</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14,066</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920</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Grants of restricted stock</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Paid in capital – restricted stock units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shares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dividends ($0.08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w:t>
            </w:r>
          </w:p>
        </w:tc>
        <w:tc>
          <w:tcPr>
            <w:tcW w:w="80" w:type="dxa"/>
            <w:tcBorders/>
            <w:shd w:fill="FFFFFF" w:val="clear"/>
            <w:vAlign w:val="center"/>
          </w:tcPr>
          <w:p>
            <w:pPr>
              <w:pStyle w:val="TableContents"/>
              <w:bidi w:val="0"/>
              <w:spacing w:before="0" w:after="283"/>
              <w:ind w:left="720" w:right="0" w:hanging="0"/>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79,686</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21,344</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9,952</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Grants of restricted stock</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Paid in capital – restricted stock units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issued - Plateplus business combination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4,784</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shares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dividends ($0.08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80" w:type="dxa"/>
            <w:tcBorders/>
            <w:shd w:fill="FFFFFF" w:val="clear"/>
            <w:vAlign w:val="center"/>
          </w:tcPr>
          <w:p>
            <w:pPr>
              <w:pStyle w:val="TableContents"/>
              <w:bidi w:val="0"/>
              <w:spacing w:before="0" w:after="283"/>
              <w:ind w:left="720" w:right="0" w:hanging="0"/>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1440" w:right="0" w:hanging="0"/>
              <w:jc w:val="left"/>
              <w:rPr>
                <w:rFonts w:ascii="Times New Roman" w:hAnsi="Times New Roman"/>
                <w:b/>
                <w:caps w:val="false"/>
                <w:smallCaps w:val="false"/>
                <w:sz w:val="20"/>
              </w:rPr>
            </w:pPr>
            <w:r>
              <w:rPr>
                <w:rFonts w:ascii="Times New Roman" w:hAnsi="Times New Roman"/>
                <w:b/>
                <w:caps w:val="false"/>
                <w:smallCaps w:val="false"/>
                <w:sz w:val="20"/>
              </w:rPr>
              <w:t>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(317</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(7,778</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79,653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115,432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CONSOLIDATED STATEMENTS OF CASH FLOWS</w:t>
      </w:r>
    </w:p>
    <w:p>
      <w:pPr>
        <w:pStyle w:val="TextBody"/>
        <w:bidi w:val="0"/>
        <w:spacing w:before="0" w:after="0"/>
        <w:ind w:left="0" w:right="0" w:hanging="0"/>
        <w:jc w:val="both"/>
        <w:rPr/>
      </w:pPr>
      <w:r>
        <w:rPr/>
        <w:t> </w:t>
      </w:r>
      <w:r>
        <w:rPr>
          <w:rFonts w:ascii="Times New Roman;Times;serif" w:hAnsi="Times New Roman;Times;serif"/>
          <w:b/>
          <w:sz w:val="22"/>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301"/>
        <w:gridCol w:w="60"/>
        <w:gridCol w:w="135"/>
        <w:gridCol w:w="706"/>
        <w:gridCol w:w="135"/>
        <w:gridCol w:w="64"/>
        <w:gridCol w:w="135"/>
        <w:gridCol w:w="706"/>
        <w:gridCol w:w="963"/>
      </w:tblGrid>
      <w:tr>
        <w:trPr/>
        <w:tc>
          <w:tcPr>
            <w:tcW w:w="7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21,344</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14,066</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earnings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2,526</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taxes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3,326</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w:t>
            </w:r>
          </w:p>
        </w:tc>
        <w:tc>
          <w:tcPr>
            <w:tcW w:w="9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 for restricted stock</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303</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Change in post-retirement benefits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Loss recognized on open derivatives not designated for hedge accounting</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459</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1,217</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Deferred realized gain on derivatives designated for hedge accounting</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4,773</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1,343</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Forgiveness of Paycheck Protection Program Loan</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(1,707</w:t>
            </w:r>
          </w:p>
        </w:tc>
        <w:tc>
          <w:tcPr>
            <w:tcW w:w="9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 net of amounts acquired in business combination: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(13,696</w:t>
            </w:r>
          </w:p>
        </w:tc>
        <w:tc>
          <w:tcPr>
            <w:tcW w:w="13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(15,293</w:t>
            </w:r>
          </w:p>
        </w:tc>
        <w:tc>
          <w:tcPr>
            <w:tcW w:w="9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59,247</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(31,930</w:t>
            </w:r>
          </w:p>
        </w:tc>
        <w:tc>
          <w:tcPr>
            <w:tcW w:w="9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taxes recoverable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1,404</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(1,404</w:t>
            </w:r>
          </w:p>
        </w:tc>
        <w:tc>
          <w:tcPr>
            <w:tcW w:w="9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(1,363</w:t>
            </w:r>
          </w:p>
        </w:tc>
        <w:tc>
          <w:tcPr>
            <w:tcW w:w="13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9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(18,875</w:t>
            </w:r>
          </w:p>
        </w:tc>
        <w:tc>
          <w:tcPr>
            <w:tcW w:w="1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22,028</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774</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w:t>
            </w:r>
          </w:p>
        </w:tc>
        <w:tc>
          <w:tcPr>
            <w:tcW w:w="9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Employee compensation and related expenses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3,564</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w:t>
            </w:r>
          </w:p>
        </w:tc>
        <w:tc>
          <w:tcPr>
            <w:tcW w:w="9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Contribution to retirement plan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100</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963" w:type="dxa"/>
            <w:tcBorders/>
            <w:shd w:fill="CCEEFF" w:val="clear"/>
            <w:vAlign w:val="center"/>
          </w:tcPr>
          <w:p>
            <w:pPr>
              <w:pStyle w:val="TableContents"/>
              <w:bidi w:val="0"/>
              <w:spacing w:before="0" w:after="283"/>
              <w:ind w:left="0" w:right="0" w:firstLine="900"/>
              <w:jc w:val="left"/>
              <w:rPr/>
            </w:pPr>
            <w:r>
              <w:rPr/>
              <w:t> </w:t>
            </w:r>
          </w:p>
        </w:tc>
      </w:tr>
      <w:tr>
        <w:trPr/>
        <w:tc>
          <w:tcPr>
            <w:tcW w:w="73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63,894</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(13,397</w:t>
            </w:r>
          </w:p>
        </w:tc>
        <w:tc>
          <w:tcPr>
            <w:tcW w:w="9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Plateplus business combination</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(71,720</w:t>
            </w:r>
          </w:p>
        </w:tc>
        <w:tc>
          <w:tcPr>
            <w:tcW w:w="1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(16,454</w:t>
            </w:r>
          </w:p>
        </w:tc>
        <w:tc>
          <w:tcPr>
            <w:tcW w:w="13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(8,065</w:t>
            </w:r>
          </w:p>
        </w:tc>
        <w:tc>
          <w:tcPr>
            <w:tcW w:w="9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sale of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Increase in cash value of officers’ life insurance</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w:t>
            </w:r>
          </w:p>
        </w:tc>
        <w:tc>
          <w:tcPr>
            <w:tcW w:w="13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963" w:type="dxa"/>
            <w:tcBorders/>
            <w:shd w:fill="CCEEFF" w:val="clear"/>
            <w:vAlign w:val="center"/>
          </w:tcPr>
          <w:p>
            <w:pPr>
              <w:pStyle w:val="TableContents"/>
              <w:bidi w:val="0"/>
              <w:spacing w:before="0" w:after="283"/>
              <w:ind w:left="0" w:right="0" w:firstLine="540"/>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(88,187</w:t>
            </w:r>
          </w:p>
        </w:tc>
        <w:tc>
          <w:tcPr>
            <w:tcW w:w="13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(7,918</w:t>
            </w:r>
          </w:p>
        </w:tc>
        <w:tc>
          <w:tcPr>
            <w:tcW w:w="9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Debt issuance cost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(393</w:t>
            </w:r>
          </w:p>
        </w:tc>
        <w:tc>
          <w:tcPr>
            <w:tcW w:w="1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pPr>
            <w:r>
              <w:rPr/>
              <w:t>—</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dividends paid</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(589</w:t>
            </w:r>
          </w:p>
        </w:tc>
        <w:tc>
          <w:tcPr>
            <w:tcW w:w="13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9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principal portion of finance lease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(105</w:t>
            </w:r>
          </w:p>
        </w:tc>
        <w:tc>
          <w:tcPr>
            <w:tcW w:w="13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9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share repurchases</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w:t>
            </w:r>
          </w:p>
        </w:tc>
        <w:tc>
          <w:tcPr>
            <w:tcW w:w="13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4"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(538</w:t>
            </w:r>
          </w:p>
        </w:tc>
        <w:tc>
          <w:tcPr>
            <w:tcW w:w="9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01" w:type="dxa"/>
            <w:tcBorders/>
            <w:shd w:fill="FFFFFF" w:val="clear"/>
            <w:vAlign w:val="center"/>
          </w:tcPr>
          <w:p>
            <w:pPr>
              <w:pStyle w:val="TableContents"/>
              <w:bidi w:val="0"/>
              <w:spacing w:before="0" w:after="0"/>
              <w:ind w:left="720" w:right="0" w:hanging="360"/>
              <w:jc w:val="left"/>
              <w:rPr>
                <w:rFonts w:ascii="Times New Roman" w:hAnsi="Times New Roman"/>
                <w:caps w:val="false"/>
                <w:smallCaps w:val="false"/>
                <w:sz w:val="20"/>
              </w:rPr>
            </w:pPr>
            <w:r>
              <w:rPr>
                <w:rFonts w:ascii="Times New Roman" w:hAnsi="Times New Roman"/>
                <w:caps w:val="false"/>
                <w:smallCaps w:val="false"/>
                <w:sz w:val="20"/>
              </w:rPr>
              <w:t>Asset based lending facility proceeds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14,681</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18,437</w:t>
            </w:r>
          </w:p>
        </w:tc>
        <w:tc>
          <w:tcPr>
            <w:tcW w:w="96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13,557</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17,245</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 IN CASH AND RESTRICTED CASH</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(10,736</w:t>
            </w:r>
          </w:p>
        </w:tc>
        <w:tc>
          <w:tcPr>
            <w:tcW w:w="13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(4,070</w:t>
            </w:r>
          </w:p>
        </w:tc>
        <w:tc>
          <w:tcPr>
            <w:tcW w:w="9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16,122</w:t>
            </w:r>
          </w:p>
        </w:tc>
        <w:tc>
          <w:tcPr>
            <w:tcW w:w="1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20,192</w:t>
            </w:r>
          </w:p>
        </w:tc>
        <w:tc>
          <w:tcPr>
            <w:tcW w:w="96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RESTRICTED CASH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5,386</w:t>
            </w:r>
          </w:p>
        </w:tc>
        <w:tc>
          <w:tcPr>
            <w:tcW w:w="1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16,122</w:t>
            </w:r>
          </w:p>
        </w:tc>
        <w:tc>
          <w:tcPr>
            <w:tcW w:w="9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Cash and restricted cash at March 31, 2023 and 2022 included approximately $2.4 million and $13.5 million, respectively, of cash required to collateralize open derivative positions. These amounts are reported in "Other current assets" on the Company's consolidated balance sheets at March 31, 2023 and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36"/>
        </w:rPr>
      </w:pPr>
      <w:r>
        <w:rPr>
          <w:rFonts w:ascii="Times New Roman;Times;serif" w:hAnsi="Times New Roman;Times;serif"/>
          <w:b/>
          <w:sz w:val="36"/>
        </w:rPr>
        <w:t>NOTES TO CONSOLIDATED</w:t>
      </w:r>
      <w:r>
        <w:rPr>
          <w:rFonts w:ascii="Times New Roman;Times;serif" w:hAnsi="Times New Roman;Times;serif"/>
          <w:sz w:val="36"/>
        </w:rPr>
        <w:t xml:space="preserve"> </w:t>
      </w:r>
      <w:r>
        <w:rPr>
          <w:rFonts w:ascii="Times New Roman;Times;serif" w:hAnsi="Times New Roman;Times;serif"/>
          <w:b/>
          <w:sz w:val="36"/>
        </w:rPr>
        <w:t>FINANCIAL STATEMENTS</w:t>
      </w:r>
      <w:r>
        <w:rPr>
          <w:rFonts w:ascii="Times New Roman;Times;serif" w:hAnsi="Times New Roman;Times;serif"/>
          <w:sz w:val="36"/>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w:t>
      </w:r>
      <w:r>
        <w:rPr>
          <w:rFonts w:ascii="Times New Roman;Times;serif" w:hAnsi="Times New Roman;Times;serif"/>
          <w:b/>
          <w:sz w:val="20"/>
        </w:rPr>
        <w:t xml:space="preserve">   SUMMARY OF SIGNIFICANT ACCOUNTING POLICIES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sz w:val="20"/>
        </w:rPr>
        <w:t>BASIS OF CONSOLIDATION:</w:t>
      </w:r>
      <w:r>
        <w:rPr>
          <w:rFonts w:ascii="Times New Roman;Times;serif" w:hAnsi="Times New Roman;Times;serif"/>
          <w:sz w:val="20"/>
        </w:rPr>
        <w:t>    The consolidated financial statements include the accounts of Friedman Industries, Incorporated and its subsidiary (collectively, the “Company”). All material intercompany amounts and transactions have been eliminated.</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b/>
          <w:sz w:val="20"/>
        </w:rPr>
        <w:t>RECLASSIFICATIONS:</w:t>
      </w:r>
      <w:r>
        <w:rPr>
          <w:rFonts w:ascii="Times New Roman;Times;serif" w:hAnsi="Times New Roman;Times;serif"/>
          <w:sz w:val="20"/>
        </w:rPr>
        <w:t xml:space="preserve">   The consolidated financial statements for the previous fiscal year </w:t>
      </w:r>
      <w:r>
        <w:rPr>
          <w:rStyle w:val="Emphasis"/>
          <w:rFonts w:ascii="Times New Roman;Times;serif" w:hAnsi="Times New Roman;Times;serif"/>
          <w:sz w:val="20"/>
        </w:rPr>
        <w:t xml:space="preserve">may </w:t>
      </w:r>
      <w:r>
        <w:rPr>
          <w:rFonts w:ascii="Times New Roman;Times;serif" w:hAnsi="Times New Roman;Times;serif"/>
          <w:sz w:val="20"/>
        </w:rPr>
        <w:t>include certain reclassifications to conform to the current presentation. To conform with the current year presentation, “</w:t>
      </w:r>
      <w:r>
        <w:rPr>
          <w:rFonts w:ascii="Times New Roman;Times;serif" w:hAnsi="Times New Roman;Times;serif"/>
          <w:i/>
          <w:sz w:val="20"/>
        </w:rPr>
        <w:t>Interest expense</w:t>
      </w:r>
      <w:r>
        <w:rPr>
          <w:rFonts w:ascii="Times New Roman;Times;serif" w:hAnsi="Times New Roman;Times;serif"/>
          <w:sz w:val="20"/>
        </w:rPr>
        <w:t>” on the consolidated statements of operations was moved below the calculation of "</w:t>
      </w:r>
      <w:r>
        <w:rPr>
          <w:rFonts w:ascii="Times New Roman;Times;serif" w:hAnsi="Times New Roman;Times;serif"/>
          <w:i/>
          <w:sz w:val="20"/>
        </w:rPr>
        <w:t>Earnings From Operations</w:t>
      </w:r>
      <w:r>
        <w:rPr>
          <w:rFonts w:ascii="Times New Roman;Times;serif" w:hAnsi="Times New Roman;Times;serif"/>
          <w:sz w:val="20"/>
        </w:rPr>
        <w:t>". To conform with the current year presentation, a loss of approximately $11.6 million reported in the prior year as a component of "</w:t>
      </w:r>
      <w:r>
        <w:rPr>
          <w:rFonts w:ascii="Times New Roman;Times;serif" w:hAnsi="Times New Roman;Times;serif"/>
          <w:i/>
          <w:sz w:val="20"/>
        </w:rPr>
        <w:t>Other income (loss)</w:t>
      </w:r>
      <w:r>
        <w:rPr>
          <w:rFonts w:ascii="Times New Roman;Times;serif" w:hAnsi="Times New Roman;Times;serif"/>
          <w:sz w:val="20"/>
        </w:rPr>
        <w:t>" on the consolidated statement of operations was moved to the line item "</w:t>
      </w:r>
      <w:r>
        <w:rPr>
          <w:rFonts w:ascii="Times New Roman;Times;serif" w:hAnsi="Times New Roman;Times;serif"/>
          <w:i/>
          <w:sz w:val="20"/>
        </w:rPr>
        <w:t>Gain (loss) on economic hedges of risk</w:t>
      </w:r>
      <w:r>
        <w:rPr>
          <w:rFonts w:ascii="Times New Roman;Times;serif" w:hAnsi="Times New Roman;Times;serif"/>
          <w:sz w:val="20"/>
        </w:rPr>
        <w:t xml:space="preserve">". These reclassifications had </w:t>
      </w:r>
      <w:r>
        <w:rPr>
          <w:rStyle w:val="Emphasis"/>
          <w:rFonts w:ascii="Times New Roman;Times;serif" w:hAnsi="Times New Roman;Times;serif"/>
          <w:sz w:val="20"/>
        </w:rPr>
        <w:t>no</w:t>
      </w:r>
      <w:r>
        <w:rPr>
          <w:rFonts w:ascii="Times New Roman;Times;serif" w:hAnsi="Times New Roman;Times;serif"/>
          <w:sz w:val="20"/>
        </w:rPr>
        <w:t xml:space="preserve"> impact on previously reported net earnings or stockholder's equity.</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b/>
          <w:sz w:val="20"/>
        </w:rPr>
        <w:t>BUSINESS COMBINATIONS:</w:t>
      </w:r>
      <w:r>
        <w:rPr>
          <w:rFonts w:ascii="Times New Roman;Times;serif" w:hAnsi="Times New Roman;Times;serif"/>
          <w:sz w:val="20"/>
        </w:rPr>
        <w:t xml:space="preserve">    The results of a business acquired in a business combination are included in the Company’s financial statements from the 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 Please refer to Note </w:t>
      </w:r>
      <w:r>
        <w:rPr>
          <w:rStyle w:val="Emphasis"/>
          <w:rFonts w:ascii="Times New Roman;Times;serif" w:hAnsi="Times New Roman;Times;serif"/>
          <w:sz w:val="20"/>
        </w:rPr>
        <w:t>2</w:t>
      </w:r>
      <w:r>
        <w:rPr>
          <w:rFonts w:ascii="Times New Roman;Times;serif" w:hAnsi="Times New Roman;Times;serif"/>
          <w:sz w:val="20"/>
        </w:rPr>
        <w:t xml:space="preserve"> for additional discussion of the acquisition completed by the Company during the fiscal year ended </w:t>
      </w:r>
      <w:r>
        <w:rPr>
          <w:rStyle w:val="Emphasis"/>
          <w:rFonts w:ascii="Times New Roman;Times;serif" w:hAnsi="Times New Roman;Times;serif"/>
          <w:sz w:val="20"/>
        </w:rPr>
        <w:t>March 31, 2023.</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b/>
          <w:sz w:val="20"/>
        </w:rPr>
        <w:t>REVENUE RECOGNITION:   </w:t>
      </w:r>
      <w:r>
        <w:rPr>
          <w:rFonts w:ascii="Times New Roman;Times;serif" w:hAnsi="Times New Roman;Times;serif"/>
          <w:sz w:val="20"/>
        </w:rPr>
        <w:t xml:space="preserve"> Revenue is generated primarily from contracts to manufacture or process steel products and is recognized when performance obligations are complete. Generally, the Company’s performance obligations are satisfied, control of our products is transferred, and revenue is recognized at a single point in time, when title transfers to our customer for product shipped or when services are provided. Revenue is recorded in an amount that reflects the consideration expected to be received in exchange for those goods or services. SeeNote </w:t>
      </w:r>
      <w:r>
        <w:rPr>
          <w:rStyle w:val="Emphasis"/>
          <w:rFonts w:ascii="Times New Roman;Times;serif" w:hAnsi="Times New Roman;Times;serif"/>
          <w:sz w:val="20"/>
        </w:rPr>
        <w:t>14</w:t>
      </w:r>
      <w:r>
        <w:rPr>
          <w:rFonts w:ascii="Times New Roman;Times;serif" w:hAnsi="Times New Roman;Times;serif"/>
          <w:sz w:val="20"/>
          <w:shd w:fill="FFFFFF" w:val="clear"/>
        </w:rPr>
        <w:t> </w:t>
      </w:r>
      <w:r>
        <w:rPr>
          <w:rFonts w:ascii="Times New Roman;Times;serif" w:hAnsi="Times New Roman;Times;serif"/>
          <w:sz w:val="20"/>
        </w:rPr>
        <w:t>for further information.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b/>
          <w:sz w:val="20"/>
        </w:rPr>
        <w:t>TRADE RECEIVABLES:</w:t>
      </w:r>
      <w:r>
        <w:rPr>
          <w:rFonts w:ascii="Times New Roman;Times;serif" w:hAnsi="Times New Roman;Times;serif"/>
          <w:sz w:val="20"/>
        </w:rPr>
        <w:t xml:space="preserve">    The Company’s receivables are recorded when billed, advanced or accrued and represent claims against </w:t>
      </w:r>
      <w:r>
        <w:rPr>
          <w:rStyle w:val="Emphasis"/>
          <w:rFonts w:ascii="Times New Roman;Times;serif" w:hAnsi="Times New Roman;Times;serif"/>
          <w:sz w:val="20"/>
        </w:rPr>
        <w:t>third</w:t>
      </w:r>
      <w:r>
        <w:rPr>
          <w:rFonts w:ascii="Times New Roman;Times;serif" w:hAnsi="Times New Roman;Times;serif"/>
          <w:sz w:val="20"/>
        </w:rPr>
        <w:t xml:space="preserve"> parties that will be settled in cash. The carrying value of the Company’s receivables, net of the allowance for doubtful accounts and cash discounts allowed, represents their estimated net realizable value. The Company estimates its allowance for doubtful accounts based on historical collection trends, the age of outstanding receivables and existing economic conditions. Trade receivables are generally considered past due after </w:t>
      </w:r>
      <w:r>
        <w:rPr>
          <w:rStyle w:val="Emphasis"/>
          <w:rFonts w:ascii="Times New Roman;Times;serif" w:hAnsi="Times New Roman;Times;serif"/>
          <w:sz w:val="20"/>
        </w:rPr>
        <w:t>30</w:t>
      </w:r>
      <w:r>
        <w:rPr>
          <w:rFonts w:ascii="Times New Roman;Times;serif" w:hAnsi="Times New Roman;Times;serif"/>
          <w:sz w:val="20"/>
        </w:rPr>
        <w:t xml:space="preserve"> days from invoice date. Past-due receivable balances are written-off when the Company’s internal collection efforts have been unsuccessful in collecting the amount due. The balance of the Company’s allowance for doubtful accounts was approximately $0.2 million and $0.1 million at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b/>
          <w:sz w:val="20"/>
        </w:rPr>
        <w:t>INVENTORIES:</w:t>
      </w:r>
      <w:r>
        <w:rPr>
          <w:rFonts w:ascii="Times New Roman;Times;serif" w:hAnsi="Times New Roman;Times;serif"/>
          <w:sz w:val="20"/>
        </w:rPr>
        <w:t xml:space="preserve">    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 The Company did </w:t>
      </w:r>
      <w:r>
        <w:rPr>
          <w:rStyle w:val="Emphasis"/>
          <w:rFonts w:ascii="Times New Roman;Times;serif" w:hAnsi="Times New Roman;Times;serif"/>
          <w:sz w:val="20"/>
        </w:rPr>
        <w:t>not</w:t>
      </w:r>
      <w:r>
        <w:rPr>
          <w:rFonts w:ascii="Times New Roman;Times;serif" w:hAnsi="Times New Roman;Times;serif"/>
          <w:sz w:val="20"/>
        </w:rPr>
        <w:t xml:space="preserve"> have any lower of cost or net realizable value adjustments during fiscal </w:t>
      </w:r>
      <w:r>
        <w:rPr>
          <w:rStyle w:val="Emphasis"/>
          <w:rFonts w:ascii="Times New Roman;Times;serif" w:hAnsi="Times New Roman;Times;serif"/>
          <w:sz w:val="20"/>
        </w:rPr>
        <w:t>2023</w:t>
      </w:r>
      <w:r>
        <w:rPr>
          <w:rFonts w:ascii="Times New Roman;Times;serif" w:hAnsi="Times New Roman;Times;serif"/>
          <w:sz w:val="20"/>
        </w:rPr>
        <w:t> or fiscal </w:t>
      </w:r>
      <w:r>
        <w:rPr>
          <w:rStyle w:val="Emphasis"/>
          <w:rFonts w:ascii="Times New Roman;Times;serif" w:hAnsi="Times New Roman;Times;serif"/>
          <w:sz w:val="20"/>
        </w:rPr>
        <w:t>2022</w:t>
      </w:r>
      <w:r>
        <w:rPr>
          <w:rFonts w:ascii="Times New Roman;Times;serif" w:hAnsi="Times New Roman;Times;serif"/>
          <w:sz w:val="20"/>
        </w:rPr>
        <w:t xml:space="preserve">. Obsolete or slow-moving inventories are </w:t>
      </w:r>
      <w:r>
        <w:rPr>
          <w:rStyle w:val="Emphasis"/>
          <w:rFonts w:ascii="Times New Roman;Times;serif" w:hAnsi="Times New Roman;Times;serif"/>
          <w:sz w:val="20"/>
        </w:rPr>
        <w:t>not</w:t>
      </w:r>
      <w:r>
        <w:rPr>
          <w:rFonts w:ascii="Times New Roman;Times;serif" w:hAnsi="Times New Roman;Times;serif"/>
          <w:sz w:val="20"/>
        </w:rPr>
        <w:t xml:space="preserve"> significant based on the Company’s review of inventories. Accordingly, </w:t>
      </w:r>
      <w:r>
        <w:rPr>
          <w:rStyle w:val="Emphasis"/>
          <w:rFonts w:ascii="Times New Roman;Times;serif" w:hAnsi="Times New Roman;Times;serif"/>
          <w:sz w:val="20"/>
        </w:rPr>
        <w:t>no</w:t>
      </w:r>
      <w:r>
        <w:rPr>
          <w:rFonts w:ascii="Times New Roman;Times;serif" w:hAnsi="Times New Roman;Times;serif"/>
          <w:sz w:val="20"/>
        </w:rPr>
        <w:t xml:space="preserve"> allowance has been provided for such items.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is a summary of inventory by product group (in thousands):</w:t>
      </w:r>
    </w:p>
    <w:p>
      <w:pPr>
        <w:pStyle w:val="TextBody"/>
        <w:bidi w:val="0"/>
        <w:spacing w:before="0" w:after="0"/>
        <w:ind w:left="0" w:right="0" w:hanging="0"/>
        <w:jc w:val="left"/>
        <w:rPr/>
      </w:pPr>
      <w:r>
        <w:rPr/>
        <w:t> </w:t>
      </w:r>
    </w:p>
    <w:tbl>
      <w:tblPr>
        <w:tblW w:w="3985" w:type="dxa"/>
        <w:jc w:val="left"/>
        <w:tblInd w:w="0" w:type="dxa"/>
        <w:tblLayout w:type="fixed"/>
        <w:tblCellMar>
          <w:top w:w="0" w:type="dxa"/>
          <w:left w:w="0" w:type="dxa"/>
          <w:bottom w:w="0" w:type="dxa"/>
          <w:right w:w="0" w:type="dxa"/>
        </w:tblCellMar>
      </w:tblPr>
      <w:tblGrid>
        <w:gridCol w:w="2315"/>
        <w:gridCol w:w="60"/>
        <w:gridCol w:w="125"/>
        <w:gridCol w:w="590"/>
        <w:gridCol w:w="60"/>
        <w:gridCol w:w="60"/>
        <w:gridCol w:w="125"/>
        <w:gridCol w:w="590"/>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Prime coil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75,917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50,482</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Non-standard coil 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Tubular raw material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Tubular finished goods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86,246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Tubular raw material inventory consists of hot-rolled steel coils that the Company will manufacture into pipe. Tubular finished goods inventory consists of pipe the Company has manufactured.</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b/>
          <w:sz w:val="20"/>
        </w:rPr>
        <w:t>DERIVATIVE INSTRUMENTS:</w:t>
      </w:r>
      <w:r>
        <w:rPr>
          <w:rFonts w:ascii="Times New Roman;Times;serif" w:hAnsi="Times New Roman;Times;serif"/>
          <w:sz w:val="20"/>
        </w:rPr>
        <w:t xml:space="preserve">    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use futures contracts to partially manage exposure to price risk. The Company elects hedge accounting for some of its derivatives. For derivatives designated for hedge accounting and classified as cash flow hedges, changes in fair value are recognized as a component of other comprehensive income and reclassified into earnings during the period in which the hedged transaction affects earnings. For derivatives designated for hedge accounting and classified as fair value hedges, </w:t>
      </w:r>
      <w:r>
        <w:rPr>
          <w:rFonts w:ascii="Times New Roman;Times;serif" w:hAnsi="Times New Roman;Times;serif"/>
          <w:sz w:val="20"/>
          <w:shd w:fill="FFFFFF" w:val="clear"/>
        </w:rPr>
        <w:t>changes in fair value are recognized in the same balance sheet line as the hedged item</w:t>
      </w:r>
      <w:r>
        <w:rPr>
          <w:rFonts w:ascii="Times New Roman;Times;serif" w:hAnsi="Times New Roman;Times;serif"/>
          <w:sz w:val="20"/>
        </w:rPr>
        <w:t xml:space="preserve"> </w:t>
      </w:r>
      <w:r>
        <w:rPr>
          <w:rFonts w:ascii="Times New Roman;Times;serif" w:hAnsi="Times New Roman;Times;serif"/>
          <w:sz w:val="20"/>
          <w:shd w:fill="FFFFFF" w:val="clear"/>
        </w:rPr>
        <w:t>until the hedged item affects earnings</w:t>
      </w:r>
      <w:r>
        <w:rPr>
          <w:rFonts w:ascii="Times New Roman;Times;serif" w:hAnsi="Times New Roman;Times;serif"/>
          <w:sz w:val="20"/>
        </w:rPr>
        <w:t xml:space="preserve">. For derivatives where hedge accounting is </w:t>
      </w:r>
      <w:r>
        <w:rPr>
          <w:rStyle w:val="Emphasis"/>
          <w:rFonts w:ascii="Times New Roman;Times;serif" w:hAnsi="Times New Roman;Times;serif"/>
          <w:sz w:val="20"/>
        </w:rPr>
        <w:t>not</w:t>
      </w:r>
      <w:r>
        <w:rPr>
          <w:rFonts w:ascii="Times New Roman;Times;serif" w:hAnsi="Times New Roman;Times;serif"/>
          <w:sz w:val="20"/>
        </w:rPr>
        <w:t xml:space="preserve"> elected, changes in fair value are immediately recognized in earnings. The Company has forward physical purchase supply agreements in place for a portion of its monthly physical steel needs. These supply agreements are </w:t>
      </w:r>
      <w:r>
        <w:rPr>
          <w:rStyle w:val="Emphasis"/>
          <w:rFonts w:ascii="Times New Roman;Times;serif" w:hAnsi="Times New Roman;Times;serif"/>
          <w:sz w:val="20"/>
        </w:rPr>
        <w:t>not</w:t>
      </w:r>
      <w:r>
        <w:rPr>
          <w:rFonts w:ascii="Times New Roman;Times;serif" w:hAnsi="Times New Roman;Times;serif"/>
          <w:sz w:val="20"/>
        </w:rPr>
        <w:t xml:space="preserve"> subject to mark-to-market accounting due to the Company electing the normal purchase normal sales exclusion provided in Accounting Standards Codification </w:t>
      </w:r>
      <w:r>
        <w:rPr>
          <w:rStyle w:val="Emphasis"/>
          <w:rFonts w:ascii="Times New Roman;Times;serif" w:hAnsi="Times New Roman;Times;serif"/>
          <w:sz w:val="20"/>
        </w:rPr>
        <w:t>815</w:t>
      </w:r>
      <w:r>
        <w:rPr>
          <w:rFonts w:ascii="Times New Roman;Times;serif" w:hAnsi="Times New Roman;Times;serif"/>
          <w:sz w:val="20"/>
        </w:rPr>
        <w:t xml:space="preserve"> - Derivatives and Hedging. SeeNote </w:t>
      </w:r>
      <w:r>
        <w:rPr>
          <w:rStyle w:val="Emphasis"/>
          <w:rFonts w:ascii="Times New Roman;Times;serif" w:hAnsi="Times New Roman;Times;serif"/>
          <w:sz w:val="20"/>
        </w:rPr>
        <w:t>7</w:t>
      </w:r>
      <w:r>
        <w:rPr>
          <w:rFonts w:ascii="Times New Roman;Times;serif" w:hAnsi="Times New Roman;Times;serif"/>
          <w:sz w:val="20"/>
          <w:shd w:fill="FFFFFF" w:val="clear"/>
        </w:rPr>
        <w:t xml:space="preserve"> f</w:t>
      </w:r>
      <w:r>
        <w:rPr>
          <w:rFonts w:ascii="Times New Roman;Times;serif" w:hAnsi="Times New Roman;Times;serif"/>
          <w:sz w:val="20"/>
        </w:rPr>
        <w:t>or further information about the Company's derivative instruments.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sz w:val="20"/>
          <w:shd w:fill="FFFFFF" w:val="clear"/>
        </w:rPr>
        <w:t>PROPERTY, PLANT AND EQUIPMENT:</w:t>
      </w:r>
      <w:r>
        <w:rPr>
          <w:rFonts w:ascii="Times New Roman;Times;serif" w:hAnsi="Times New Roman;Times;serif"/>
          <w:sz w:val="20"/>
        </w:rPr>
        <w:t>    Property, plant and equipment is stated at cost except for assets acquired through business combination which are stated at their acquisition date fair value. Depreciation is calculated primarily by the straight-line method over the estimated useful lives of the various classes of assets as follows:</w:t>
      </w:r>
    </w:p>
    <w:p>
      <w:pPr>
        <w:pStyle w:val="TextBody"/>
        <w:bidi w:val="0"/>
        <w:spacing w:before="0" w:after="0"/>
        <w:ind w:left="0" w:right="0" w:hanging="0"/>
        <w:jc w:val="left"/>
        <w:rPr/>
      </w:pPr>
      <w:r>
        <w:rPr/>
        <w:t> </w:t>
      </w:r>
    </w:p>
    <w:tbl>
      <w:tblPr>
        <w:tblW w:w="4225" w:type="dxa"/>
        <w:jc w:val="left"/>
        <w:tblInd w:w="0" w:type="dxa"/>
        <w:tblLayout w:type="fixed"/>
        <w:tblCellMar>
          <w:top w:w="0" w:type="dxa"/>
          <w:left w:w="0" w:type="dxa"/>
          <w:bottom w:w="0" w:type="dxa"/>
          <w:right w:w="0" w:type="dxa"/>
        </w:tblCellMar>
      </w:tblPr>
      <w:tblGrid>
        <w:gridCol w:w="3350"/>
        <w:gridCol w:w="60"/>
        <w:gridCol w:w="60"/>
        <w:gridCol w:w="695"/>
        <w:gridCol w:w="60"/>
      </w:tblGrid>
      <w:tr>
        <w:trPr/>
        <w:tc>
          <w:tcPr>
            <w:tcW w:w="33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rStyle w:val="Emphasis"/>
                <w:rFonts w:ascii="Times New Roman" w:hAnsi="Times New Roman"/>
                <w:sz w:val="20"/>
              </w:rPr>
              <w:t>20</w:t>
            </w:r>
            <w:r>
              <w:rPr>
                <w:rFonts w:ascii="Times New Roman" w:hAnsi="Times New Roman"/>
                <w:sz w:val="20"/>
              </w:rPr>
              <w:t xml:space="preserve"> to </w:t>
            </w:r>
            <w:r>
              <w:rPr>
                <w:rStyle w:val="Emphasis"/>
                <w:rFonts w:ascii="Times New Roman" w:hAnsi="Times New Roman"/>
                <w:sz w:val="20"/>
              </w:rPr>
              <w:t>40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10 to 35</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Yard improvements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 to 15</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Loaders and other rolling stock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 to 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reviews its long-lived assets for impairment whenever events or changes in circumstances indicate that their carrying amount </w:t>
      </w:r>
      <w:r>
        <w:rPr>
          <w:rStyle w:val="Emphasis"/>
          <w:rFonts w:ascii="Times New Roman;Times;serif" w:hAnsi="Times New Roman;Times;serif"/>
          <w:sz w:val="20"/>
        </w:rPr>
        <w:t>may not</w:t>
      </w:r>
      <w:r>
        <w:rPr>
          <w:rFonts w:ascii="Times New Roman;Times;serif" w:hAnsi="Times New Roman;Times;serif"/>
          <w:sz w:val="20"/>
        </w:rPr>
        <w:t xml:space="preserve"> be recoverable. The Company assesses recoverability by comparing the carrying amount of the asset or asset group to estimated undiscounted future cash flows expected to be generated by the asset or asset group. If an asset or asset group is considered impaired, the impairment loss to be recognized is measured as the amount by which the asset’s or asset group's carrying amount exceeds its estimated fair value. The Company did </w:t>
      </w:r>
      <w:r>
        <w:rPr>
          <w:rStyle w:val="Emphasis"/>
          <w:rFonts w:ascii="Times New Roman;Times;serif" w:hAnsi="Times New Roman;Times;serif"/>
          <w:sz w:val="20"/>
        </w:rPr>
        <w:t>not</w:t>
      </w:r>
      <w:r>
        <w:rPr>
          <w:rFonts w:ascii="Times New Roman;Times;serif" w:hAnsi="Times New Roman;Times;serif"/>
          <w:sz w:val="20"/>
        </w:rPr>
        <w:t xml:space="preserve"> identify any indicators of impairment during fiscal </w:t>
      </w:r>
      <w:r>
        <w:rPr>
          <w:rStyle w:val="Emphasis"/>
          <w:rFonts w:ascii="Times New Roman;Times;serif" w:hAnsi="Times New Roman;Times;serif"/>
          <w:sz w:val="20"/>
        </w:rPr>
        <w:t>2023</w:t>
      </w:r>
      <w:r>
        <w:rPr>
          <w:rFonts w:ascii="Times New Roman;Times;serif" w:hAnsi="Times New Roman;Times;serif"/>
          <w:sz w:val="20"/>
        </w:rPr>
        <w:t xml:space="preserve"> or fiscal </w:t>
      </w:r>
      <w:r>
        <w:rPr>
          <w:rStyle w:val="Emphasis"/>
          <w:rFonts w:ascii="Times New Roman;Times;serif" w:hAnsi="Times New Roman;Times;serif"/>
          <w:sz w:val="20"/>
        </w:rPr>
        <w:t>2022</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When property, plant and equipment is sold or otherwise disposed of, any gains or losses are reflected in income. If a loss on disposal is expected, such losses are recognized when the assets are reclassified as assets held for sale.</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Maintenance and repairs are expensed as incurred.</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b/>
          <w:sz w:val="20"/>
          <w:shd w:fill="FFFFFF" w:val="clear"/>
        </w:rPr>
        <w:t>PAYCHECK PROTECTION PROGRAM LOAN:</w:t>
      </w:r>
      <w:r>
        <w:rPr>
          <w:rFonts w:ascii="Times New Roman;Times;serif" w:hAnsi="Times New Roman;Times;serif"/>
          <w:sz w:val="20"/>
          <w:shd w:fill="FFFFFF" w:val="clear"/>
        </w:rPr>
        <w:t>  </w:t>
      </w:r>
      <w:r>
        <w:rPr>
          <w:rFonts w:ascii="Times New Roman;Times;serif" w:hAnsi="Times New Roman;Times;serif"/>
          <w:sz w:val="20"/>
        </w:rPr>
        <w:t xml:space="preserve">  During fiscal </w:t>
      </w:r>
      <w:r>
        <w:rPr>
          <w:rStyle w:val="Emphasis"/>
          <w:rFonts w:ascii="Times New Roman;Times;serif" w:hAnsi="Times New Roman;Times;serif"/>
          <w:sz w:val="20"/>
        </w:rPr>
        <w:t>2022,</w:t>
      </w:r>
      <w:r>
        <w:rPr>
          <w:rFonts w:ascii="Times New Roman;Times;serif" w:hAnsi="Times New Roman;Times;serif"/>
          <w:sz w:val="20"/>
        </w:rPr>
        <w:t xml:space="preserve"> the Company was granted full forgiveness of a Paycheck Protection Program loan ("PPP Loan") it previously received under provisions of the Coronavirus Aid, Relief and Economic Security Act ("CARES Act"). The forgiven principal and accrued interest were recognized as a gain on extinguishment of debt of approximately $1.7 million and recorded in "Other income" on the Company's Statement of Operations for fiscal </w:t>
      </w:r>
      <w:r>
        <w:rPr>
          <w:rStyle w:val="Emphasis"/>
          <w:rFonts w:ascii="Times New Roman;Times;serif" w:hAnsi="Times New Roman;Times;serif"/>
          <w:sz w:val="20"/>
        </w:rPr>
        <w:t>2022.</w:t>
      </w:r>
      <w:r>
        <w:rPr>
          <w:rFonts w:ascii="Times New Roman;Times;serif" w:hAnsi="Times New Roman;Times;serif"/>
          <w:sz w:val="20"/>
        </w:rPr>
        <w:t> </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b/>
          <w:sz w:val="20"/>
        </w:rPr>
        <w:t>POSTRETIREMENT BENEFITS OTHER THAN PENSIONS:</w:t>
      </w:r>
      <w:r>
        <w:rPr>
          <w:rFonts w:ascii="Times New Roman;Times;serif" w:hAnsi="Times New Roman;Times;serif"/>
          <w:sz w:val="20"/>
        </w:rPr>
        <w:t xml:space="preserve">    The Company maintains life insurance policies on each officer. From time to time and in its discretion, the Board of Directors of the Company has approved the transfer of the applicable policy to an officer upon their retirement. The Company’s accrued liability for these potential future transfers was approximately $0.1 million and $0.1 million at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sz w:val="20"/>
        </w:rPr>
        <w:t>SHIPPING COSTS:</w:t>
      </w:r>
      <w:r>
        <w:rPr>
          <w:rFonts w:ascii="Times New Roman;Times;serif" w:hAnsi="Times New Roman;Times;serif"/>
          <w:sz w:val="20"/>
        </w:rPr>
        <w:t>    Sales are increased for freight billed to customers and freight costs are charged to cost of products sold.</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b/>
          <w:sz w:val="20"/>
        </w:rPr>
        <w:t>SUPPLEMENTAL CASH FLOW INFORMATION:</w:t>
      </w:r>
      <w:r>
        <w:rPr>
          <w:rFonts w:ascii="Times New Roman;Times;serif" w:hAnsi="Times New Roman;Times;serif"/>
          <w:sz w:val="20"/>
        </w:rPr>
        <w:t xml:space="preserve">    The Company paid interest of approximately $2.0 million and $0.2 million in fiscal </w:t>
      </w:r>
      <w:r>
        <w:rPr>
          <w:rStyle w:val="Emphasis"/>
          <w:rFonts w:ascii="Times New Roman;Times;serif" w:hAnsi="Times New Roman;Times;serif"/>
          <w:sz w:val="20"/>
        </w:rPr>
        <w:t>2023</w:t>
      </w:r>
      <w:r>
        <w:rPr>
          <w:rFonts w:ascii="Times New Roman;Times;serif" w:hAnsi="Times New Roman;Times;serif"/>
          <w:sz w:val="20"/>
        </w:rPr>
        <w:t xml:space="preserve"> and fiscal </w:t>
      </w:r>
      <w:r>
        <w:rPr>
          <w:rStyle w:val="Emphasis"/>
          <w:rFonts w:ascii="Times New Roman;Times;serif" w:hAnsi="Times New Roman;Times;serif"/>
          <w:sz w:val="20"/>
        </w:rPr>
        <w:t>2022</w:t>
      </w:r>
      <w:r>
        <w:rPr>
          <w:rFonts w:ascii="Times New Roman;Times;serif" w:hAnsi="Times New Roman;Times;serif"/>
          <w:sz w:val="20"/>
        </w:rPr>
        <w:t xml:space="preserve">, respectively. The Company paid income taxes of approximately $0.4 million in fiscal </w:t>
      </w:r>
      <w:r>
        <w:rPr>
          <w:rStyle w:val="Emphasis"/>
          <w:rFonts w:ascii="Times New Roman;Times;serif" w:hAnsi="Times New Roman;Times;serif"/>
          <w:sz w:val="20"/>
        </w:rPr>
        <w:t>2023</w:t>
      </w:r>
      <w:r>
        <w:rPr>
          <w:rFonts w:ascii="Times New Roman;Times;serif" w:hAnsi="Times New Roman;Times;serif"/>
          <w:sz w:val="20"/>
        </w:rPr>
        <w:t xml:space="preserve"> and paid income taxes of approximately </w:t>
      </w:r>
      <w:r>
        <w:rPr>
          <w:rFonts w:ascii="Times New Roman;Times;serif" w:hAnsi="Times New Roman;Times;serif"/>
          <w:sz w:val="20"/>
          <w:shd w:fill="FFFFFF" w:val="clear"/>
        </w:rPr>
        <w:t>$8.3 million, net of a tax refund of approximately $0.4 million,</w:t>
      </w:r>
      <w:r>
        <w:rPr>
          <w:rFonts w:ascii="Times New Roman;Times;serif" w:hAnsi="Times New Roman;Times;serif"/>
          <w:sz w:val="20"/>
        </w:rPr>
        <w:t> in fiscal </w:t>
      </w:r>
      <w:r>
        <w:rPr>
          <w:rStyle w:val="Emphasis"/>
          <w:rFonts w:ascii="Times New Roman;Times;serif" w:hAnsi="Times New Roman;Times;serif"/>
          <w:sz w:val="20"/>
        </w:rPr>
        <w:t>2022</w:t>
      </w:r>
      <w:r>
        <w:rPr>
          <w:rFonts w:ascii="Times New Roman;Times;serif" w:hAnsi="Times New Roman;Times;serif"/>
          <w:sz w:val="20"/>
        </w:rPr>
        <w:t xml:space="preserve">. At </w:t>
      </w:r>
      <w:r>
        <w:rPr>
          <w:rStyle w:val="Emphasis"/>
          <w:rFonts w:ascii="Times New Roman;Times;serif" w:hAnsi="Times New Roman;Times;serif"/>
          <w:sz w:val="20"/>
        </w:rPr>
        <w:t xml:space="preserve">March 31, 2022, </w:t>
      </w:r>
      <w:r>
        <w:rPr>
          <w:rFonts w:ascii="Times New Roman;Times;serif" w:hAnsi="Times New Roman;Times;serif"/>
          <w:sz w:val="20"/>
        </w:rPr>
        <w:t xml:space="preserve">the "Construction in process" balance of approximately $15.9 million consisted of $8.1 million in accrued capital expenditures related to the Sinton facility for which cash outlay had </w:t>
      </w:r>
      <w:r>
        <w:rPr>
          <w:rStyle w:val="Emphasis"/>
          <w:rFonts w:ascii="Times New Roman;Times;serif" w:hAnsi="Times New Roman;Times;serif"/>
          <w:sz w:val="20"/>
        </w:rPr>
        <w:t>not</w:t>
      </w:r>
      <w:r>
        <w:rPr>
          <w:rFonts w:ascii="Times New Roman;Times;serif" w:hAnsi="Times New Roman;Times;serif"/>
          <w:sz w:val="20"/>
        </w:rPr>
        <w:t xml:space="preserve"> occurred. These cash outlays were made during fiscal </w:t>
      </w:r>
      <w:r>
        <w:rPr>
          <w:rStyle w:val="Emphasis"/>
          <w:rFonts w:ascii="Times New Roman;Times;serif" w:hAnsi="Times New Roman;Times;serif"/>
          <w:sz w:val="20"/>
        </w:rPr>
        <w:t>2023.</w:t>
      </w:r>
      <w:r>
        <w:rPr>
          <w:rFonts w:ascii="Times New Roman;Times;serif" w:hAnsi="Times New Roman;Times;serif"/>
          <w:sz w:val="20"/>
        </w:rPr>
        <w:t xml:space="preserve"> During fiscal </w:t>
      </w:r>
      <w:r>
        <w:rPr>
          <w:rStyle w:val="Emphasis"/>
          <w:rFonts w:ascii="Times New Roman;Times;serif" w:hAnsi="Times New Roman;Times;serif"/>
          <w:sz w:val="20"/>
        </w:rPr>
        <w:t>2023,</w:t>
      </w:r>
      <w:r>
        <w:rPr>
          <w:rFonts w:ascii="Times New Roman;Times;serif" w:hAnsi="Times New Roman;Times;serif"/>
          <w:sz w:val="20"/>
        </w:rPr>
        <w:t xml:space="preserve"> the Company issued 516,041 shares of common stock as part of the Plateplus business combination discussed in Note </w:t>
      </w:r>
      <w:r>
        <w:rPr>
          <w:rStyle w:val="Emphasis"/>
          <w:rFonts w:ascii="Times New Roman;Times;serif" w:hAnsi="Times New Roman;Times;serif"/>
          <w:sz w:val="20"/>
        </w:rPr>
        <w:t>2,</w:t>
      </w:r>
      <w:r>
        <w:rPr>
          <w:rFonts w:ascii="Times New Roman;Times;serif" w:hAnsi="Times New Roman;Times;serif"/>
          <w:sz w:val="20"/>
        </w:rPr>
        <w:t xml:space="preserve"> resulting in non-cash investing activity of approximately $4.8 million. During fiscal </w:t>
      </w:r>
      <w:r>
        <w:rPr>
          <w:rStyle w:val="Emphasis"/>
          <w:rFonts w:ascii="Times New Roman;Times;serif" w:hAnsi="Times New Roman;Times;serif"/>
          <w:sz w:val="20"/>
        </w:rPr>
        <w:t>2023,</w:t>
      </w:r>
      <w:r>
        <w:rPr>
          <w:rFonts w:ascii="Times New Roman;Times;serif" w:hAnsi="Times New Roman;Times;serif"/>
          <w:sz w:val="20"/>
        </w:rPr>
        <w:t xml:space="preserve"> there was a non-cash transaction of approximately $31,000 for the transfer of ownership of a life insurance policy maintained by the Company with respect to an officer from the Company to such officer upon his retirement.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The Company accounts for income taxes under the liability method, whereby the Company recognizes deferred tax assets and liabilities, which represent differences between the financial and income tax reporting bases of its assets and liabilities. Deferred tax assets and liabilities are determined based on temporary differences between income and expenses reported for financial reporting and tax reporting. The Company has assessed, using all available positive and negative evidences, the likelihood that the deferred tax assets will be recovered from future taxable income.</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also analyzed tax positions taken on tax returns filed and does </w:t>
      </w:r>
      <w:r>
        <w:rPr>
          <w:rStyle w:val="Emphasis"/>
          <w:rFonts w:ascii="Times New Roman;Times;serif" w:hAnsi="Times New Roman;Times;serif"/>
          <w:sz w:val="20"/>
        </w:rPr>
        <w:t>not</w:t>
      </w:r>
      <w:r>
        <w:rPr>
          <w:rFonts w:ascii="Times New Roman;Times;serif" w:hAnsi="Times New Roman;Times;serif"/>
          <w:sz w:val="20"/>
        </w:rPr>
        <w:t xml:space="preserve"> believe that any are more likely than </w:t>
      </w:r>
      <w:r>
        <w:rPr>
          <w:rStyle w:val="Emphasis"/>
          <w:rFonts w:ascii="Times New Roman;Times;serif" w:hAnsi="Times New Roman;Times;serif"/>
          <w:sz w:val="20"/>
        </w:rPr>
        <w:t>not</w:t>
      </w:r>
      <w:r>
        <w:rPr>
          <w:rFonts w:ascii="Times New Roman;Times;serif" w:hAnsi="Times New Roman;Times;serif"/>
          <w:sz w:val="20"/>
        </w:rPr>
        <w:t xml:space="preserve"> to be overturned by the respective tax jurisdiction. Therefore, no liability for uncertain tax positions has been recognized.</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b/>
          <w:sz w:val="20"/>
        </w:rPr>
        <w:t>USE OF ESTIMATES:</w:t>
      </w:r>
      <w:r>
        <w:rPr>
          <w:rFonts w:ascii="Times New Roman;Times;serif" w:hAnsi="Times New Roman;Times;serif"/>
          <w:sz w:val="20"/>
        </w:rPr>
        <w:t xml:space="preserve">    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for the Company include determining the fair value of assets acquired and liabilities assumed in the business combination discussed in Note </w:t>
      </w:r>
      <w:r>
        <w:rPr>
          <w:rStyle w:val="Emphasis"/>
          <w:rFonts w:ascii="Times New Roman;Times;serif" w:hAnsi="Times New Roman;Times;serif"/>
          <w:sz w:val="20"/>
        </w:rPr>
        <w:t>2.</w:t>
      </w:r>
      <w:r>
        <w:rPr>
          <w:rFonts w:ascii="Times New Roman;Times;serif" w:hAnsi="Times New Roman;Times;serif"/>
          <w:sz w:val="20"/>
        </w:rPr>
        <w:t xml:space="preserve">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sz w:val="20"/>
        </w:rPr>
        <w:t>FINANCIAL INSTRUMENTS:</w:t>
      </w:r>
      <w:r>
        <w:rPr>
          <w:rFonts w:ascii="Times New Roman;Times;serif" w:hAnsi="Times New Roman;Times;serif"/>
          <w:sz w:val="20"/>
        </w:rPr>
        <w:t>    Since the Company’s financial instruments are considered short-term in nature, their carrying values approximate fair value.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Times;serif" w:hAnsi="Times New Roman;Times;serif"/>
          <w:b/>
          <w:sz w:val="20"/>
          <w:shd w:fill="FFFFFF" w:val="clear"/>
        </w:rPr>
        <w:t>EARNINGS PER SHARE:</w:t>
      </w:r>
      <w:r>
        <w:rPr>
          <w:rFonts w:ascii="Times New Roman;Times;serif" w:hAnsi="Times New Roman;Times;serif"/>
          <w:sz w:val="20"/>
          <w:shd w:fill="FFFFFF" w:val="clear"/>
        </w:rPr>
        <w:t xml:space="preserve">   The Company uses the </w:t>
      </w:r>
      <w:r>
        <w:rPr>
          <w:rStyle w:val="Emphasis"/>
          <w:rFonts w:ascii="Times New Roman;Times;serif" w:hAnsi="Times New Roman;Times;serif"/>
          <w:sz w:val="20"/>
          <w:shd w:fill="FFFFFF" w:val="clear"/>
        </w:rPr>
        <w:t>two</w:t>
      </w:r>
      <w:r>
        <w:rPr>
          <w:rFonts w:ascii="Times New Roman;Times;serif" w:hAnsi="Times New Roman;Times;serif"/>
          <w:sz w:val="20"/>
          <w:shd w:fill="FFFFFF" w:val="clear"/>
        </w:rPr>
        <w:t xml:space="preserve">-class method of calculating earnings per share, which determines earnings per share for each class of common stock and participating security as if all earnings of the period had been distributed. As the holders of restricted stock are entitled to receive non-forfeitable dividends during the restriction period, unvested shares of restricted stock qualify as participating securities. Unvested restricted shares participate on an equal basis with common shares; therefore, there is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difference in undistributed earnings allocated to each participating security. Unvested restricted stock is forfeitable until earned and therefore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considered outstanding for basic earnings per share. Net income per basic common share is computed using the weighted average number of common shares outstanding during the period and net income attributable to common stockholders is adjusted to allocate dividends paid to unvested shares as well as undistributed earnings. Net income per diluted common share is computed using the weighted average number of common shares and participating securities outstanding during the period.</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sz w:val="20"/>
        </w:rPr>
        <w:t>ECONOMIC RELATIONSHIP:</w:t>
      </w:r>
      <w:r>
        <w:rPr>
          <w:rFonts w:ascii="Times New Roman;Times;serif" w:hAnsi="Times New Roman;Times;serif"/>
          <w:sz w:val="20"/>
        </w:rPr>
        <w:t>    The Company purchases its inventory from a limited number of suppliers. Loss of any of these suppliers could have a material adverse effect on the Company.</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Coil segment sales to O'Neal Steel accounted for approximately 15% and 11% of total Company sales in fiscal </w:t>
      </w:r>
      <w:r>
        <w:rPr>
          <w:rStyle w:val="Emphasis"/>
          <w:rFonts w:ascii="Times New Roman;Times;serif" w:hAnsi="Times New Roman;Times;serif"/>
          <w:sz w:val="20"/>
        </w:rPr>
        <w:t>2023</w:t>
      </w:r>
      <w:r>
        <w:rPr>
          <w:rFonts w:ascii="Times New Roman;Times;serif" w:hAnsi="Times New Roman;Times;serif"/>
          <w:sz w:val="20"/>
        </w:rPr>
        <w:t xml:space="preserve"> and fiscal </w:t>
      </w:r>
      <w:r>
        <w:rPr>
          <w:rStyle w:val="Emphasis"/>
          <w:rFonts w:ascii="Times New Roman;Times;serif" w:hAnsi="Times New Roman;Times;serif"/>
          <w:sz w:val="20"/>
        </w:rPr>
        <w:t>2022,</w:t>
      </w:r>
      <w:r>
        <w:rPr>
          <w:rFonts w:ascii="Times New Roman;Times;serif" w:hAnsi="Times New Roman;Times;serif"/>
          <w:sz w:val="20"/>
        </w:rPr>
        <w:t xml:space="preserve"> respectively. </w:t>
      </w:r>
      <w:r>
        <w:rPr>
          <w:rStyle w:val="Emphasis"/>
          <w:rFonts w:ascii="Times New Roman;Times;serif" w:hAnsi="Times New Roman;Times;serif"/>
          <w:sz w:val="20"/>
        </w:rPr>
        <w:t>No</w:t>
      </w:r>
      <w:r>
        <w:rPr>
          <w:rFonts w:ascii="Times New Roman;Times;serif" w:hAnsi="Times New Roman;Times;serif"/>
          <w:sz w:val="20"/>
        </w:rPr>
        <w:t xml:space="preserve"> other customers accounted for </w:t>
      </w:r>
      <w:r>
        <w:rPr>
          <w:rStyle w:val="Emphasis"/>
          <w:rFonts w:ascii="Times New Roman;Times;serif" w:hAnsi="Times New Roman;Times;serif"/>
          <w:sz w:val="20"/>
        </w:rPr>
        <w:t>10%</w:t>
      </w:r>
      <w:r>
        <w:rPr>
          <w:rFonts w:ascii="Times New Roman;Times;serif" w:hAnsi="Times New Roman;Times;serif"/>
          <w:sz w:val="20"/>
        </w:rPr>
        <w:t xml:space="preserve"> or more of total Company sales for either fiscal year.</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Company’s sales are concentrated primarily in the midwestern, southwestern, and southeastern regions of the United States and are primarily to customers in the steel distributing and fabricating industries. The Company performs periodic credit evaluations of the financial conditions of its customers and generally does </w:t>
      </w:r>
      <w:r>
        <w:rPr>
          <w:rStyle w:val="Emphasis"/>
          <w:rFonts w:ascii="Times New Roman;Times;serif" w:hAnsi="Times New Roman;Times;serif"/>
          <w:sz w:val="20"/>
        </w:rPr>
        <w:t>not</w:t>
      </w:r>
      <w:r>
        <w:rPr>
          <w:rFonts w:ascii="Times New Roman;Times;serif" w:hAnsi="Times New Roman;Times;serif"/>
          <w:sz w:val="20"/>
        </w:rPr>
        <w:t xml:space="preserve"> require collateral. Generally, receivables are due within </w:t>
      </w:r>
      <w:r>
        <w:rPr>
          <w:rStyle w:val="Emphasis"/>
          <w:rFonts w:ascii="Times New Roman;Times;serif" w:hAnsi="Times New Roman;Times;serif"/>
          <w:sz w:val="20"/>
        </w:rPr>
        <w:t>30</w:t>
      </w:r>
      <w:r>
        <w:rPr>
          <w:rFonts w:ascii="Times New Roman;Times;serif" w:hAnsi="Times New Roman;Times;serif"/>
          <w:sz w:val="20"/>
        </w:rPr>
        <w:t> days.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BUSINESS COMBINATIONS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On </w:t>
      </w:r>
      <w:r>
        <w:rPr>
          <w:rStyle w:val="Emphasis"/>
          <w:rFonts w:ascii="Times New Roman;Times;serif" w:hAnsi="Times New Roman;Times;serif"/>
          <w:sz w:val="20"/>
        </w:rPr>
        <w:t>April 30, 2022, (</w:t>
      </w:r>
      <w:r>
        <w:rPr>
          <w:rFonts w:ascii="Times New Roman;Times;serif" w:hAnsi="Times New Roman;Times;serif"/>
          <w:sz w:val="20"/>
        </w:rPr>
        <w:t>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Decatur, AL and  Sinton, TX. As a result of the Transaction, the Company expanded its footprint and distribution capabilities in the mid-western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Transaction resulted in the Company acquiring the assets noted above, for a total consideration of $76.5 million, of which $71.7 million was cash consideration and $4.8 million related to 516,041 shares of the Company's common stock issued to the Seller. The fair value of the 516,041 shares issued was determined based on the closing market price of the Company’s common stock on </w:t>
      </w:r>
      <w:r>
        <w:rPr>
          <w:rStyle w:val="Emphasis"/>
          <w:rFonts w:ascii="Times New Roman" w:hAnsi="Times New Roman"/>
          <w:caps w:val="false"/>
          <w:smallCaps w:val="false"/>
          <w:sz w:val="20"/>
        </w:rPr>
        <w:t xml:space="preserve">April 29, 2022, </w:t>
      </w:r>
      <w:r>
        <w:rPr>
          <w:rFonts w:ascii="Times New Roman" w:hAnsi="Times New Roman"/>
          <w:caps w:val="false"/>
          <w:smallCaps w:val="false"/>
          <w:sz w:val="20"/>
        </w:rPr>
        <w:t xml:space="preserve">the last trading day prior to the Acquisition Date. At the Acquisition Date, the Transaction was funded with net borrowings of $64.0 million made under the Company's asset-based lending facility ("ABL Facility") provided by JPMorgan Chase Bank. An additional $7.9 million was funded by the ABL Facility during the quarter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to pay the final net working capital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Transaction was accounted for using the acquisition method of accounting, in accordance with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w:t>
      </w:r>
    </w:p>
    <w:p>
      <w:pPr>
        <w:pStyle w:val="TextBody"/>
        <w:bidi w:val="0"/>
        <w:spacing w:before="0" w:after="0"/>
        <w:ind w:left="0" w:right="0" w:hanging="0"/>
        <w:jc w:val="left"/>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5570"/>
        <w:gridCol w:w="60"/>
        <w:gridCol w:w="125"/>
        <w:gridCol w:w="650"/>
        <w:gridCol w:w="80"/>
      </w:tblGrid>
      <w:tr>
        <w:trPr/>
        <w:tc>
          <w:tcPr>
            <w:tcW w:w="5570"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Fair value of assets acquired and liabilities assumed (in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77,546</w:t>
            </w:r>
          </w:p>
        </w:tc>
        <w:tc>
          <w:tcPr>
            <w:tcW w:w="8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18,022</w:t>
            </w:r>
          </w:p>
        </w:tc>
        <w:tc>
          <w:tcPr>
            <w:tcW w:w="8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1,237</w:t>
            </w:r>
          </w:p>
        </w:tc>
        <w:tc>
          <w:tcPr>
            <w:tcW w:w="8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Operating lease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unaudited pro forma consolidated operating results (in thousands) give effect to the Transaction as if it had been completed as of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These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Transaction had occurred on such date. The pro forma adjustments are based on certain assumptions that we believe are reasonable.</w:t>
      </w:r>
    </w:p>
    <w:p>
      <w:pPr>
        <w:pStyle w:val="TextBody"/>
        <w:bidi w:val="0"/>
        <w:spacing w:before="0" w:after="0"/>
        <w:ind w:left="0" w:right="0" w:hanging="0"/>
        <w:jc w:val="left"/>
        <w:rPr>
          <w:caps w:val="false"/>
          <w:smallCaps w:val="false"/>
        </w:rPr>
      </w:pPr>
      <w:r>
        <w:rPr>
          <w:caps w:val="false"/>
          <w:smallCaps w:val="false"/>
        </w:rPr>
        <w:t> </w:t>
      </w:r>
    </w:p>
    <w:tbl>
      <w:tblPr>
        <w:tblW w:w="4072" w:type="dxa"/>
        <w:jc w:val="left"/>
        <w:tblInd w:w="0" w:type="dxa"/>
        <w:tblLayout w:type="fixed"/>
        <w:tblCellMar>
          <w:top w:w="0" w:type="dxa"/>
          <w:left w:w="0" w:type="dxa"/>
          <w:bottom w:w="0" w:type="dxa"/>
          <w:right w:w="0" w:type="dxa"/>
        </w:tblCellMar>
      </w:tblPr>
      <w:tblGrid>
        <w:gridCol w:w="2060"/>
        <w:gridCol w:w="60"/>
        <w:gridCol w:w="134"/>
        <w:gridCol w:w="748"/>
        <w:gridCol w:w="64"/>
        <w:gridCol w:w="64"/>
        <w:gridCol w:w="134"/>
        <w:gridCol w:w="748"/>
        <w:gridCol w:w="60"/>
      </w:tblGrid>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748"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566,942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535,895</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748"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20,793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17,862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Our consolidated statement of operations 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includes net sales of approximately $237.6 million and earnings from operations of approximately $19.0 million attributable to the East Chicago and Granite City facilities acquired from Plateplus. At the Acquisition Date, the Company acquired the inventory on hand at Plateplus' Houston and Loudon facilities and also assumed inventory on order related to these locations. Plateplus provided toll processing services for this material for a period of time following the Acquisition Date with these services having concluded by </w:t>
      </w:r>
      <w:r>
        <w:rPr>
          <w:rStyle w:val="Emphasis"/>
          <w:rFonts w:ascii="Times New Roman" w:hAnsi="Times New Roman"/>
          <w:caps w:val="false"/>
          <w:smallCaps w:val="false"/>
          <w:sz w:val="20"/>
        </w:rPr>
        <w:t xml:space="preserve">August 31, 2022. </w:t>
      </w:r>
      <w:r>
        <w:rPr>
          <w:rFonts w:ascii="Times New Roman" w:hAnsi="Times New Roman"/>
          <w:caps w:val="false"/>
          <w:smallCaps w:val="false"/>
          <w:sz w:val="20"/>
        </w:rPr>
        <w:t xml:space="preserve">In addition to the East Chicago and Granite City sales and earnings from operations, our consolidated statement of operations 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includes net sales of approximately $43.4 million and earnings from operations of approximately $0.3 million attributable to sales of inventory from Houston and Loudon where the fixed assets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acquired. 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recorded transaction specific costs of approximately $1.2 million as a component of "Selling, general and administrative" expenses on the consolidated statement of operations. Information about the debt issuance costs associated with the acquisition financing is provided in Note </w:t>
      </w:r>
      <w:r>
        <w:rPr>
          <w:rStyle w:val="Emphasis"/>
          <w:rFonts w:ascii="Times New Roman" w:hAnsi="Times New Roman"/>
          <w:caps w:val="false"/>
          <w:smallCaps w:val="false"/>
          <w:sz w:val="20"/>
        </w:rPr>
        <w:t>4.</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Times;serif" w:hAnsi="Times New Roman;Times;serif"/>
          <w:b/>
          <w:sz w:val="20"/>
        </w:rPr>
        <w:t>3.</w:t>
      </w:r>
      <w:r>
        <w:rPr>
          <w:rFonts w:ascii="Times New Roman;Times;serif" w:hAnsi="Times New Roman;Times;serif"/>
          <w:b/>
          <w:sz w:val="20"/>
        </w:rPr>
        <w:t xml:space="preserve"> EQUITY COMPENSATION PLANS</w:t>
      </w:r>
      <w:r>
        <w:rPr>
          <w:rFonts w:ascii="Times New Roman;Times;serif" w:hAnsi="Times New Roman;Times;serif"/>
          <w:sz w:val="20"/>
        </w:rPr>
        <w:t xml:space="preserve"> </w:t>
      </w:r>
      <w:r>
        <w:rPr>
          <w:rFonts w:ascii="Times New Roman;Times;serif" w:hAnsi="Times New Roman;Times;serif"/>
          <w:b/>
          <w:sz w:val="20"/>
        </w:rPr>
        <w:t xml:space="preserve">AND CAPITAL STOCK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maintains the Friedman Industries, Incorporated </w:t>
      </w:r>
      <w:r>
        <w:rPr>
          <w:rStyle w:val="Emphasis"/>
          <w:rFonts w:ascii="Times New Roman;Times;serif" w:hAnsi="Times New Roman;Times;serif"/>
          <w:sz w:val="20"/>
        </w:rPr>
        <w:t>2016</w:t>
      </w:r>
      <w:r>
        <w:rPr>
          <w:rFonts w:ascii="Times New Roman;Times;serif" w:hAnsi="Times New Roman;Times;serif"/>
          <w:sz w:val="20"/>
        </w:rPr>
        <w:t xml:space="preserve">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w:t>
      </w:r>
      <w:r>
        <w:rPr>
          <w:rStyle w:val="Emphasis"/>
          <w:rFonts w:ascii="Times New Roman;Times;serif" w:hAnsi="Times New Roman;Times;serif"/>
          <w:sz w:val="20"/>
        </w:rPr>
        <w:t xml:space="preserve">may, </w:t>
      </w:r>
      <w:r>
        <w:rPr>
          <w:rFonts w:ascii="Times New Roman;Times;serif" w:hAnsi="Times New Roman;Times;serif"/>
          <w:sz w:val="20"/>
        </w:rPr>
        <w:t>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summarizes the activity related to restricted stock units ("RSUs") for the </w:t>
      </w:r>
      <w:r>
        <w:rPr>
          <w:rStyle w:val="Emphasis"/>
          <w:rFonts w:ascii="Times New Roman;Times;serif" w:hAnsi="Times New Roman;Times;serif"/>
          <w:sz w:val="20"/>
        </w:rPr>
        <w:t>two</w:t>
      </w:r>
      <w:r>
        <w:rPr>
          <w:rFonts w:ascii="Times New Roman;Times;serif" w:hAnsi="Times New Roman;Times;serif"/>
          <w:sz w:val="20"/>
        </w:rPr>
        <w:t xml:space="preserve"> years ended</w:t>
      </w:r>
      <w:r>
        <w:rPr>
          <w:rStyle w:val="Emphasis"/>
          <w:rFonts w:ascii="Times New Roman;Times;serif" w:hAnsi="Times New Roman;Times;serif"/>
          <w:sz w:val="20"/>
        </w:rPr>
        <w:t xml:space="preserve"> March 31, 2023</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tbl>
      <w:tblPr>
        <w:tblW w:w="4833" w:type="dxa"/>
        <w:jc w:val="left"/>
        <w:tblInd w:w="0" w:type="dxa"/>
        <w:tblLayout w:type="fixed"/>
        <w:tblCellMar>
          <w:top w:w="0" w:type="dxa"/>
          <w:left w:w="0" w:type="dxa"/>
          <w:bottom w:w="0" w:type="dxa"/>
          <w:right w:w="0" w:type="dxa"/>
        </w:tblCellMar>
      </w:tblPr>
      <w:tblGrid>
        <w:gridCol w:w="2315"/>
        <w:gridCol w:w="60"/>
        <w:gridCol w:w="65"/>
        <w:gridCol w:w="824"/>
        <w:gridCol w:w="80"/>
        <w:gridCol w:w="60"/>
        <w:gridCol w:w="280"/>
        <w:gridCol w:w="1089"/>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 Value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Unvested at March 31, 2021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12.56</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(210,292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Unvested at March 31, 2022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Unvested at March 31,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100,366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We measure compensation expense for RSUs at the market price of our common stock as of the grant date. Compensation expense is recognized over the requisite service period applicable to each award. The Company recorded compensation expense of approximately $0.3 million and $0.4 million in fisca</w:t>
      </w:r>
      <w:r>
        <w:rPr>
          <w:rFonts w:ascii="Times New Roman;Times;serif" w:hAnsi="Times New Roman;Times;serif"/>
          <w:sz w:val="20"/>
          <w:shd w:fill="FFFFFF" w:val="clear"/>
        </w:rPr>
        <w:t xml:space="preserve">l </w:t>
      </w:r>
      <w:r>
        <w:rPr>
          <w:rStyle w:val="Emphasis"/>
          <w:rFonts w:ascii="Times New Roman;Times;serif" w:hAnsi="Times New Roman;Times;serif"/>
          <w:sz w:val="20"/>
        </w:rPr>
        <w:t>2023</w:t>
      </w:r>
      <w:r>
        <w:rPr>
          <w:rFonts w:ascii="Times New Roman;Times;serif" w:hAnsi="Times New Roman;Times;serif"/>
          <w:sz w:val="20"/>
          <w:shd w:fill="FFFFFF" w:val="clear"/>
        </w:rPr>
        <w:t xml:space="preserve"> and fiscal </w:t>
      </w:r>
      <w:r>
        <w:rPr>
          <w:rStyle w:val="Emphasis"/>
          <w:rFonts w:ascii="Times New Roman;Times;serif" w:hAnsi="Times New Roman;Times;serif"/>
          <w:sz w:val="20"/>
        </w:rPr>
        <w:t>2022</w:t>
      </w:r>
      <w:r>
        <w:rPr>
          <w:rFonts w:ascii="Times New Roman;Times;serif" w:hAnsi="Times New Roman;Times;serif"/>
          <w:sz w:val="20"/>
          <w:shd w:fill="FFFFFF" w:val="clear"/>
        </w:rPr>
        <w:t xml:space="preserve">, </w:t>
      </w:r>
      <w:r>
        <w:rPr>
          <w:rFonts w:ascii="Times New Roman;Times;serif" w:hAnsi="Times New Roman;Times;serif"/>
          <w:sz w:val="20"/>
        </w:rPr>
        <w:t>respectively, relating to the RSUs issued under the P</w:t>
      </w:r>
      <w:r>
        <w:rPr>
          <w:rFonts w:ascii="Times New Roman;Times;serif" w:hAnsi="Times New Roman;Times;serif"/>
          <w:sz w:val="20"/>
          <w:shd w:fill="FFFFFF" w:val="clear"/>
        </w:rPr>
        <w:t xml:space="preserve">lan. </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At </w:t>
      </w:r>
      <w:r>
        <w:rPr>
          <w:rStyle w:val="Emphasis"/>
          <w:rFonts w:ascii="Times New Roman;Times;serif" w:hAnsi="Times New Roman;Times;serif"/>
          <w:sz w:val="20"/>
        </w:rPr>
        <w:t xml:space="preserve"> March 31, 2023</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xml:space="preserve"> unrecognized compensation expense related to unvested RSUs was approximately $0.3 million and $0.5 million, respectively, which is expected to be recognized over a weighted average period of approximately </w:t>
      </w:r>
      <w:r>
        <w:rPr>
          <w:rFonts w:ascii="Times New Roman;Times;serif" w:hAnsi="Times New Roman;Times;serif"/>
          <w:sz w:val="20"/>
        </w:rPr>
        <w:t>1.4</w:t>
      </w:r>
      <w:r>
        <w:rPr>
          <w:rFonts w:ascii="Times New Roman;Times;serif" w:hAnsi="Times New Roman;Times;serif"/>
          <w:sz w:val="20"/>
          <w:shd w:fill="FFFFFF" w:val="clear"/>
        </w:rPr>
        <w:t xml:space="preserve"> years and 2.2 years, respectively. </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As of </w:t>
      </w:r>
      <w:r>
        <w:rPr>
          <w:rStyle w:val="Emphasis"/>
          <w:rFonts w:ascii="Times New Roman;Times;serif" w:hAnsi="Times New Roman;Times;serif"/>
          <w:sz w:val="20"/>
        </w:rPr>
        <w:t>March 31, 2023</w:t>
      </w:r>
      <w:r>
        <w:rPr>
          <w:rFonts w:ascii="Times New Roman;Times;serif" w:hAnsi="Times New Roman;Times;serif"/>
          <w:sz w:val="20"/>
          <w:shd w:fill="FFFFFF" w:val="clear"/>
        </w:rPr>
        <w:t>, a total of 122,485 shares were still available to be issued under the Plan.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The Company has 1,000,000 authorized shares of Cumulative Preferred Stock with a par value of $1 per share. The stock </w:t>
      </w:r>
      <w:r>
        <w:rPr>
          <w:rStyle w:val="Emphasis"/>
          <w:rFonts w:ascii="Times New Roman;Times;serif" w:hAnsi="Times New Roman;Times;serif"/>
          <w:sz w:val="20"/>
          <w:shd w:fill="FFFFFF" w:val="clear"/>
        </w:rPr>
        <w:t xml:space="preserve">may </w:t>
      </w:r>
      <w:r>
        <w:rPr>
          <w:rFonts w:ascii="Times New Roman;Times;serif" w:hAnsi="Times New Roman;Times;serif"/>
          <w:sz w:val="20"/>
          <w:shd w:fill="FFFFFF" w:val="clear"/>
        </w:rPr>
        <w:t xml:space="preserve">be issued in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 xml:space="preserve"> or more series, and the Board of Directors is authorized to fix the designations, preferences, rights, qualifications, limitations and restrictions of each series, except that any series must provide for cumulative dividends and must be convertible into Common Stock. There were no shares of Cumulative Preferred Stock issued as of </w:t>
      </w:r>
      <w:r>
        <w:rPr>
          <w:rStyle w:val="Emphasis"/>
          <w:rFonts w:ascii="Times New Roman;Times;serif" w:hAnsi="Times New Roman;Times;serif"/>
          <w:sz w:val="20"/>
        </w:rPr>
        <w:t>March 31, 2023</w:t>
      </w:r>
      <w:r>
        <w:rPr>
          <w:rFonts w:ascii="Times New Roman;Times;serif" w:hAnsi="Times New Roman;Times;serif"/>
          <w:sz w:val="20"/>
          <w:shd w:fill="FFFFFF" w:val="clear"/>
        </w:rPr>
        <w:t xml:space="preserve"> or </w:t>
      </w:r>
      <w:r>
        <w:rPr>
          <w:rStyle w:val="Emphasis"/>
          <w:rFonts w:ascii="Times New Roman;Times;serif" w:hAnsi="Times New Roman;Times;serif"/>
          <w:sz w:val="20"/>
        </w:rPr>
        <w:t>March 31, 2022</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25, 2020, </w:t>
      </w:r>
      <w:r>
        <w:rPr>
          <w:rFonts w:ascii="Times New Roman" w:hAnsi="Times New Roman"/>
          <w:caps w:val="false"/>
          <w:smallCaps w:val="false"/>
          <w:sz w:val="20"/>
        </w:rPr>
        <w:t xml:space="preserve">our Board of Directors authorized the repurchase, for retirement, of up to 1,062,067 shares of our common stock in open-market transactions or otherwise with the authorization expiring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did not repurchase any shares through the open market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or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but did acquire 4,162 shares and 52,235 shares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as employee withholding taxes paid on vested restricted stock.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5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4.</w:t>
      </w:r>
      <w:r>
        <w:rPr>
          <w:rFonts w:ascii="Times New Roman;Times;serif" w:hAnsi="Times New Roman;Times;serif"/>
          <w:b/>
          <w:sz w:val="20"/>
        </w:rPr>
        <w:t xml:space="preserve">   DEBT </w:t>
      </w:r>
    </w:p>
    <w:p>
      <w:pPr>
        <w:pStyle w:val="TextBody"/>
        <w:bidi w:val="0"/>
        <w:spacing w:before="0" w:after="0"/>
        <w:ind w:left="160" w:right="0" w:firstLine="50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22, 2021, </w:t>
      </w:r>
      <w:r>
        <w:rPr>
          <w:rFonts w:ascii="Times New Roman" w:hAnsi="Times New Roman"/>
          <w:caps w:val="false"/>
          <w:smallCaps w:val="false"/>
          <w:sz w:val="20"/>
        </w:rPr>
        <w:t xml:space="preserve">the Small Business Administration authorized full forgiveness of the Company's Paycheck Protection Program loan. The gain of approximately $1.7 million from this extinguishment of debt included both principal and interest and is recorded as a component of "Other income" on the Company's Consolidated Statement of Operations for fiscal </w:t>
      </w:r>
      <w:r>
        <w:rPr>
          <w:rStyle w:val="Emphasis"/>
          <w:rFonts w:ascii="Times New Roman" w:hAnsi="Times New Roman"/>
          <w:caps w:val="false"/>
          <w:smallCaps w:val="false"/>
          <w:sz w:val="20"/>
        </w:rPr>
        <w:t>2022.</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8, 2021, </w:t>
      </w:r>
      <w:r>
        <w:rPr>
          <w:rFonts w:ascii="Times New Roman" w:hAnsi="Times New Roman"/>
          <w:caps w:val="false"/>
          <w:smallCaps w:val="false"/>
          <w:sz w:val="20"/>
        </w:rPr>
        <w:t xml:space="preserve">the Company entered into a Credit Agreement providing for a $10 million revolving line of credit facility (the "Interim Credit Facility) with JPMorgan Chase Bank, N.A. (the "Bank"). The Interim Credit Facility had an expiration date of </w:t>
      </w:r>
      <w:r>
        <w:rPr>
          <w:rStyle w:val="Emphasis"/>
          <w:rFonts w:ascii="Times New Roman" w:hAnsi="Times New Roman"/>
          <w:caps w:val="false"/>
          <w:smallCaps w:val="false"/>
          <w:sz w:val="20"/>
        </w:rPr>
        <w:t xml:space="preserve">July 15, 2021 </w:t>
      </w:r>
      <w:r>
        <w:rPr>
          <w:rFonts w:ascii="Times New Roman" w:hAnsi="Times New Roman"/>
          <w:caps w:val="false"/>
          <w:smallCaps w:val="false"/>
          <w:sz w:val="20"/>
        </w:rPr>
        <w:t xml:space="preserve">because the Company was evaluating options for longer term credit arrangements. On </w:t>
      </w:r>
      <w:r>
        <w:rPr>
          <w:rStyle w:val="Emphasis"/>
          <w:rFonts w:ascii="Times New Roman" w:hAnsi="Times New Roman"/>
          <w:caps w:val="false"/>
          <w:smallCaps w:val="false"/>
          <w:sz w:val="20"/>
        </w:rPr>
        <w:t xml:space="preserve">April 12, 2021, </w:t>
      </w:r>
      <w:r>
        <w:rPr>
          <w:rFonts w:ascii="Times New Roman" w:hAnsi="Times New Roman"/>
          <w:caps w:val="false"/>
          <w:smallCaps w:val="false"/>
          <w:sz w:val="20"/>
        </w:rPr>
        <w:t xml:space="preserve">the Company executed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to the Interim Credit Facility that increased the size of the facility from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million to $20 million. On </w:t>
      </w:r>
      <w:r>
        <w:rPr>
          <w:rStyle w:val="Emphasis"/>
          <w:rFonts w:ascii="Times New Roman" w:hAnsi="Times New Roman"/>
          <w:caps w:val="false"/>
          <w:smallCaps w:val="false"/>
          <w:sz w:val="20"/>
        </w:rPr>
        <w:t xml:space="preserve">May 19, 2021, </w:t>
      </w:r>
      <w:r>
        <w:rPr>
          <w:rFonts w:ascii="Times New Roman" w:hAnsi="Times New Roman"/>
          <w:caps w:val="false"/>
          <w:smallCaps w:val="false"/>
          <w:sz w:val="20"/>
        </w:rPr>
        <w:t xml:space="preserve">the Company entered into an Amended and Restated Credit Agreement ("ABL Facility") with the Bank that amended and restated the Interim Credit Facility and provided for asset-based revolving loans in an aggregate principal amount up to $40 million. On </w:t>
      </w:r>
      <w:r>
        <w:rPr>
          <w:rStyle w:val="Emphasis"/>
          <w:rFonts w:ascii="Times New Roman" w:hAnsi="Times New Roman"/>
          <w:caps w:val="false"/>
          <w:smallCaps w:val="false"/>
          <w:sz w:val="20"/>
        </w:rPr>
        <w:t xml:space="preserve">March 11, 2022, </w:t>
      </w:r>
      <w:r>
        <w:rPr>
          <w:rFonts w:ascii="Times New Roman" w:hAnsi="Times New Roman"/>
          <w:caps w:val="false"/>
          <w:smallCaps w:val="false"/>
          <w:sz w:val="20"/>
        </w:rPr>
        <w:t xml:space="preserve">the Company executed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to the ABL Facility which increased the size of the facility from $40 million to $75 million. On </w:t>
      </w:r>
      <w:r>
        <w:rPr>
          <w:rStyle w:val="Emphasis"/>
          <w:rFonts w:ascii="Times New Roman" w:hAnsi="Times New Roman"/>
          <w:caps w:val="false"/>
          <w:smallCaps w:val="false"/>
          <w:sz w:val="20"/>
        </w:rPr>
        <w:t xml:space="preserve">April 29, 2022, </w:t>
      </w:r>
      <w:r>
        <w:rPr>
          <w:rFonts w:ascii="Times New Roman" w:hAnsi="Times New Roman"/>
          <w:caps w:val="false"/>
          <w:smallCaps w:val="false"/>
          <w:sz w:val="20"/>
        </w:rPr>
        <w:t xml:space="preserve">the Company entered into a Second Amendment to the ABL Facility. The Second Amendment increased the revolving loans available under the ABL facility from an aggregate principal amount of up to $75 million to an aggregate principal amount of up to $150 million. On </w:t>
      </w:r>
      <w:r>
        <w:rPr>
          <w:rStyle w:val="Emphasis"/>
          <w:rFonts w:ascii="Times New Roman" w:hAnsi="Times New Roman"/>
          <w:caps w:val="false"/>
          <w:smallCaps w:val="false"/>
          <w:sz w:val="20"/>
        </w:rPr>
        <w:t xml:space="preserve">July 6, 2022, </w:t>
      </w:r>
      <w:r>
        <w:rPr>
          <w:rFonts w:ascii="Times New Roman" w:hAnsi="Times New Roman"/>
          <w:caps w:val="false"/>
          <w:smallCaps w:val="false"/>
          <w:sz w:val="20"/>
        </w:rPr>
        <w:t xml:space="preserve">the Company entered into a Third Amendment to the ABL Facility. The Third Amendment to the ABL Facility provided for the syndication of the asset-based revolving loans available thereunder with BMO Harris Bank, N.A. ("BMO") with JPMorgan Chase Bank serving as the arranging agent (the "Agent"). The Third Amendment also amended provisions of the ABL Facility authorizing the Agent to make protective advances under the ABL Facility and added a covenant requiring each of the Company and its subsidiaries to maintain the Agent as its principal depository bank. In connection with the Third Amendment, the Company also entered into a Revolving Note payable to BMO in a principal amount of up to $50 million establishing BMO as a </w:t>
      </w:r>
      <w:r>
        <w:rPr>
          <w:rStyle w:val="Emphasis"/>
          <w:rFonts w:ascii="Times New Roman" w:hAnsi="Times New Roman"/>
          <w:caps w:val="false"/>
          <w:smallCaps w:val="false"/>
          <w:sz w:val="20"/>
        </w:rPr>
        <w:t>one</w:t>
      </w:r>
      <w:r>
        <w:rPr>
          <w:rFonts w:ascii="Times New Roman" w:hAnsi="Times New Roman"/>
          <w:caps w:val="false"/>
          <w:smallCaps w:val="false"/>
          <w:sz w:val="20"/>
        </w:rPr>
        <w:t>-</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syndicated participant in the Company's ABL facility. The ABL Facility matures on </w:t>
      </w:r>
      <w:r>
        <w:rPr>
          <w:rStyle w:val="Emphasis"/>
          <w:rFonts w:ascii="Times New Roman" w:hAnsi="Times New Roman"/>
          <w:caps w:val="false"/>
          <w:smallCaps w:val="false"/>
          <w:sz w:val="20"/>
        </w:rPr>
        <w:t xml:space="preserve">May 19, 2026 </w:t>
      </w:r>
      <w:r>
        <w:rPr>
          <w:rFonts w:ascii="Times New Roman" w:hAnsi="Times New Roman"/>
          <w:caps w:val="false"/>
          <w:smallCaps w:val="false"/>
          <w:sz w:val="20"/>
        </w:rPr>
        <w:t xml:space="preserve">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for the trailing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increased by up to an aggregate of $25 million, in minimum increments of $5 million.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the Company had a balance of approximately $33.1 million under the ABL Facility with an applicable interest rate of 7.0%. 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the Company's applicable borrowing base calculation supported access to approximately $94.2 million of the ABL Facility.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The Company incurred debt issuance costs of approximately $0.2 million in connection with the Second Amendment to the ABL Facility and approximately $0.2 million in connection with the Third Amendment to the ABL Facility. The Company recorded these debt issuance costs as non-current other assets and will amortize these costs on an equal monthly basis over the remaining term of the ABL facility.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was assigned an operating lease associated with the real property and leasehold improvements for the Granite City, IL facility acquired from Plateplus pursuant to the transaction disclosed in Note </w:t>
      </w:r>
      <w:r>
        <w:rPr>
          <w:rStyle w:val="Emphasis"/>
          <w:rFonts w:ascii="Times New Roman;Times;serif" w:hAnsi="Times New Roman;Times;serif"/>
          <w:sz w:val="20"/>
        </w:rPr>
        <w:t>2.</w:t>
      </w:r>
      <w:r>
        <w:rPr>
          <w:rFonts w:ascii="Times New Roman;Times;serif" w:hAnsi="Times New Roman;Times;serif"/>
          <w:sz w:val="20"/>
        </w:rPr>
        <w:t xml:space="preserve"> The current lease expires </w:t>
      </w:r>
      <w:r>
        <w:rPr>
          <w:rStyle w:val="Emphasis"/>
          <w:rFonts w:ascii="Times New Roman;Times;serif" w:hAnsi="Times New Roman;Times;serif"/>
          <w:sz w:val="20"/>
        </w:rPr>
        <w:t xml:space="preserve">August 31, 2023 </w:t>
      </w:r>
      <w:r>
        <w:rPr>
          <w:rFonts w:ascii="Times New Roman;Times;serif" w:hAnsi="Times New Roman;Times;serif"/>
          <w:sz w:val="20"/>
        </w:rPr>
        <w:t xml:space="preserve">and the Company is in the process of renewing the lease. The lease calls for quarterly rental payments of approximately $19,000. The Company recognized an initial right-of-use ("ROU") asset and lease liability of approximately $1.2 million during fiscal </w:t>
      </w:r>
      <w:r>
        <w:rPr>
          <w:rStyle w:val="Emphasis"/>
          <w:rFonts w:ascii="Times New Roman;Times;serif" w:hAnsi="Times New Roman;Times;serif"/>
          <w:sz w:val="20"/>
        </w:rPr>
        <w:t>2023</w:t>
      </w:r>
      <w:r>
        <w:rPr>
          <w:rFonts w:ascii="Times New Roman;Times;serif" w:hAnsi="Times New Roman;Times;serif"/>
          <w:sz w:val="20"/>
        </w:rPr>
        <w:t xml:space="preserve"> related to this lease. The anticipated renewal of this lease is included in the ROU asset and lease liability calculation. The Company’s lease of its office space in Longview, Texas is the only other operating lease included in the Company's ROU assets and lease liabilities. The lease calls for monthly rent payments of approximately $5,000 and expires on </w:t>
      </w:r>
      <w:r>
        <w:rPr>
          <w:rStyle w:val="Emphasis"/>
          <w:rFonts w:ascii="Times New Roman;Times;serif" w:hAnsi="Times New Roman;Times;serif"/>
          <w:sz w:val="20"/>
        </w:rPr>
        <w:t xml:space="preserve">April 30, 2024. </w:t>
      </w:r>
      <w:r>
        <w:rPr>
          <w:rFonts w:ascii="Times New Roman;Times;serif" w:hAnsi="Times New Roman;Times;serif"/>
          <w:sz w:val="20"/>
        </w:rPr>
        <w:t>The Company’s other operating leases for items such as IT equipment and storage space are either short-term in nature or immaterial.</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October 2019, </w:t>
      </w:r>
      <w:r>
        <w:rPr>
          <w:rFonts w:ascii="Times New Roman;Times;serif" w:hAnsi="Times New Roman;Times;serif"/>
          <w:sz w:val="20"/>
        </w:rPr>
        <w:t>the Company received a new heavy-duty forklift under a 5-year finance lease arrangement with a financed amount of approximately $0.5 million and a monthly payment of approximately $9,000.</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The components of expense related to leases were as follows for the fiscal years ende</w:t>
      </w:r>
      <w:r>
        <w:rPr>
          <w:rFonts w:ascii="Times New Roman;Times;serif" w:hAnsi="Times New Roman;Times;serif"/>
          <w:sz w:val="20"/>
          <w:shd w:fill="FFFFFF" w:val="clear"/>
        </w:rPr>
        <w:t xml:space="preserve">d </w:t>
      </w:r>
      <w:r>
        <w:rPr>
          <w:rStyle w:val="Emphasis"/>
          <w:rFonts w:ascii="Times New Roman;Times;serif" w:hAnsi="Times New Roman;Times;serif"/>
          <w:sz w:val="20"/>
        </w:rPr>
        <w:t>March 31, 2023</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(in thousands):</w:t>
      </w:r>
    </w:p>
    <w:p>
      <w:pPr>
        <w:pStyle w:val="TextBody"/>
        <w:bidi w:val="0"/>
        <w:spacing w:before="0" w:after="0"/>
        <w:ind w:left="0" w:right="0" w:hanging="0"/>
        <w:jc w:val="left"/>
        <w:rPr/>
      </w:pPr>
      <w:r>
        <w:rPr/>
        <w:t> </w:t>
      </w:r>
    </w:p>
    <w:tbl>
      <w:tblPr>
        <w:tblW w:w="5698" w:type="dxa"/>
        <w:jc w:val="left"/>
        <w:tblInd w:w="0" w:type="dxa"/>
        <w:tblLayout w:type="fixed"/>
        <w:tblCellMar>
          <w:top w:w="0" w:type="dxa"/>
          <w:left w:w="0" w:type="dxa"/>
          <w:bottom w:w="0" w:type="dxa"/>
          <w:right w:w="0" w:type="dxa"/>
        </w:tblCellMar>
      </w:tblPr>
      <w:tblGrid>
        <w:gridCol w:w="3440"/>
        <w:gridCol w:w="60"/>
        <w:gridCol w:w="274"/>
        <w:gridCol w:w="735"/>
        <w:gridCol w:w="60"/>
        <w:gridCol w:w="60"/>
        <w:gridCol w:w="274"/>
        <w:gridCol w:w="735"/>
        <w:gridCol w:w="60"/>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2022</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 amortization of ROU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 interest on lease liability</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expense</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The following table illustrates the balance sheet classification for ROU assets and lease liabilities as o</w:t>
      </w:r>
      <w:r>
        <w:rPr>
          <w:rFonts w:ascii="Times New Roman;Times;serif" w:hAnsi="Times New Roman;Times;serif"/>
          <w:sz w:val="20"/>
          <w:shd w:fill="FFFFFF" w:val="clear"/>
        </w:rPr>
        <w:t xml:space="preserve">f </w:t>
      </w:r>
      <w:r>
        <w:rPr>
          <w:rStyle w:val="Emphasis"/>
          <w:rFonts w:ascii="Times New Roman;Times;serif" w:hAnsi="Times New Roman;Times;serif"/>
          <w:sz w:val="20"/>
        </w:rPr>
        <w:t>March 31, 2023</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(in thousands):</w:t>
      </w:r>
    </w:p>
    <w:p>
      <w:pPr>
        <w:pStyle w:val="TextBody"/>
        <w:bidi w:val="0"/>
        <w:spacing w:before="0" w:after="0"/>
        <w:ind w:left="0" w:right="0" w:hanging="0"/>
        <w:jc w:val="left"/>
        <w:rPr/>
      </w:pPr>
      <w:r>
        <w:rPr/>
        <w:t> </w:t>
      </w:r>
    </w:p>
    <w:tbl>
      <w:tblPr>
        <w:tblW w:w="8718" w:type="dxa"/>
        <w:jc w:val="left"/>
        <w:tblInd w:w="0" w:type="dxa"/>
        <w:tblLayout w:type="fixed"/>
        <w:tblCellMar>
          <w:top w:w="0" w:type="dxa"/>
          <w:left w:w="0" w:type="dxa"/>
          <w:bottom w:w="0" w:type="dxa"/>
          <w:right w:w="0" w:type="dxa"/>
        </w:tblCellMar>
      </w:tblPr>
      <w:tblGrid>
        <w:gridCol w:w="3020"/>
        <w:gridCol w:w="60"/>
        <w:gridCol w:w="274"/>
        <w:gridCol w:w="1065"/>
        <w:gridCol w:w="60"/>
        <w:gridCol w:w="60"/>
        <w:gridCol w:w="363"/>
        <w:gridCol w:w="976"/>
        <w:gridCol w:w="60"/>
        <w:gridCol w:w="278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 Classification</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ind w:left="360" w:right="0" w:hanging="0"/>
              <w:jc w:val="left"/>
              <w:rPr/>
            </w:pPr>
            <w:r>
              <w:rPr/>
              <w:t> </w:t>
            </w:r>
          </w:p>
        </w:tc>
      </w:tr>
      <w:tr>
        <w:trPr/>
        <w:tc>
          <w:tcPr>
            <w:tcW w:w="30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360" w:right="0" w:hanging="0"/>
              <w:jc w:val="center"/>
              <w:rPr/>
            </w:pPr>
            <w:r>
              <w:rPr>
                <w:rStyle w:val="Emphasis"/>
                <w:rFonts w:ascii="Times New Roman" w:hAnsi="Times New Roman"/>
                <w:caps w:val="false"/>
                <w:smallCaps w:val="false"/>
                <w:sz w:val="20"/>
              </w:rPr>
              <w:t>Operating lease right-of-use asset</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Finance lease right-of-use asset</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60" w:type="dxa"/>
            <w:tcBorders/>
            <w:shd w:fill="CCEEFF" w:val="clear"/>
            <w:vAlign w:val="center"/>
          </w:tcPr>
          <w:p>
            <w:pPr>
              <w:pStyle w:val="TableContents"/>
              <w:bidi w:val="0"/>
              <w:spacing w:before="0" w:after="283"/>
              <w:ind w:left="0" w:right="0" w:hanging="0"/>
              <w:jc w:val="left"/>
              <w:rPr/>
            </w:pPr>
            <w:r>
              <w:rPr/>
              <w:t> </w:t>
            </w:r>
          </w:p>
        </w:tc>
        <w:tc>
          <w:tcPr>
            <w:tcW w:w="2780" w:type="dxa"/>
            <w:tcBorders/>
            <w:shd w:fill="CCEEFF" w:val="clear"/>
            <w:vAlign w:val="center"/>
          </w:tcPr>
          <w:p>
            <w:pPr>
              <w:pStyle w:val="TableContents"/>
              <w:bidi w:val="0"/>
              <w:spacing w:before="0" w:after="0"/>
              <w:ind w:left="720" w:right="0" w:hanging="0"/>
              <w:jc w:val="center"/>
              <w:rPr/>
            </w:pPr>
            <w:r>
              <w:rPr>
                <w:rStyle w:val="Emphasis"/>
                <w:rFonts w:ascii="Times New Roman" w:hAnsi="Times New Roman"/>
                <w:caps w:val="false"/>
                <w:smallCaps w:val="false"/>
                <w:sz w:val="20"/>
              </w:rPr>
              <w:t>Property, plant &amp; equipment</w:t>
            </w:r>
          </w:p>
        </w:tc>
      </w:tr>
      <w:tr>
        <w:trPr/>
        <w:tc>
          <w:tcPr>
            <w:tcW w:w="302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w:t>
            </w:r>
          </w:p>
        </w:tc>
        <w:tc>
          <w:tcPr>
            <w:tcW w:w="60" w:type="dxa"/>
            <w:tcBorders/>
            <w:shd w:fill="FFFFFF" w:val="clear"/>
            <w:vAlign w:val="center"/>
          </w:tcPr>
          <w:p>
            <w:pPr>
              <w:pStyle w:val="TableContents"/>
              <w:bidi w:val="0"/>
              <w:spacing w:before="0" w:after="283"/>
              <w:jc w:val="left"/>
              <w:rPr/>
            </w:pPr>
            <w:r>
              <w:rPr/>
              <w:t> </w:t>
            </w:r>
          </w:p>
        </w:tc>
        <w:tc>
          <w:tcPr>
            <w:tcW w:w="2780" w:type="dxa"/>
            <w:tcBorders/>
            <w:shd w:fill="FFFFFF" w:val="clear"/>
            <w:vAlign w:val="center"/>
          </w:tcPr>
          <w:p>
            <w:pPr>
              <w:pStyle w:val="TableContents"/>
              <w:bidi w:val="0"/>
              <w:spacing w:before="0" w:after="283"/>
              <w:jc w:val="left"/>
              <w:rPr/>
            </w:pPr>
            <w:r>
              <w:rPr>
                <w:rStyle w:val="Emphasis"/>
              </w:rPr>
              <w:t> </w:t>
            </w:r>
          </w:p>
        </w:tc>
      </w:tr>
      <w:tr>
        <w:trPr/>
        <w:tc>
          <w:tcPr>
            <w:tcW w:w="3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0" w:type="dxa"/>
            <w:tcBorders/>
            <w:shd w:fill="FFFFFF" w:val="clear"/>
            <w:vAlign w:val="center"/>
          </w:tcPr>
          <w:p>
            <w:pPr>
              <w:pStyle w:val="TableContents"/>
              <w:bidi w:val="0"/>
              <w:spacing w:before="0" w:after="283"/>
              <w:ind w:left="360" w:right="0" w:hanging="0"/>
              <w:jc w:val="left"/>
              <w:rPr/>
            </w:pPr>
            <w:r>
              <w:rPr/>
              <w:t> </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60" w:type="dxa"/>
            <w:tcBorders/>
            <w:shd w:fill="CCEEFF" w:val="clear"/>
            <w:vAlign w:val="center"/>
          </w:tcPr>
          <w:p>
            <w:pPr>
              <w:pStyle w:val="TableContents"/>
              <w:bidi w:val="0"/>
              <w:spacing w:before="0" w:after="283"/>
              <w:ind w:left="0" w:right="0" w:hanging="0"/>
              <w:jc w:val="left"/>
              <w:rPr/>
            </w:pPr>
            <w:r>
              <w:rPr/>
              <w:t> </w:t>
            </w:r>
          </w:p>
        </w:tc>
        <w:tc>
          <w:tcPr>
            <w:tcW w:w="2780" w:type="dxa"/>
            <w:tcBorders/>
            <w:shd w:fill="CCEEFF" w:val="clear"/>
            <w:vAlign w:val="center"/>
          </w:tcPr>
          <w:p>
            <w:pPr>
              <w:pStyle w:val="TableContents"/>
              <w:bidi w:val="0"/>
              <w:spacing w:before="0" w:after="0"/>
              <w:ind w:left="360" w:right="0" w:hanging="0"/>
              <w:jc w:val="center"/>
              <w:rPr/>
            </w:pPr>
            <w:r>
              <w:rPr>
                <w:rStyle w:val="Emphasis"/>
                <w:rFonts w:ascii="Times New Roman" w:hAnsi="Times New Roman"/>
                <w:caps w:val="false"/>
                <w:smallCaps w:val="false"/>
                <w:sz w:val="20"/>
              </w:rPr>
              <w:t>Accrued expenses</w:t>
            </w:r>
          </w:p>
        </w:tc>
      </w:tr>
      <w:tr>
        <w:trPr/>
        <w:tc>
          <w:tcPr>
            <w:tcW w:w="30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Finance lease liability, current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360" w:right="0" w:hanging="0"/>
              <w:jc w:val="center"/>
              <w:rPr/>
            </w:pPr>
            <w:r>
              <w:rPr>
                <w:rStyle w:val="Emphasis"/>
                <w:rFonts w:ascii="Times New Roman" w:hAnsi="Times New Roman"/>
                <w:caps w:val="false"/>
                <w:smallCaps w:val="false"/>
                <w:sz w:val="20"/>
              </w:rPr>
              <w:t>Current portion of finance lease</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60" w:type="dxa"/>
            <w:tcBorders/>
            <w:shd w:fill="CCEEFF" w:val="clear"/>
            <w:vAlign w:val="center"/>
          </w:tcPr>
          <w:p>
            <w:pPr>
              <w:pStyle w:val="TableContents"/>
              <w:bidi w:val="0"/>
              <w:spacing w:before="0" w:after="283"/>
              <w:ind w:left="0" w:right="0" w:hanging="0"/>
              <w:jc w:val="left"/>
              <w:rPr/>
            </w:pPr>
            <w:r>
              <w:rPr/>
              <w:t> </w:t>
            </w:r>
          </w:p>
        </w:tc>
        <w:tc>
          <w:tcPr>
            <w:tcW w:w="2780" w:type="dxa"/>
            <w:tcBorders/>
            <w:shd w:fill="CCEEFF" w:val="clear"/>
            <w:vAlign w:val="center"/>
          </w:tcPr>
          <w:p>
            <w:pPr>
              <w:pStyle w:val="TableContents"/>
              <w:bidi w:val="0"/>
              <w:spacing w:before="0" w:after="0"/>
              <w:ind w:left="360" w:right="0" w:hanging="0"/>
              <w:jc w:val="center"/>
              <w:rPr/>
            </w:pPr>
            <w:r>
              <w:rPr>
                <w:rStyle w:val="Emphasis"/>
                <w:rFonts w:ascii="Times New Roman" w:hAnsi="Times New Roman"/>
                <w:caps w:val="false"/>
                <w:smallCaps w:val="false"/>
                <w:sz w:val="20"/>
              </w:rPr>
              <w:t>Other non-current liabilities</w:t>
            </w:r>
          </w:p>
        </w:tc>
      </w:tr>
      <w:tr>
        <w:trPr/>
        <w:tc>
          <w:tcPr>
            <w:tcW w:w="30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Finance lease liability, non-current</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720" w:right="0" w:hanging="0"/>
              <w:jc w:val="center"/>
              <w:rPr/>
            </w:pPr>
            <w:r>
              <w:rPr>
                <w:rStyle w:val="Emphasis"/>
                <w:rFonts w:ascii="Times New Roman" w:hAnsi="Times New Roman"/>
                <w:caps w:val="false"/>
                <w:smallCaps w:val="false"/>
                <w:sz w:val="20"/>
              </w:rPr>
              <w:t>Other non-current liabilities</w:t>
            </w:r>
          </w:p>
        </w:tc>
      </w:tr>
      <w:tr>
        <w:trPr/>
        <w:tc>
          <w:tcPr>
            <w:tcW w:w="302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As </w:t>
      </w:r>
      <w:r>
        <w:rPr>
          <w:rFonts w:ascii="Times New Roman;Times;serif" w:hAnsi="Times New Roman;Times;serif"/>
          <w:sz w:val="20"/>
          <w:shd w:fill="FFFFFF" w:val="clear"/>
        </w:rPr>
        <w:t xml:space="preserve">of </w:t>
      </w:r>
      <w:r>
        <w:rPr>
          <w:rStyle w:val="Emphasis"/>
          <w:rFonts w:ascii="Times New Roman;Times;serif" w:hAnsi="Times New Roman;Times;serif"/>
          <w:sz w:val="20"/>
        </w:rPr>
        <w:t>March 31, 2023</w:t>
      </w:r>
      <w:r>
        <w:rPr>
          <w:rFonts w:ascii="Times New Roman;Times;serif" w:hAnsi="Times New Roman;Times;serif"/>
          <w:sz w:val="20"/>
          <w:shd w:fill="FFFFFF" w:val="clear"/>
        </w:rPr>
        <w:t>, t</w:t>
      </w:r>
      <w:r>
        <w:rPr>
          <w:rFonts w:ascii="Times New Roman;Times;serif" w:hAnsi="Times New Roman;Times;serif"/>
          <w:sz w:val="20"/>
        </w:rPr>
        <w:t>he weighted-average remaining lease term was 19.3 years for operating leases and 1.5 years for finance leases. The weighted average discount rate was 2.7% for operating leases and 1.9% for finance leases.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Maturities of lease liabilities as </w:t>
      </w:r>
      <w:r>
        <w:rPr>
          <w:rFonts w:ascii="Times New Roman;Times;serif" w:hAnsi="Times New Roman;Times;serif"/>
          <w:sz w:val="20"/>
          <w:shd w:fill="FFFFFF" w:val="clear"/>
        </w:rPr>
        <w:t xml:space="preserve">of </w:t>
      </w:r>
      <w:r>
        <w:rPr>
          <w:rStyle w:val="Emphasis"/>
          <w:rFonts w:ascii="Times New Roman;Times;serif" w:hAnsi="Times New Roman;Times;serif"/>
          <w:sz w:val="20"/>
        </w:rPr>
        <w:t>March 31, 2023</w:t>
      </w:r>
      <w:r>
        <w:rPr>
          <w:rFonts w:ascii="Times New Roman;Times;serif" w:hAnsi="Times New Roman;Times;serif"/>
          <w:sz w:val="20"/>
        </w:rPr>
        <w:t>were as follows (in thousands):</w:t>
      </w:r>
    </w:p>
    <w:p>
      <w:pPr>
        <w:pStyle w:val="TextBody"/>
        <w:bidi w:val="0"/>
        <w:spacing w:before="0" w:after="0"/>
        <w:ind w:left="0" w:right="0" w:firstLine="490"/>
        <w:jc w:val="both"/>
        <w:rPr/>
      </w:pPr>
      <w:r>
        <w:rPr/>
        <w:t> </w:t>
      </w:r>
    </w:p>
    <w:tbl>
      <w:tblPr>
        <w:tblW w:w="4735" w:type="dxa"/>
        <w:jc w:val="left"/>
        <w:tblInd w:w="0" w:type="dxa"/>
        <w:tblLayout w:type="fixed"/>
        <w:tblCellMar>
          <w:top w:w="0" w:type="dxa"/>
          <w:left w:w="0" w:type="dxa"/>
          <w:bottom w:w="0" w:type="dxa"/>
          <w:right w:w="0" w:type="dxa"/>
        </w:tblCellMar>
      </w:tblPr>
      <w:tblGrid>
        <w:gridCol w:w="2885"/>
        <w:gridCol w:w="60"/>
        <w:gridCol w:w="176"/>
        <w:gridCol w:w="684"/>
        <w:gridCol w:w="80"/>
        <w:gridCol w:w="60"/>
        <w:gridCol w:w="192"/>
        <w:gridCol w:w="518"/>
        <w:gridCol w:w="8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Finance</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2024</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2025</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2026</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2028 and beyond</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undiscounted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Present value of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PROPERTY, PLANT AND EQUIPMENT</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25, 2021, </w:t>
      </w:r>
      <w:r>
        <w:rPr>
          <w:rFonts w:ascii="Times New Roman" w:hAnsi="Times New Roman"/>
          <w:caps w:val="false"/>
          <w:smallCaps w:val="false"/>
          <w:sz w:val="20"/>
        </w:rPr>
        <w:t xml:space="preserve">the Company announced plans for a new facility in Sinton, Texas that would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with an annual rental payment of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facility is equipped with a stretcher leveler cut-to-length line that is capable of handling material up to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thick, widths up to </w:t>
      </w:r>
      <w:r>
        <w:rPr>
          <w:rStyle w:val="Emphasis"/>
          <w:rFonts w:ascii="Times New Roman" w:hAnsi="Times New Roman"/>
          <w:caps w:val="false"/>
          <w:smallCaps w:val="false"/>
          <w:sz w:val="20"/>
        </w:rPr>
        <w:t>96”</w:t>
      </w:r>
      <w:r>
        <w:rPr>
          <w:rFonts w:ascii="Times New Roman" w:hAnsi="Times New Roman"/>
          <w:caps w:val="false"/>
          <w:smallCaps w:val="false"/>
          <w:sz w:val="20"/>
        </w:rPr>
        <w:t xml:space="preserve"> and yields exceeding </w:t>
      </w:r>
      <w:r>
        <w:rPr>
          <w:rStyle w:val="Emphasis"/>
          <w:rFonts w:ascii="Times New Roman" w:hAnsi="Times New Roman"/>
          <w:caps w:val="false"/>
          <w:smallCaps w:val="false"/>
          <w:sz w:val="20"/>
        </w:rPr>
        <w:t>100,000</w:t>
      </w:r>
      <w:r>
        <w:rPr>
          <w:rFonts w:ascii="Times New Roman" w:hAnsi="Times New Roman"/>
          <w:caps w:val="false"/>
          <w:smallCaps w:val="false"/>
          <w:sz w:val="20"/>
        </w:rPr>
        <w:t xml:space="preserve"> psi. The Company put the facility into service at the end of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at a total completed cost of approximately $22.2 million.</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During</w:t>
      </w:r>
      <w:r>
        <w:rPr>
          <w:rFonts w:ascii="Times New Roman" w:hAnsi="Times New Roman"/>
          <w:caps w:val="false"/>
          <w:smallCaps w:val="false"/>
          <w:sz w:val="20"/>
          <w:shd w:fill="FFFFFF" w:val="clear"/>
        </w:rPr>
        <w:t xml:space="preserve"> the </w:t>
      </w:r>
      <w:r>
        <w:rPr>
          <w:rStyle w:val="Emphasis"/>
          <w:rFonts w:ascii="Times New Roman" w:hAnsi="Times New Roman"/>
          <w:caps w:val="false"/>
          <w:smallCaps w:val="false"/>
          <w:sz w:val="20"/>
          <w:shd w:fill="FFFFFF" w:val="clear"/>
        </w:rPr>
        <w:t>twelve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March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the Company wrote off fully depreciated fixed assets that were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longer in use with an original cost and accumulated depreciation of approximately $2.1 million. During the </w:t>
      </w:r>
      <w:r>
        <w:rPr>
          <w:rStyle w:val="Emphasis"/>
          <w:rFonts w:ascii="Times New Roman" w:hAnsi="Times New Roman"/>
          <w:caps w:val="false"/>
          <w:smallCaps w:val="false"/>
          <w:sz w:val="20"/>
          <w:shd w:fill="FFFFFF" w:val="clear"/>
        </w:rPr>
        <w:t>twelve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March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the Company disposed of equipment that was removed from its Decatur facility and received approximately $0.2 million in proceeds from the disposal of the equipment which had an original cost of approximately $3.6 million and accumulated depreciation of approximately $3.4 million. </w:t>
      </w: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did not write off or dispose of any fixed assets.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Depreciation expense was approximately</w:t>
      </w:r>
      <w:r>
        <w:rPr>
          <w:rFonts w:ascii="Times New Roman" w:hAnsi="Times New Roman"/>
          <w:caps w:val="false"/>
          <w:smallCaps w:val="false"/>
          <w:sz w:val="20"/>
        </w:rPr>
        <w:t xml:space="preserve"> $2.5 million </w:t>
      </w:r>
      <w:r>
        <w:rPr>
          <w:rFonts w:ascii="Times New Roman" w:hAnsi="Times New Roman"/>
          <w:caps w:val="false"/>
          <w:smallCaps w:val="false"/>
          <w:sz w:val="20"/>
          <w:shd w:fill="FFFFFF" w:val="clear"/>
        </w:rPr>
        <w:t xml:space="preserve">and $1.3 million for fiscal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and fiscal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respectively.</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From time to time, we expect to utilize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 Derivatives and Hedging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By using derivatives, the Company is exposed to credit and market risk. The Company’s exposure to credit risk includes the counterparty’s failure to fulfill its performance obligations under the terms of the derivative contract. The Company </w:t>
      </w:r>
      <w:r>
        <w:rPr>
          <w:rFonts w:ascii="Times New Roman" w:hAnsi="Times New Roman"/>
          <w:caps w:val="false"/>
          <w:smallCaps w:val="false"/>
          <w:sz w:val="20"/>
          <w:shd w:fill="FFFFFF" w:val="clear"/>
        </w:rPr>
        <w:t>attempts to minimize</w:t>
      </w:r>
      <w:r>
        <w:rPr>
          <w:rFonts w:ascii="Times New Roman" w:hAnsi="Times New Roman"/>
          <w:caps w:val="false"/>
          <w:smallCaps w:val="false"/>
          <w:sz w:val="20"/>
        </w:rPr>
        <w:t>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From time to time, derivatives designated for hedge accounting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If it is determined that hedged transactions associated with cash flow hedges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of occurring, the gain or loss associated with the instrument is recognized immediately into earnings.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From time to time,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derivative financial instruments for which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elect hedge accounting.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The Company has forward physical purchase supply agreements in place for a portion of its monthly physical steel needs. These supply agreements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mark-to-market accounting due to the Company electing the normal purchase normal sale exclusion provided in ASC </w:t>
      </w:r>
      <w:r>
        <w:rPr>
          <w:rStyle w:val="Emphasis"/>
          <w:rFonts w:ascii="Times New Roman" w:hAnsi="Times New Roman"/>
          <w:caps w:val="false"/>
          <w:smallCaps w:val="false"/>
          <w:sz w:val="20"/>
        </w:rPr>
        <w:t>815.</w:t>
      </w:r>
      <w:r>
        <w:rPr>
          <w:rFonts w:ascii="Times New Roman" w:hAnsi="Times New Roman"/>
          <w:caps w:val="false"/>
          <w:smallCaps w:val="false"/>
          <w:sz w:val="2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entered into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some of the Company's cash flow hedges were closed prior to expiration but the hedged transactions were still expected to occur as originally forecasted resulting in the realized gain or loss being deferred in other comprehensive income until the hedged transactions occur and affect earnings. At </w:t>
      </w:r>
      <w:r>
        <w:rPr>
          <w:rStyle w:val="Emphasis"/>
          <w:rFonts w:ascii="Times New Roman" w:hAnsi="Times New Roman"/>
          <w:caps w:val="false"/>
          <w:smallCaps w:val="false"/>
          <w:sz w:val="20"/>
        </w:rPr>
        <w:t xml:space="preserve">September 30, 2021, </w:t>
      </w:r>
      <w:r>
        <w:rPr>
          <w:rFonts w:ascii="Times New Roman" w:hAnsi="Times New Roman"/>
          <w:caps w:val="false"/>
          <w:smallCaps w:val="false"/>
          <w:sz w:val="20"/>
        </w:rPr>
        <w:t xml:space="preserve">the Company removed some derivative instruments from hedge accounting due to the hedged transactions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being expected to occur. This was the result of the Company reducing its forecasted sales for the quarter ending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due to anticipated customer reaction to a historic increase in steel prices reaching its peak and then starting to decline. Since these hedged sales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expected to occur, a loss of approximately $9.9 million associated with these instruments was immediately recognized into earnings 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reported as a component of “Gain (loss) on economic hedges of risk”.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also entered into hot-rolled coil futures contracts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for accounting purposes. Accordingly, the change in fair value related to these instruments was immediately recognized in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 w:hAnsi="Times New Roman"/>
          <w:caps w:val="false"/>
          <w:smallCaps w:val="false"/>
          <w:sz w:val="20"/>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7"/>
        <w:gridCol w:w="2373"/>
        <w:gridCol w:w="60"/>
        <w:gridCol w:w="221"/>
        <w:gridCol w:w="600"/>
        <w:gridCol w:w="60"/>
        <w:gridCol w:w="2504"/>
        <w:gridCol w:w="60"/>
        <w:gridCol w:w="173"/>
        <w:gridCol w:w="674"/>
        <w:gridCol w:w="63"/>
      </w:tblGrid>
      <w:tr>
        <w:trPr/>
        <w:tc>
          <w:tcPr>
            <w:tcW w:w="3417" w:type="dxa"/>
            <w:tcBorders/>
            <w:shd w:fill="FFFFFF" w:val="clear"/>
            <w:vAlign w:val="center"/>
          </w:tcPr>
          <w:p>
            <w:pPr>
              <w:pStyle w:val="TableContents"/>
              <w:bidi w:val="0"/>
              <w:spacing w:before="0" w:after="283"/>
              <w:ind w:left="0" w:right="0" w:hanging="0"/>
              <w:jc w:val="left"/>
              <w:rPr/>
            </w:pPr>
            <w:r>
              <w:rPr/>
              <w:t> </w:t>
            </w:r>
          </w:p>
        </w:tc>
        <w:tc>
          <w:tcPr>
            <w:tcW w:w="3254"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411"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Liability Derivatives</w:t>
            </w:r>
          </w:p>
        </w:tc>
        <w:tc>
          <w:tcPr>
            <w:tcW w:w="63" w:type="dxa"/>
            <w:tcBorders/>
            <w:shd w:fill="FFFFFF" w:val="clear"/>
            <w:vAlign w:val="center"/>
          </w:tcPr>
          <w:p>
            <w:pPr>
              <w:pStyle w:val="TableContents"/>
              <w:bidi w:val="0"/>
              <w:spacing w:before="0" w:after="283"/>
              <w:jc w:val="left"/>
              <w:rPr/>
            </w:pPr>
            <w:r>
              <w:rPr/>
              <w:t> </w:t>
            </w:r>
          </w:p>
        </w:tc>
      </w:tr>
      <w:tr>
        <w:trPr/>
        <w:tc>
          <w:tcPr>
            <w:tcW w:w="3417" w:type="dxa"/>
            <w:tcBorders/>
            <w:shd w:fill="FFFFFF" w:val="clear"/>
            <w:vAlign w:val="center"/>
          </w:tcPr>
          <w:p>
            <w:pPr>
              <w:pStyle w:val="TableContents"/>
              <w:bidi w:val="0"/>
              <w:spacing w:before="0" w:after="283"/>
              <w:ind w:left="0" w:right="0" w:hanging="0"/>
              <w:jc w:val="left"/>
              <w:rPr/>
            </w:pPr>
            <w:r>
              <w:rPr/>
              <w:t> </w:t>
            </w:r>
          </w:p>
        </w:tc>
        <w:tc>
          <w:tcPr>
            <w:tcW w:w="2373"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4"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417" w:type="dxa"/>
            <w:tcBorders/>
            <w:shd w:fill="FFFF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Derivatives not designated as hedging instruments:</w:t>
            </w:r>
          </w:p>
        </w:tc>
        <w:tc>
          <w:tcPr>
            <w:tcW w:w="237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504"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3" w:type="dxa"/>
            <w:tcBorders/>
            <w:shd w:fill="FFFFFF" w:val="clear"/>
            <w:vAlign w:val="center"/>
          </w:tcPr>
          <w:p>
            <w:pPr>
              <w:pStyle w:val="TableContents"/>
              <w:bidi w:val="0"/>
              <w:spacing w:before="0" w:after="283"/>
              <w:jc w:val="left"/>
              <w:rPr/>
            </w:pPr>
            <w:r>
              <w:rPr/>
              <w:t> </w:t>
            </w:r>
          </w:p>
        </w:tc>
      </w:tr>
      <w:tr>
        <w:trPr/>
        <w:tc>
          <w:tcPr>
            <w:tcW w:w="34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Hot-rolled coil steel contracts</w:t>
            </w:r>
          </w:p>
        </w:tc>
        <w:tc>
          <w:tcPr>
            <w:tcW w:w="2373"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Current portion of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w:t>
            </w:r>
          </w:p>
        </w:tc>
        <w:tc>
          <w:tcPr>
            <w:tcW w:w="60" w:type="dxa"/>
            <w:tcBorders/>
            <w:shd w:fill="CCEEFF" w:val="clear"/>
            <w:vAlign w:val="center"/>
          </w:tcPr>
          <w:p>
            <w:pPr>
              <w:pStyle w:val="TableContents"/>
              <w:bidi w:val="0"/>
              <w:spacing w:before="0" w:after="283"/>
              <w:ind w:left="0" w:right="0" w:hanging="0"/>
              <w:jc w:val="left"/>
              <w:rPr/>
            </w:pPr>
            <w:r>
              <w:rPr/>
              <w:t> </w:t>
            </w:r>
          </w:p>
        </w:tc>
        <w:tc>
          <w:tcPr>
            <w:tcW w:w="2504"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Current portion of derivative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2,212</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thousands):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7"/>
        <w:gridCol w:w="2366"/>
        <w:gridCol w:w="60"/>
        <w:gridCol w:w="173"/>
        <w:gridCol w:w="673"/>
        <w:gridCol w:w="60"/>
        <w:gridCol w:w="2498"/>
        <w:gridCol w:w="60"/>
        <w:gridCol w:w="173"/>
        <w:gridCol w:w="673"/>
        <w:gridCol w:w="62"/>
      </w:tblGrid>
      <w:tr>
        <w:trPr/>
        <w:tc>
          <w:tcPr>
            <w:tcW w:w="3407" w:type="dxa"/>
            <w:tcBorders/>
            <w:shd w:fill="FFFFFF" w:val="clear"/>
            <w:vAlign w:val="center"/>
          </w:tcPr>
          <w:p>
            <w:pPr>
              <w:pStyle w:val="TableContents"/>
              <w:bidi w:val="0"/>
              <w:spacing w:before="0" w:after="283"/>
              <w:ind w:left="0" w:right="0" w:hanging="0"/>
              <w:jc w:val="left"/>
              <w:rPr/>
            </w:pPr>
            <w:r>
              <w:rPr/>
              <w:t> </w:t>
            </w:r>
          </w:p>
        </w:tc>
        <w:tc>
          <w:tcPr>
            <w:tcW w:w="3272" w:type="dxa"/>
            <w:gridSpan w:val="4"/>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404" w:type="dxa"/>
            <w:gridSpan w:val="4"/>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Liability Derivatives</w:t>
            </w:r>
          </w:p>
        </w:tc>
        <w:tc>
          <w:tcPr>
            <w:tcW w:w="62" w:type="dxa"/>
            <w:tcBorders/>
            <w:shd w:fill="FFFFFF" w:val="clear"/>
            <w:vAlign w:val="center"/>
          </w:tcPr>
          <w:p>
            <w:pPr>
              <w:pStyle w:val="TableContents"/>
              <w:bidi w:val="0"/>
              <w:spacing w:before="0" w:after="283"/>
              <w:jc w:val="left"/>
              <w:rPr/>
            </w:pPr>
            <w:r>
              <w:rPr/>
              <w:t> </w:t>
            </w:r>
          </w:p>
        </w:tc>
      </w:tr>
      <w:tr>
        <w:trPr/>
        <w:tc>
          <w:tcPr>
            <w:tcW w:w="3407" w:type="dxa"/>
            <w:tcBorders/>
            <w:shd w:fill="FFFFFF" w:val="clear"/>
            <w:vAlign w:val="center"/>
          </w:tcPr>
          <w:p>
            <w:pPr>
              <w:pStyle w:val="TableContents"/>
              <w:bidi w:val="0"/>
              <w:spacing w:before="0" w:after="283"/>
              <w:ind w:left="0" w:right="0" w:hanging="0"/>
              <w:jc w:val="left"/>
              <w:rPr/>
            </w:pPr>
            <w:r>
              <w:rPr/>
              <w:t> </w:t>
            </w:r>
          </w:p>
        </w:tc>
        <w:tc>
          <w:tcPr>
            <w:tcW w:w="2366"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340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Derivatives designated as cash flow hedges:</w:t>
            </w:r>
          </w:p>
        </w:tc>
        <w:tc>
          <w:tcPr>
            <w:tcW w:w="236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34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 hedging sales</w:t>
            </w:r>
          </w:p>
        </w:tc>
        <w:tc>
          <w:tcPr>
            <w:tcW w:w="2366" w:type="dxa"/>
            <w:tcBorders/>
            <w:shd w:fill="CCEEFF" w:val="clear"/>
            <w:vAlign w:val="center"/>
          </w:tcPr>
          <w:p>
            <w:pPr>
              <w:pStyle w:val="TableContents"/>
              <w:bidi w:val="0"/>
              <w:spacing w:before="0" w:after="0"/>
              <w:ind w:left="0" w:right="0" w:hanging="0"/>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ind w:left="0" w:right="0" w:hanging="0"/>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498" w:type="dxa"/>
            <w:tcBorders/>
            <w:shd w:fill="CCEEFF" w:val="clear"/>
            <w:vAlign w:val="center"/>
          </w:tcPr>
          <w:p>
            <w:pPr>
              <w:pStyle w:val="TableContents"/>
              <w:bidi w:val="0"/>
              <w:spacing w:before="0" w:after="283"/>
              <w:jc w:val="left"/>
              <w:rPr/>
            </w:pPr>
            <w:r>
              <w:rPr>
                <w:rStyle w:val="Emphasis"/>
                <w:rFonts w:ascii="Times New Roman" w:hAnsi="Times New Roman"/>
                <w:sz w:val="20"/>
              </w:rPr>
              <w:t>Current portion of derivative liability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8,905</w:t>
            </w:r>
          </w:p>
        </w:tc>
        <w:tc>
          <w:tcPr>
            <w:tcW w:w="62" w:type="dxa"/>
            <w:tcBorders/>
            <w:shd w:fill="CCEEFF" w:val="clear"/>
            <w:vAlign w:val="center"/>
          </w:tcPr>
          <w:p>
            <w:pPr>
              <w:pStyle w:val="TableContents"/>
              <w:bidi w:val="0"/>
              <w:spacing w:before="0" w:after="283"/>
              <w:jc w:val="left"/>
              <w:rPr/>
            </w:pPr>
            <w:r>
              <w:rPr/>
              <w:t> </w:t>
            </w:r>
          </w:p>
        </w:tc>
      </w:tr>
      <w:tr>
        <w:trPr/>
        <w:tc>
          <w:tcPr>
            <w:tcW w:w="3407" w:type="dxa"/>
            <w:tcBorders/>
            <w:shd w:fill="FFFFFF" w:val="clear"/>
            <w:vAlign w:val="center"/>
          </w:tcPr>
          <w:p>
            <w:pPr>
              <w:pStyle w:val="TableContents"/>
              <w:bidi w:val="0"/>
              <w:spacing w:before="0" w:after="283"/>
              <w:jc w:val="left"/>
              <w:rPr/>
            </w:pPr>
            <w:r>
              <w:rPr/>
              <w:t> </w:t>
            </w:r>
          </w:p>
        </w:tc>
        <w:tc>
          <w:tcPr>
            <w:tcW w:w="2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340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Derivatives not designated as hedging instruments:</w:t>
            </w:r>
          </w:p>
        </w:tc>
        <w:tc>
          <w:tcPr>
            <w:tcW w:w="23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34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Hot-rolled coil steel contracts</w:t>
            </w:r>
          </w:p>
        </w:tc>
        <w:tc>
          <w:tcPr>
            <w:tcW w:w="2366"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Current portion of derivative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4,241</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Current portion of derivative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5,524</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derivatives are presented on a gross basis on the Consolidated Balance Sheet.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the Company reported approximately $1.6 million in "Other current assets" on its Consolidated Balance Sheet related to futures contracts for the month of </w:t>
      </w:r>
      <w:r>
        <w:rPr>
          <w:rStyle w:val="Emphasis"/>
          <w:rFonts w:ascii="Times New Roman" w:hAnsi="Times New Roman"/>
          <w:caps w:val="false"/>
          <w:smallCaps w:val="false"/>
          <w:sz w:val="20"/>
        </w:rPr>
        <w:t>March 2023 </w:t>
      </w:r>
      <w:r>
        <w:rPr>
          <w:rFonts w:ascii="Times New Roman" w:hAnsi="Times New Roman"/>
          <w:caps w:val="false"/>
          <w:smallCaps w:val="false"/>
          <w:sz w:val="20"/>
        </w:rPr>
        <w:t xml:space="preserve">that had reached expiration but were pending cash settlement. At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Company reported approximately $0.9 million in "Other current assets" on its Consolidated Balance Sheet related to futures contracts for the month of </w:t>
      </w:r>
      <w:r>
        <w:rPr>
          <w:rStyle w:val="Emphasis"/>
          <w:rFonts w:ascii="Times New Roman" w:hAnsi="Times New Roman"/>
          <w:caps w:val="false"/>
          <w:smallCaps w:val="false"/>
          <w:sz w:val="20"/>
        </w:rPr>
        <w:t>March 2022 </w:t>
      </w:r>
      <w:r>
        <w:rPr>
          <w:rFonts w:ascii="Times New Roman" w:hAnsi="Times New Roman"/>
          <w:caps w:val="false"/>
          <w:smallCaps w:val="false"/>
          <w:sz w:val="20"/>
        </w:rPr>
        <w:t>that had reached expiration but were pending cash settlement.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pP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open cash flow hedges at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The following table summarizes the pre-tax gain (loss) recognized in other comprehensive income and the gain (loss) reclassified from accumulated other comprehensive income into earnings for derivative financial instruments designated as cash flow hedges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9088" w:type="dxa"/>
        <w:jc w:val="left"/>
        <w:tblInd w:w="0" w:type="dxa"/>
        <w:tblLayout w:type="fixed"/>
        <w:tblCellMar>
          <w:top w:w="0" w:type="dxa"/>
          <w:left w:w="0" w:type="dxa"/>
          <w:bottom w:w="0" w:type="dxa"/>
          <w:right w:w="0" w:type="dxa"/>
        </w:tblCellMar>
      </w:tblPr>
      <w:tblGrid>
        <w:gridCol w:w="3695"/>
        <w:gridCol w:w="60"/>
        <w:gridCol w:w="254"/>
        <w:gridCol w:w="1325"/>
        <w:gridCol w:w="80"/>
        <w:gridCol w:w="1970"/>
        <w:gridCol w:w="60"/>
        <w:gridCol w:w="252"/>
        <w:gridCol w:w="1312"/>
        <w:gridCol w:w="8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ind w:left="0" w:right="0" w:hanging="0"/>
              <w:jc w:val="left"/>
              <w:rPr/>
            </w:pPr>
            <w:r>
              <w:rPr/>
              <w:t> </w:t>
            </w:r>
          </w:p>
        </w:tc>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564" w:type="dxa"/>
            <w:gridSpan w:val="2"/>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Pre- Tax Gain</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2"/>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ind w:left="0" w:right="0" w:hanging="0"/>
              <w:jc w:val="left"/>
              <w:rPr/>
            </w:pPr>
            <w:r>
              <w:rPr/>
              <w:t> </w:t>
            </w:r>
          </w:p>
        </w:tc>
        <w:tc>
          <w:tcPr>
            <w:tcW w:w="1970" w:type="dxa"/>
            <w:tcBorders/>
            <w:vAlign w:val="center"/>
          </w:tcPr>
          <w:p>
            <w:pPr>
              <w:pStyle w:val="TableContents"/>
              <w:bidi w:val="0"/>
              <w:spacing w:before="0" w:after="283"/>
              <w:jc w:val="center"/>
              <w:rPr/>
            </w:pPr>
            <w:r>
              <w:rPr>
                <w:rStyle w:val="Emphasis"/>
                <w:rFonts w:ascii="Times New Roman" w:hAnsi="Times New Roman"/>
                <w:b/>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1564" w:type="dxa"/>
            <w:gridSpan w:val="2"/>
            <w:tcBorders/>
            <w:vAlign w:val="center"/>
          </w:tcPr>
          <w:p>
            <w:pPr>
              <w:pStyle w:val="TableContents"/>
              <w:bidi w:val="0"/>
              <w:spacing w:before="0" w:after="283"/>
              <w:jc w:val="center"/>
              <w:rPr/>
            </w:pPr>
            <w:r>
              <w:rPr>
                <w:rStyle w:val="Emphasis"/>
                <w:rFonts w:ascii="Times New Roman" w:hAnsi="Times New Roman"/>
                <w:b/>
                <w:sz w:val="20"/>
              </w:rPr>
              <w:t>(Loss) Reclassified</w:t>
            </w:r>
          </w:p>
        </w:tc>
        <w:tc>
          <w:tcPr>
            <w:tcW w:w="80" w:type="dxa"/>
            <w:tcBorders/>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Pre-Tax Gain</w:t>
            </w:r>
          </w:p>
        </w:tc>
        <w:tc>
          <w:tcPr>
            <w:tcW w:w="80" w:type="dxa"/>
            <w:tcBorders/>
            <w:shd w:fill="FFFFFF" w:val="clear"/>
            <w:vAlign w:val="center"/>
          </w:tcPr>
          <w:p>
            <w:pPr>
              <w:pStyle w:val="TableContents"/>
              <w:bidi w:val="0"/>
              <w:spacing w:before="0" w:after="283"/>
              <w:ind w:left="0" w:right="0" w:hanging="0"/>
              <w:jc w:val="left"/>
              <w:rPr/>
            </w:pPr>
            <w:r>
              <w:rPr/>
              <w:t> </w:t>
            </w:r>
          </w:p>
        </w:tc>
        <w:tc>
          <w:tcPr>
            <w:tcW w:w="1970" w:type="dxa"/>
            <w:tcBorders/>
            <w:shd w:fill="FFFFFF" w:val="clear"/>
            <w:vAlign w:val="center"/>
          </w:tcPr>
          <w:p>
            <w:pPr>
              <w:pStyle w:val="TableContents"/>
              <w:bidi w:val="0"/>
              <w:spacing w:before="0" w:after="283"/>
              <w:jc w:val="center"/>
              <w:rPr/>
            </w:pPr>
            <w:r>
              <w:rPr>
                <w:rStyle w:val="Emphasis"/>
                <w:rFonts w:ascii="Times New Roman" w:hAnsi="Times New Roman"/>
                <w:b/>
                <w:sz w:val="20"/>
              </w:rPr>
              <w:t>Reclassified</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from</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ind w:left="0" w:right="0" w:hanging="0"/>
              <w:jc w:val="left"/>
              <w:rPr/>
            </w:pPr>
            <w:r>
              <w:rPr/>
              <w:t> </w:t>
            </w:r>
          </w:p>
        </w:tc>
        <w:tc>
          <w:tcPr>
            <w:tcW w:w="1970" w:type="dxa"/>
            <w:tcBorders/>
            <w:shd w:fill="FFFFFF" w:val="clear"/>
            <w:vAlign w:val="center"/>
          </w:tcPr>
          <w:p>
            <w:pPr>
              <w:pStyle w:val="TableContents"/>
              <w:bidi w:val="0"/>
              <w:spacing w:before="0" w:after="283"/>
              <w:jc w:val="center"/>
              <w:rPr/>
            </w:pPr>
            <w:r>
              <w:rPr>
                <w:rStyle w:val="Emphasis"/>
                <w:rFonts w:ascii="Times New Roman" w:hAnsi="Times New Roman"/>
                <w:b/>
                <w:sz w:val="20"/>
              </w:rPr>
              <w:t xml:space="preserve">from AOCI into Net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AOCI into Net</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Recognized in OCI</w:t>
            </w:r>
          </w:p>
        </w:tc>
        <w:tc>
          <w:tcPr>
            <w:tcW w:w="80" w:type="dxa"/>
            <w:tcBorders/>
            <w:shd w:fill="FFFFFF" w:val="clear"/>
            <w:vAlign w:val="center"/>
          </w:tcPr>
          <w:p>
            <w:pPr>
              <w:pStyle w:val="TableContents"/>
              <w:bidi w:val="0"/>
              <w:spacing w:before="0" w:after="283"/>
              <w:ind w:left="0" w:right="0" w:hanging="0"/>
              <w:jc w:val="left"/>
              <w:rPr/>
            </w:pPr>
            <w:r>
              <w:rPr/>
              <w:t> </w:t>
            </w:r>
          </w:p>
        </w:tc>
        <w:tc>
          <w:tcPr>
            <w:tcW w:w="19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twelve months ended March 31, 2023</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9,005</w:t>
            </w:r>
          </w:p>
        </w:tc>
        <w:tc>
          <w:tcPr>
            <w:tcW w:w="80" w:type="dxa"/>
            <w:tcBorders/>
            <w:shd w:fill="FFFFFF" w:val="clear"/>
            <w:vAlign w:val="center"/>
          </w:tcPr>
          <w:p>
            <w:pPr>
              <w:pStyle w:val="TableContents"/>
              <w:bidi w:val="0"/>
              <w:spacing w:before="0" w:after="283"/>
              <w:ind w:left="0" w:right="0" w:hanging="0"/>
              <w:jc w:val="left"/>
              <w:rPr/>
            </w:pPr>
            <w:r>
              <w:rPr/>
              <w:t> </w:t>
            </w:r>
          </w:p>
        </w:tc>
        <w:tc>
          <w:tcPr>
            <w:tcW w:w="197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Sales</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9,005</w:t>
            </w:r>
          </w:p>
        </w:tc>
        <w:tc>
          <w:tcPr>
            <w:tcW w:w="8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twelve months ended March 31, 2022</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(19,908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7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Sales</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97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Costs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10,633</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97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estimated amount of losses recognized in AOCI at </w:t>
      </w:r>
      <w:r>
        <w:rPr>
          <w:rStyle w:val="Emphasis"/>
          <w:rFonts w:ascii="Times New Roman" w:hAnsi="Times New Roman"/>
          <w:caps w:val="false"/>
          <w:smallCaps w:val="false"/>
          <w:sz w:val="20"/>
          <w:shd w:fill="FFFFFF" w:val="clear"/>
        </w:rPr>
        <w:t>March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expected to be reclassified into net earnings within the succeeding </w:t>
      </w:r>
      <w:r>
        <w:rPr>
          <w:rStyle w:val="Emphasis"/>
          <w:rFonts w:ascii="Times New Roman" w:hAnsi="Times New Roman"/>
          <w:caps w:val="false"/>
          <w:smallCaps w:val="false"/>
          <w:sz w:val="20"/>
          <w:shd w:fill="FFFFFF" w:val="clear"/>
        </w:rPr>
        <w:t>twelve</w:t>
      </w:r>
      <w:r>
        <w:rPr>
          <w:rFonts w:ascii="Times New Roman" w:hAnsi="Times New Roman"/>
          <w:caps w:val="false"/>
          <w:smallCaps w:val="false"/>
          <w:sz w:val="20"/>
          <w:shd w:fill="FFFFFF" w:val="clear"/>
        </w:rPr>
        <w:t xml:space="preserve"> months is approximately $0.4 million with all of this amount consisting of realized losses associated with closed hedges.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following table summarizes the gain recognized in earnings for derivative instruments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during fiscal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(in thousands):</w:t>
      </w:r>
    </w:p>
    <w:p>
      <w:pPr>
        <w:pStyle w:val="TextBody"/>
        <w:bidi w:val="0"/>
        <w:spacing w:before="0" w:after="0"/>
        <w:ind w:left="0" w:right="0" w:firstLine="490"/>
        <w:jc w:val="both"/>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2420"/>
        <w:gridCol w:w="3155"/>
        <w:gridCol w:w="60"/>
        <w:gridCol w:w="500"/>
        <w:gridCol w:w="1950"/>
        <w:gridCol w:w="60"/>
      </w:tblGrid>
      <w:tr>
        <w:trPr/>
        <w:tc>
          <w:tcPr>
            <w:tcW w:w="242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 Recognized in Earnings</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 of Gain</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Fiscal Year Ended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315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 (loss) on economic hedges of risk</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The following table summarizes the loss recognized in earnings for derivative instruments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designated as hedging instruments during fiscal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xml:space="preserve"> (in thousands):</w:t>
      </w:r>
    </w:p>
    <w:p>
      <w:pPr>
        <w:pStyle w:val="TextBody"/>
        <w:bidi w:val="0"/>
        <w:spacing w:before="0" w:after="0"/>
        <w:ind w:left="0" w:right="0" w:hanging="0"/>
        <w:jc w:val="left"/>
        <w:rPr/>
      </w:pPr>
      <w:r>
        <w:rPr/>
        <w:t> </w:t>
      </w:r>
    </w:p>
    <w:tbl>
      <w:tblPr>
        <w:tblW w:w="8134" w:type="dxa"/>
        <w:jc w:val="left"/>
        <w:tblInd w:w="0" w:type="dxa"/>
        <w:tblLayout w:type="fixed"/>
        <w:tblCellMar>
          <w:top w:w="0" w:type="dxa"/>
          <w:left w:w="0" w:type="dxa"/>
          <w:bottom w:w="0" w:type="dxa"/>
          <w:right w:w="0" w:type="dxa"/>
        </w:tblCellMar>
      </w:tblPr>
      <w:tblGrid>
        <w:gridCol w:w="2420"/>
        <w:gridCol w:w="3155"/>
        <w:gridCol w:w="60"/>
        <w:gridCol w:w="390"/>
        <w:gridCol w:w="2029"/>
        <w:gridCol w:w="80"/>
      </w:tblGrid>
      <w:tr>
        <w:trPr/>
        <w:tc>
          <w:tcPr>
            <w:tcW w:w="242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 Recognized in Earnings</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 of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Fiscal Year Ended</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31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2022</w:t>
            </w:r>
          </w:p>
        </w:tc>
        <w:tc>
          <w:tcPr>
            <w:tcW w:w="8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315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 (loss) on economic hedges of risk</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The</w:t>
      </w:r>
      <w:r>
        <w:rPr>
          <w:rFonts w:ascii="Times New Roman;Times;serif" w:hAnsi="Times New Roman;Times;serif"/>
          <w:sz w:val="20"/>
          <w:shd w:fill="FFFFFF" w:val="clear"/>
        </w:rPr>
        <w:t xml:space="preserve"> notional amount (quantity) of our derivative instruments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designated as hedging instruments at </w:t>
      </w:r>
      <w:r>
        <w:rPr>
          <w:rStyle w:val="Emphasis"/>
          <w:rFonts w:ascii="Times New Roman;Times;serif" w:hAnsi="Times New Roman;Times;serif"/>
          <w:sz w:val="20"/>
          <w:shd w:fill="FFFFFF" w:val="clear"/>
        </w:rPr>
        <w:t>March 31, 2023 </w:t>
      </w:r>
      <w:r>
        <w:rPr>
          <w:rFonts w:ascii="Times New Roman;Times;serif" w:hAnsi="Times New Roman;Times;serif"/>
          <w:sz w:val="20"/>
          <w:shd w:fill="FFFFFF" w:val="clear"/>
        </w:rPr>
        <w:t xml:space="preserve">consisted of 27,580 tons of short positions with maturity dates ranging from </w:t>
      </w:r>
      <w:r>
        <w:rPr>
          <w:rStyle w:val="Emphasis"/>
          <w:rFonts w:ascii="Times New Roman;Times;serif" w:hAnsi="Times New Roman;Times;serif"/>
          <w:sz w:val="20"/>
          <w:shd w:fill="FFFFFF" w:val="clear"/>
        </w:rPr>
        <w:t xml:space="preserve">April 2023 </w:t>
      </w:r>
      <w:r>
        <w:rPr>
          <w:rFonts w:ascii="Times New Roman;Times;serif" w:hAnsi="Times New Roman;Times;serif"/>
          <w:sz w:val="20"/>
          <w:shd w:fill="FFFFFF" w:val="clear"/>
        </w:rPr>
        <w:t xml:space="preserve">to </w:t>
      </w:r>
      <w:r>
        <w:rPr>
          <w:rStyle w:val="Emphasis"/>
          <w:rFonts w:ascii="Times New Roman;Times;serif" w:hAnsi="Times New Roman;Times;serif"/>
          <w:sz w:val="20"/>
          <w:shd w:fill="FFFFFF" w:val="clear"/>
        </w:rPr>
        <w:t>December 2023.</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reflect the change in accumulated other comprehensive loss, net of tax, for the periods presented (in thousands):</w:t>
      </w:r>
    </w:p>
    <w:p>
      <w:pPr>
        <w:pStyle w:val="TextBody"/>
        <w:bidi w:val="0"/>
        <w:spacing w:before="0" w:after="0"/>
        <w:ind w:left="0" w:right="0" w:firstLine="540"/>
        <w:jc w:val="both"/>
        <w:rPr/>
      </w:pPr>
      <w:r>
        <w:rPr/>
        <w:t> </w:t>
      </w:r>
    </w:p>
    <w:tbl>
      <w:tblPr>
        <w:tblW w:w="6539" w:type="dxa"/>
        <w:jc w:val="left"/>
        <w:tblInd w:w="0" w:type="dxa"/>
        <w:tblLayout w:type="fixed"/>
        <w:tblCellMar>
          <w:top w:w="0" w:type="dxa"/>
          <w:left w:w="0" w:type="dxa"/>
          <w:bottom w:w="0" w:type="dxa"/>
          <w:right w:w="0" w:type="dxa"/>
        </w:tblCellMar>
      </w:tblPr>
      <w:tblGrid>
        <w:gridCol w:w="5180"/>
        <w:gridCol w:w="60"/>
        <w:gridCol w:w="196"/>
        <w:gridCol w:w="1023"/>
        <w:gridCol w:w="80"/>
      </w:tblGrid>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 (Loss) on</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Derivatives</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2022</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net of loss, before reclassification</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6,830</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loss reclassified from AOCI (1)</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3,122</w:t>
            </w:r>
          </w:p>
        </w:tc>
        <w:tc>
          <w:tcPr>
            <w:tcW w:w="8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current period other comprehensive income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9,952</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The loss reclassified from AOCI is presented net of taxes of approximately $1.0 million which are included in provision for (benefit from) income taxes on the Company's Consolidated Statement of Operations for the fiscal year ended </w:t>
      </w:r>
      <w:r>
        <w:rPr>
          <w:rStyle w:val="Emphasis"/>
          <w:rFonts w:ascii="Times New Roman;Times;serif" w:hAnsi="Times New Roman;Times;serif"/>
          <w:sz w:val="20"/>
        </w:rPr>
        <w:t>March 31, 2023.</w:t>
      </w:r>
    </w:p>
    <w:p>
      <w:pPr>
        <w:pStyle w:val="TextBody"/>
        <w:bidi w:val="0"/>
        <w:spacing w:before="0" w:after="0"/>
        <w:ind w:left="0" w:right="0" w:firstLine="540"/>
        <w:jc w:val="both"/>
        <w:rPr/>
      </w:pPr>
      <w:r>
        <w:rPr/>
        <w:t> </w:t>
      </w:r>
    </w:p>
    <w:tbl>
      <w:tblPr>
        <w:tblW w:w="6539" w:type="dxa"/>
        <w:jc w:val="left"/>
        <w:tblInd w:w="0" w:type="dxa"/>
        <w:tblLayout w:type="fixed"/>
        <w:tblCellMar>
          <w:top w:w="0" w:type="dxa"/>
          <w:left w:w="0" w:type="dxa"/>
          <w:bottom w:w="0" w:type="dxa"/>
          <w:right w:w="0" w:type="dxa"/>
        </w:tblCellMar>
      </w:tblPr>
      <w:tblGrid>
        <w:gridCol w:w="5180"/>
        <w:gridCol w:w="60"/>
        <w:gridCol w:w="103"/>
        <w:gridCol w:w="1116"/>
        <w:gridCol w:w="80"/>
      </w:tblGrid>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 (Loss) on</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Derivatives</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2021</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net of income, before reclassification</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loss reclassified from AOCI (1)</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16,018</w:t>
            </w:r>
          </w:p>
        </w:tc>
        <w:tc>
          <w:tcPr>
            <w:tcW w:w="80"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current period other comprehensive income</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w:t>
            </w:r>
          </w:p>
        </w:tc>
        <w:tc>
          <w:tcPr>
            <w:tcW w:w="80"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2022</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The loss reclassified from AOCI is presented net of taxes of approximately $5.1 million which are included in provision for (benefit from) income taxes on the Company's Consolidated Statement of Operations for the fiscal year ended </w:t>
      </w:r>
      <w:r>
        <w:rPr>
          <w:rStyle w:val="Emphasis"/>
          <w:rFonts w:ascii="Times New Roman;Times;serif" w:hAnsi="Times New Roman;Times;serif"/>
          <w:sz w:val="20"/>
        </w:rPr>
        <w:t>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At </w:t>
      </w:r>
      <w:r>
        <w:rPr>
          <w:rStyle w:val="Emphasis"/>
          <w:rFonts w:ascii="Times New Roman" w:hAnsi="Times New Roman"/>
          <w:caps w:val="false"/>
          <w:smallCaps w:val="false"/>
          <w:sz w:val="20"/>
          <w:shd w:fill="FFFFFF" w:val="clear"/>
        </w:rPr>
        <w:t xml:space="preserve">March 31, 2023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cash of approximately </w:t>
      </w:r>
      <w:r>
        <w:rPr>
          <w:rFonts w:ascii="Times New Roman" w:hAnsi="Times New Roman"/>
          <w:caps w:val="false"/>
          <w:smallCaps w:val="false"/>
          <w:sz w:val="20"/>
        </w:rPr>
        <w:t>$2.4 million</w:t>
      </w:r>
      <w:r>
        <w:rPr>
          <w:rFonts w:ascii="Times New Roman" w:hAnsi="Times New Roman"/>
          <w:caps w:val="false"/>
          <w:smallCaps w:val="false"/>
          <w:sz w:val="20"/>
          <w:shd w:fill="FFFFFF" w:val="clear"/>
        </w:rPr>
        <w:t> and $13.5 million, respectively, was held by our clearing agent to collateralize our open derivative positions. These cash</w:t>
      </w:r>
      <w:r>
        <w:rPr>
          <w:rFonts w:ascii="Times New Roman" w:hAnsi="Times New Roman"/>
          <w:caps w:val="false"/>
          <w:smallCaps w:val="false"/>
          <w:sz w:val="20"/>
        </w:rPr>
        <w:t xml:space="preserve"> requirements are included in "Other current assets" on the Company's Consolidated Balance Sheets at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Quoted prices for identical assets and liabilities in active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for the assets and liabilities, either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that are significant to the fair value of the assets and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our financial liabilities, net, measured at fair value on a recurring basis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184" w:type="dxa"/>
        <w:jc w:val="left"/>
        <w:tblInd w:w="0" w:type="dxa"/>
        <w:tblLayout w:type="fixed"/>
        <w:tblCellMar>
          <w:top w:w="0" w:type="dxa"/>
          <w:left w:w="0" w:type="dxa"/>
          <w:bottom w:w="0" w:type="dxa"/>
          <w:right w:w="0" w:type="dxa"/>
        </w:tblCellMar>
      </w:tblPr>
      <w:tblGrid>
        <w:gridCol w:w="3695"/>
        <w:gridCol w:w="60"/>
        <w:gridCol w:w="219"/>
        <w:gridCol w:w="955"/>
        <w:gridCol w:w="80"/>
        <w:gridCol w:w="60"/>
        <w:gridCol w:w="307"/>
        <w:gridCol w:w="643"/>
        <w:gridCol w:w="60"/>
        <w:gridCol w:w="60"/>
        <w:gridCol w:w="375"/>
        <w:gridCol w:w="785"/>
        <w:gridCol w:w="60"/>
        <w:gridCol w:w="60"/>
        <w:gridCol w:w="125"/>
        <w:gridCol w:w="545"/>
        <w:gridCol w:w="95"/>
      </w:tblGrid>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Quoted Prices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Active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Markets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Identical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9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futures – financial liabilities,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At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our financial liabilities, net, measured at fair value on a recurring basis were as follows (in thousands):</w:t>
      </w:r>
    </w:p>
    <w:p>
      <w:pPr>
        <w:pStyle w:val="TextBody"/>
        <w:bidi w:val="0"/>
        <w:spacing w:before="0" w:after="0"/>
        <w:ind w:left="0" w:right="0" w:firstLine="490"/>
        <w:jc w:val="both"/>
        <w:rPr>
          <w:caps w:val="false"/>
          <w:smallCaps w:val="false"/>
        </w:rPr>
      </w:pPr>
      <w:r>
        <w:rPr>
          <w:caps w:val="false"/>
          <w:smallCaps w:val="false"/>
        </w:rPr>
        <w:t> </w:t>
      </w:r>
    </w:p>
    <w:tbl>
      <w:tblPr>
        <w:tblW w:w="8259" w:type="dxa"/>
        <w:jc w:val="left"/>
        <w:tblInd w:w="0" w:type="dxa"/>
        <w:tblLayout w:type="fixed"/>
        <w:tblCellMar>
          <w:top w:w="0" w:type="dxa"/>
          <w:left w:w="0" w:type="dxa"/>
          <w:bottom w:w="0" w:type="dxa"/>
          <w:right w:w="0" w:type="dxa"/>
        </w:tblCellMar>
      </w:tblPr>
      <w:tblGrid>
        <w:gridCol w:w="3680"/>
        <w:gridCol w:w="60"/>
        <w:gridCol w:w="189"/>
        <w:gridCol w:w="985"/>
        <w:gridCol w:w="80"/>
        <w:gridCol w:w="60"/>
        <w:gridCol w:w="307"/>
        <w:gridCol w:w="643"/>
        <w:gridCol w:w="60"/>
        <w:gridCol w:w="60"/>
        <w:gridCol w:w="375"/>
        <w:gridCol w:w="785"/>
        <w:gridCol w:w="60"/>
        <w:gridCol w:w="60"/>
        <w:gridCol w:w="125"/>
        <w:gridCol w:w="650"/>
        <w:gridCol w:w="80"/>
      </w:tblGrid>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 Active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Markets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Identical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Commodity futures – financial liabilities,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fair value measurements on a non-recurring basis.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EARNINGS PER SHARE</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Basic and dilutive net earnings per share is computed based on the following information (in thousands, except for share data):</w:t>
      </w:r>
    </w:p>
    <w:p>
      <w:pPr>
        <w:pStyle w:val="TextBody"/>
        <w:bidi w:val="0"/>
        <w:spacing w:before="0" w:after="0"/>
        <w:ind w:left="0" w:right="0" w:hanging="0"/>
        <w:jc w:val="both"/>
        <w:rPr/>
      </w:pPr>
      <w:r>
        <w:rPr/>
        <w:t> </w:t>
      </w:r>
    </w:p>
    <w:tbl>
      <w:tblPr>
        <w:tblW w:w="6250" w:type="dxa"/>
        <w:jc w:val="left"/>
        <w:tblInd w:w="0" w:type="dxa"/>
        <w:tblLayout w:type="fixed"/>
        <w:tblCellMar>
          <w:top w:w="0" w:type="dxa"/>
          <w:left w:w="0" w:type="dxa"/>
          <w:bottom w:w="0" w:type="dxa"/>
          <w:right w:w="0" w:type="dxa"/>
        </w:tblCellMar>
      </w:tblPr>
      <w:tblGrid>
        <w:gridCol w:w="4070"/>
        <w:gridCol w:w="60"/>
        <w:gridCol w:w="125"/>
        <w:gridCol w:w="845"/>
        <w:gridCol w:w="60"/>
        <w:gridCol w:w="60"/>
        <w:gridCol w:w="125"/>
        <w:gridCol w:w="845"/>
        <w:gridCol w:w="60"/>
      </w:tblGrid>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Numerator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14,066</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Allocation to unvested restricted stock units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13,523</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Denominator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7,216,142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6,623,769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pPr>
      <w:r>
        <w:rPr>
          <w:rFonts w:ascii="Times New Roman" w:hAnsi="Times New Roman"/>
          <w:caps w:val="false"/>
          <w:smallCaps w:val="false"/>
          <w:sz w:val="20"/>
        </w:rPr>
        <w:t xml:space="preserve">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allocated dividends and undistributed earnings to the unvested restricted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pPr>
      <w:r>
        <w:rPr>
          <w:rFonts w:ascii="Times New Roman" w:hAnsi="Times New Roman"/>
          <w:caps w:val="false"/>
          <w:smallCaps w:val="false"/>
          <w:sz w:val="20"/>
        </w:rPr>
        <w:t xml:space="preserve">As the restricted stock qualifies as participating securities, the following restricted stock units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in the computation of weighted average diluted common shares outstanding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w:t>
      </w:r>
    </w:p>
    <w:p>
      <w:pPr>
        <w:pStyle w:val="TextBody"/>
        <w:bidi w:val="0"/>
        <w:spacing w:before="0" w:after="0"/>
        <w:ind w:left="0" w:right="0" w:hanging="0"/>
        <w:jc w:val="left"/>
        <w:rPr>
          <w:caps w:val="false"/>
          <w:smallCaps w:val="false"/>
        </w:rPr>
      </w:pPr>
      <w:r>
        <w:rPr>
          <w:caps w:val="false"/>
          <w:smallCaps w:val="false"/>
        </w:rPr>
        <w:t> </w:t>
      </w:r>
    </w:p>
    <w:tbl>
      <w:tblPr>
        <w:tblW w:w="3879" w:type="dxa"/>
        <w:jc w:val="left"/>
        <w:tblInd w:w="0" w:type="dxa"/>
        <w:tblLayout w:type="fixed"/>
        <w:tblCellMar>
          <w:top w:w="0" w:type="dxa"/>
          <w:left w:w="0" w:type="dxa"/>
          <w:bottom w:w="0" w:type="dxa"/>
          <w:right w:w="0" w:type="dxa"/>
        </w:tblCellMar>
      </w:tblPr>
      <w:tblGrid>
        <w:gridCol w:w="1865"/>
        <w:gridCol w:w="60"/>
        <w:gridCol w:w="80"/>
        <w:gridCol w:w="787"/>
        <w:gridCol w:w="80"/>
        <w:gridCol w:w="80"/>
        <w:gridCol w:w="80"/>
        <w:gridCol w:w="787"/>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55,546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10.</w:t>
      </w:r>
      <w:r>
        <w:rPr>
          <w:rFonts w:ascii="Times New Roman;Times;serif" w:hAnsi="Times New Roman;Times;serif"/>
          <w:b/>
          <w:sz w:val="20"/>
        </w:rPr>
        <w:t xml:space="preserve">   INCOME TAXES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Components of tax expense (benefit) are as follows (in thousands):</w:t>
      </w:r>
    </w:p>
    <w:p>
      <w:pPr>
        <w:pStyle w:val="TextBody"/>
        <w:bidi w:val="0"/>
        <w:spacing w:before="0" w:after="0"/>
        <w:ind w:left="0" w:right="0" w:hanging="0"/>
        <w:jc w:val="left"/>
        <w:rPr/>
      </w:pPr>
      <w:r>
        <w:rPr/>
        <w:t> </w:t>
      </w:r>
    </w:p>
    <w:tbl>
      <w:tblPr>
        <w:tblW w:w="2742" w:type="dxa"/>
        <w:jc w:val="left"/>
        <w:tblInd w:w="0" w:type="dxa"/>
        <w:tblLayout w:type="fixed"/>
        <w:tblCellMar>
          <w:top w:w="0" w:type="dxa"/>
          <w:left w:w="0" w:type="dxa"/>
          <w:bottom w:w="0" w:type="dxa"/>
          <w:right w:w="0" w:type="dxa"/>
        </w:tblCellMar>
      </w:tblPr>
      <w:tblGrid>
        <w:gridCol w:w="710"/>
        <w:gridCol w:w="60"/>
        <w:gridCol w:w="174"/>
        <w:gridCol w:w="675"/>
        <w:gridCol w:w="111"/>
        <w:gridCol w:w="83"/>
        <w:gridCol w:w="174"/>
        <w:gridCol w:w="675"/>
        <w:gridCol w:w="80"/>
      </w:tblGrid>
      <w:tr>
        <w:trPr/>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80" w:type="dxa"/>
            <w:tcBorders/>
            <w:shd w:fill="FFFFFF" w:val="clear"/>
            <w:vAlign w:val="center"/>
          </w:tcPr>
          <w:p>
            <w:pPr>
              <w:pStyle w:val="TableContents"/>
              <w:bidi w:val="0"/>
              <w:spacing w:before="0" w:after="283"/>
              <w:jc w:val="left"/>
              <w:rPr/>
            </w:pPr>
            <w:r>
              <w:rPr/>
              <w:t> </w:t>
            </w:r>
          </w:p>
        </w:tc>
      </w:tr>
      <w:tr>
        <w:trPr/>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2,135</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3,881</w:t>
            </w:r>
          </w:p>
        </w:tc>
        <w:tc>
          <w:tcPr>
            <w:tcW w:w="80" w:type="dxa"/>
            <w:tcBorders/>
            <w:shd w:fill="FFFFFF" w:val="clear"/>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3,425</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5,560</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3,403</w:t>
            </w:r>
          </w:p>
        </w:tc>
        <w:tc>
          <w:tcPr>
            <w:tcW w:w="80" w:type="dxa"/>
            <w:tcBorders/>
            <w:shd w:fill="FFFFFF" w:val="clear"/>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1,384</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0" w:type="dxa"/>
            <w:tcBorders/>
            <w:shd w:fill="FFFFFF" w:val="clear"/>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(99</w:t>
            </w:r>
          </w:p>
        </w:tc>
        <w:tc>
          <w:tcPr>
            <w:tcW w:w="1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1,285</w:t>
            </w:r>
          </w:p>
        </w:tc>
        <w:tc>
          <w:tcPr>
            <w:tcW w:w="11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w:t>
            </w:r>
          </w:p>
        </w:tc>
        <w:tc>
          <w:tcPr>
            <w:tcW w:w="80" w:type="dxa"/>
            <w:tcBorders/>
            <w:shd w:fill="FFFFFF" w:val="clear"/>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6,845</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U.S. federal statutory income tax rate is reconciled to the effective rate as follows:</w:t>
      </w:r>
    </w:p>
    <w:p>
      <w:pPr>
        <w:pStyle w:val="TextBody"/>
        <w:bidi w:val="0"/>
        <w:spacing w:before="0" w:after="0"/>
        <w:ind w:left="0" w:right="0" w:hanging="0"/>
        <w:jc w:val="left"/>
        <w:rPr/>
      </w:pPr>
      <w:r>
        <w:rPr/>
        <w:t> </w:t>
      </w:r>
    </w:p>
    <w:tbl>
      <w:tblPr>
        <w:tblW w:w="8157" w:type="dxa"/>
        <w:jc w:val="left"/>
        <w:tblInd w:w="0" w:type="dxa"/>
        <w:tblLayout w:type="fixed"/>
        <w:tblCellMar>
          <w:top w:w="0" w:type="dxa"/>
          <w:left w:w="0" w:type="dxa"/>
          <w:bottom w:w="0" w:type="dxa"/>
          <w:right w:w="0" w:type="dxa"/>
        </w:tblCellMar>
      </w:tblPr>
      <w:tblGrid>
        <w:gridCol w:w="6020"/>
        <w:gridCol w:w="60"/>
        <w:gridCol w:w="98"/>
        <w:gridCol w:w="623"/>
        <w:gridCol w:w="352"/>
        <w:gridCol w:w="98"/>
        <w:gridCol w:w="98"/>
        <w:gridCol w:w="623"/>
        <w:gridCol w:w="185"/>
      </w:tblGrid>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185" w:type="dxa"/>
            <w:tcBorders/>
            <w:shd w:fill="FFFF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35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at U.S. federal statutory rate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21.0</w:t>
            </w:r>
          </w:p>
        </w:tc>
        <w:tc>
          <w:tcPr>
            <w:tcW w:w="352"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year state and local income taxes net of federal income tax benefit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w:t>
            </w:r>
          </w:p>
        </w:tc>
        <w:tc>
          <w:tcPr>
            <w:tcW w:w="35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(0.3</w:t>
            </w:r>
          </w:p>
        </w:tc>
        <w:tc>
          <w:tcPr>
            <w:tcW w:w="352"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24.2</w:t>
            </w:r>
          </w:p>
        </w:tc>
        <w:tc>
          <w:tcPr>
            <w:tcW w:w="352"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Company’s tax returns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examination by the Internal Revenue Service for the fiscal years ended </w:t>
      </w:r>
      <w:r>
        <w:rPr>
          <w:rStyle w:val="Emphasis"/>
          <w:rFonts w:ascii="Times New Roman;Times;serif" w:hAnsi="Times New Roman;Times;serif"/>
          <w:sz w:val="20"/>
        </w:rPr>
        <w:t>March 31,</w:t>
      </w:r>
      <w:r>
        <w:rPr>
          <w:rFonts w:ascii="Times New Roman;Times;serif" w:hAnsi="Times New Roman;Times;serif"/>
          <w:sz w:val="20"/>
        </w:rPr>
        <w:t xml:space="preserve"> </w:t>
      </w:r>
      <w:r>
        <w:rPr>
          <w:rStyle w:val="Emphasis"/>
          <w:rFonts w:ascii="Times New Roman;Times;serif" w:hAnsi="Times New Roman;Times;serif"/>
          <w:sz w:val="20"/>
        </w:rPr>
        <w:t>2020</w:t>
      </w:r>
      <w:r>
        <w:rPr>
          <w:rFonts w:ascii="Times New Roman;Times;serif" w:hAnsi="Times New Roman;Times;serif"/>
          <w:sz w:val="20"/>
        </w:rPr>
        <w:t xml:space="preserve"> through </w:t>
      </w:r>
      <w:r>
        <w:rPr>
          <w:rStyle w:val="Emphasis"/>
          <w:rFonts w:ascii="Times New Roman;Times;serif" w:hAnsi="Times New Roman;Times;serif"/>
          <w:sz w:val="20"/>
        </w:rPr>
        <w:t>March 31,</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State and local returns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examination for fiscal years ended </w:t>
      </w:r>
      <w:r>
        <w:rPr>
          <w:rStyle w:val="Emphasis"/>
          <w:rFonts w:ascii="Times New Roman;Times;serif" w:hAnsi="Times New Roman;Times;serif"/>
          <w:sz w:val="20"/>
        </w:rPr>
        <w:t>March 31,</w:t>
      </w:r>
      <w:r>
        <w:rPr>
          <w:rFonts w:ascii="Times New Roman;Times;serif" w:hAnsi="Times New Roman;Times;serif"/>
          <w:sz w:val="20"/>
        </w:rPr>
        <w:t xml:space="preserve"> </w:t>
      </w:r>
      <w:r>
        <w:rPr>
          <w:rStyle w:val="Emphasis"/>
          <w:rFonts w:ascii="Times New Roman;Times;serif" w:hAnsi="Times New Roman;Times;serif"/>
          <w:sz w:val="20"/>
        </w:rPr>
        <w:t>2019</w:t>
      </w:r>
      <w:r>
        <w:rPr>
          <w:rFonts w:ascii="Times New Roman;Times;serif" w:hAnsi="Times New Roman;Times;serif"/>
          <w:sz w:val="20"/>
        </w:rPr>
        <w:t xml:space="preserve"> through </w:t>
      </w:r>
      <w:r>
        <w:rPr>
          <w:rStyle w:val="Emphasis"/>
          <w:rFonts w:ascii="Times New Roman;Times;serif" w:hAnsi="Times New Roman;Times;serif"/>
          <w:sz w:val="20"/>
        </w:rPr>
        <w:t>March 31,</w:t>
      </w:r>
      <w:r>
        <w:rPr>
          <w:rFonts w:ascii="Times New Roman;Times;serif" w:hAnsi="Times New Roman;Times;serif"/>
          <w:sz w:val="20"/>
        </w:rPr>
        <w:t xml:space="preserve"> </w:t>
      </w:r>
      <w:r>
        <w:rPr>
          <w:rStyle w:val="Emphasis"/>
          <w:rFonts w:ascii="Times New Roman;Times;serif" w:hAnsi="Times New Roman;Times;serif"/>
          <w:sz w:val="20"/>
        </w:rPr>
        <w:t>2022.</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Deferred income taxes are provided for temporary differences between the carrying amounts of assets and liabilities for financial reporting purposes and the amounts used for income tax purposes. Significant components of the Company’s consolidated deferred tax assets (liabilities) are as follows (in thousands):</w:t>
      </w:r>
    </w:p>
    <w:p>
      <w:pPr>
        <w:pStyle w:val="TextBody"/>
        <w:bidi w:val="0"/>
        <w:spacing w:before="0" w:after="0"/>
        <w:ind w:left="0" w:right="0" w:hanging="0"/>
        <w:jc w:val="left"/>
        <w:rPr/>
      </w:pPr>
      <w:r>
        <w:rPr/>
        <w:t> </w:t>
      </w:r>
    </w:p>
    <w:tbl>
      <w:tblPr>
        <w:tblW w:w="5375" w:type="dxa"/>
        <w:jc w:val="left"/>
        <w:tblInd w:w="0" w:type="dxa"/>
        <w:tblLayout w:type="fixed"/>
        <w:tblCellMar>
          <w:top w:w="0" w:type="dxa"/>
          <w:left w:w="0" w:type="dxa"/>
          <w:bottom w:w="0" w:type="dxa"/>
          <w:right w:w="0" w:type="dxa"/>
        </w:tblCellMar>
      </w:tblPr>
      <w:tblGrid>
        <w:gridCol w:w="3755"/>
        <w:gridCol w:w="60"/>
        <w:gridCol w:w="125"/>
        <w:gridCol w:w="545"/>
        <w:gridCol w:w="80"/>
        <w:gridCol w:w="60"/>
        <w:gridCol w:w="125"/>
        <w:gridCol w:w="545"/>
        <w:gridCol w:w="80"/>
      </w:tblGrid>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(5,786</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(5,786</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5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Unrealized derivative loss - OCI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3,271</w:t>
            </w:r>
          </w:p>
        </w:tc>
        <w:tc>
          <w:tcPr>
            <w:tcW w:w="8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Inventory 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Postretirement benefits other than pensions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Unrealized loss - mark to market derivatives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388</w:t>
            </w:r>
          </w:p>
        </w:tc>
        <w:tc>
          <w:tcPr>
            <w:tcW w:w="8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3,921</w:t>
            </w:r>
          </w:p>
        </w:tc>
        <w:tc>
          <w:tcPr>
            <w:tcW w:w="8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(4,357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b/>
          <w:caps w:val="false"/>
          <w:smallCaps w:val="false"/>
          <w:sz w:val="20"/>
        </w:rPr>
        <w:t>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tax effects on each c</w:t>
      </w:r>
      <w:r>
        <w:rPr>
          <w:rFonts w:ascii="Times New Roman" w:hAnsi="Times New Roman"/>
          <w:caps w:val="false"/>
          <w:smallCaps w:val="false"/>
          <w:sz w:val="20"/>
          <w:shd w:fill="FFFFFF" w:val="clear"/>
        </w:rPr>
        <w:t>omponent of Other Comprehensive Income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6117" w:type="dxa"/>
        <w:jc w:val="left"/>
        <w:tblInd w:w="0" w:type="dxa"/>
        <w:tblLayout w:type="fixed"/>
        <w:tblCellMar>
          <w:top w:w="0" w:type="dxa"/>
          <w:left w:w="0" w:type="dxa"/>
          <w:bottom w:w="0" w:type="dxa"/>
          <w:right w:w="0" w:type="dxa"/>
        </w:tblCellMar>
      </w:tblPr>
      <w:tblGrid>
        <w:gridCol w:w="2495"/>
        <w:gridCol w:w="60"/>
        <w:gridCol w:w="179"/>
        <w:gridCol w:w="845"/>
        <w:gridCol w:w="85"/>
        <w:gridCol w:w="85"/>
        <w:gridCol w:w="222"/>
        <w:gridCol w:w="967"/>
        <w:gridCol w:w="114"/>
        <w:gridCol w:w="85"/>
        <w:gridCol w:w="188"/>
        <w:gridCol w:w="732"/>
        <w:gridCol w:w="6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2"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Twelve Months Ended March 31, 2023</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Before-Tax</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Tax Provision</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Net-of-Tax</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13,121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(3,169</w:t>
            </w:r>
          </w:p>
        </w:tc>
        <w:tc>
          <w:tcPr>
            <w:tcW w:w="11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9,952</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13,121</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(3,169</w:t>
            </w:r>
          </w:p>
        </w:tc>
        <w:tc>
          <w:tcPr>
            <w:tcW w:w="1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2495"/>
        <w:gridCol w:w="60"/>
        <w:gridCol w:w="218"/>
        <w:gridCol w:w="846"/>
        <w:gridCol w:w="104"/>
        <w:gridCol w:w="104"/>
        <w:gridCol w:w="286"/>
        <w:gridCol w:w="903"/>
        <w:gridCol w:w="139"/>
        <w:gridCol w:w="104"/>
        <w:gridCol w:w="250"/>
        <w:gridCol w:w="670"/>
        <w:gridCol w:w="6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24"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Twelve Months Ended March 31, 2022</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Before-Tax</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Tax Provision</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Net-of-Tax</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1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1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12</w:t>
      </w:r>
      <w:r>
        <w:rPr>
          <w:rFonts w:ascii="Times New Roman;Times;serif" w:hAnsi="Times New Roman;Times;serif"/>
          <w:b/>
          <w:sz w:val="20"/>
        </w:rPr>
        <w:t>.   RETIREMENT</w:t>
      </w:r>
      <w:r>
        <w:rPr>
          <w:rFonts w:ascii="Times New Roman;Times;serif" w:hAnsi="Times New Roman;Times;serif"/>
          <w:sz w:val="20"/>
        </w:rPr>
        <w:t xml:space="preserve"> </w:t>
      </w:r>
      <w:r>
        <w:rPr>
          <w:rFonts w:ascii="Times New Roman;Times;serif" w:hAnsi="Times New Roman;Times;serif"/>
          <w:b/>
          <w:sz w:val="20"/>
        </w:rPr>
        <w:t xml:space="preserve">PLAN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maintains the Friedman Industries, Inc. Employees’ Retirement and </w:t>
      </w:r>
      <w:r>
        <w:rPr>
          <w:rStyle w:val="Emphasis"/>
          <w:rFonts w:ascii="Times New Roman;Times;serif" w:hAnsi="Times New Roman;Times;serif"/>
          <w:sz w:val="20"/>
        </w:rPr>
        <w:t>401</w:t>
      </w:r>
      <w:r>
        <w:rPr>
          <w:rFonts w:ascii="Times New Roman;Times;serif" w:hAnsi="Times New Roman;Times;serif"/>
          <w:sz w:val="20"/>
        </w:rPr>
        <w:t>(k) Plan (the “Plan”). Employees fully vest in the Plan upon six years of service.</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retirement portion of the Plan covers substantially all employees, including officers. The Company’s contribution expenses, which are determined at the discretion of the Board of Directors in an amount </w:t>
      </w:r>
      <w:r>
        <w:rPr>
          <w:rStyle w:val="Emphasis"/>
          <w:rFonts w:ascii="Times New Roman;Times;serif" w:hAnsi="Times New Roman;Times;serif"/>
          <w:sz w:val="20"/>
        </w:rPr>
        <w:t>not</w:t>
      </w:r>
      <w:r>
        <w:rPr>
          <w:rFonts w:ascii="Times New Roman;Times;serif" w:hAnsi="Times New Roman;Times;serif"/>
          <w:sz w:val="20"/>
        </w:rPr>
        <w:t xml:space="preserve"> to exceed 15% of the total compensation paid during the year to all eligible employees, were approximately $0.4 million and $0.2 million for the years ended </w:t>
      </w:r>
      <w:r>
        <w:rPr>
          <w:rStyle w:val="Emphasis"/>
          <w:rFonts w:ascii="Times New Roman;Times;serif" w:hAnsi="Times New Roman;Times;serif"/>
          <w:sz w:val="20"/>
        </w:rPr>
        <w:t>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respectively. Contributions, plan earnings and forfeitures of non-vested accounts of terminated participants are allocated to the remaining individual accounts determined by a point schedule based on years of employment with the Company.</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Employees </w:t>
      </w:r>
      <w:r>
        <w:rPr>
          <w:rStyle w:val="Emphasis"/>
          <w:rFonts w:ascii="Times New Roman;Times;serif" w:hAnsi="Times New Roman;Times;serif"/>
          <w:sz w:val="20"/>
        </w:rPr>
        <w:t xml:space="preserve">may </w:t>
      </w:r>
      <w:r>
        <w:rPr>
          <w:rFonts w:ascii="Times New Roman;Times;serif" w:hAnsi="Times New Roman;Times;serif"/>
          <w:sz w:val="20"/>
        </w:rPr>
        <w:t xml:space="preserve">participate in the </w:t>
      </w:r>
      <w:r>
        <w:rPr>
          <w:rStyle w:val="Emphasis"/>
          <w:rFonts w:ascii="Times New Roman;Times;serif" w:hAnsi="Times New Roman;Times;serif"/>
          <w:sz w:val="20"/>
        </w:rPr>
        <w:t>401</w:t>
      </w:r>
      <w:r>
        <w:rPr>
          <w:rFonts w:ascii="Times New Roman;Times;serif" w:hAnsi="Times New Roman;Times;serif"/>
          <w:sz w:val="20"/>
        </w:rPr>
        <w:t xml:space="preserve">(k) portion of the Plan. Employees are eligible to participate in the Plan when the employee has completed </w:t>
      </w:r>
      <w:r>
        <w:rPr>
          <w:rStyle w:val="Emphasis"/>
          <w:rFonts w:ascii="Times New Roman;Times;serif" w:hAnsi="Times New Roman;Times;serif"/>
          <w:sz w:val="20"/>
        </w:rPr>
        <w:t>six</w:t>
      </w:r>
      <w:r>
        <w:rPr>
          <w:rFonts w:ascii="Times New Roman;Times;serif" w:hAnsi="Times New Roman;Times;serif"/>
          <w:sz w:val="20"/>
        </w:rPr>
        <w:t xml:space="preserve"> months of service. Under the Plan, participating employees </w:t>
      </w:r>
      <w:r>
        <w:rPr>
          <w:rStyle w:val="Emphasis"/>
          <w:rFonts w:ascii="Times New Roman;Times;serif" w:hAnsi="Times New Roman;Times;serif"/>
          <w:sz w:val="20"/>
        </w:rPr>
        <w:t xml:space="preserve">may </w:t>
      </w:r>
      <w:r>
        <w:rPr>
          <w:rFonts w:ascii="Times New Roman;Times;serif" w:hAnsi="Times New Roman;Times;serif"/>
          <w:sz w:val="20"/>
        </w:rPr>
        <w:t xml:space="preserve">defer a portion of their earnings up to certain limits prescribed by the Internal Revenue Service. The Company provides matching contributions under the provisions of the Plan. Contribution expense related to the </w:t>
      </w:r>
      <w:r>
        <w:rPr>
          <w:rStyle w:val="Emphasis"/>
          <w:rFonts w:ascii="Times New Roman;Times;serif" w:hAnsi="Times New Roman;Times;serif"/>
          <w:sz w:val="20"/>
        </w:rPr>
        <w:t>401</w:t>
      </w:r>
      <w:r>
        <w:rPr>
          <w:rFonts w:ascii="Times New Roman;Times;serif" w:hAnsi="Times New Roman;Times;serif"/>
          <w:sz w:val="20"/>
        </w:rPr>
        <w:t xml:space="preserve">(k) portion of the Plan was approximately </w:t>
      </w:r>
      <w:r>
        <w:rPr>
          <w:rFonts w:ascii="Times New Roman;Times;serif" w:hAnsi="Times New Roman;Times;serif"/>
          <w:sz w:val="20"/>
          <w:shd w:fill="FFFFFF" w:val="clear"/>
        </w:rPr>
        <w:t>$0.1 million in each of</w:t>
      </w:r>
      <w:r>
        <w:rPr>
          <w:rFonts w:ascii="Times New Roman;Times;serif" w:hAnsi="Times New Roman;Times;serif"/>
          <w:sz w:val="20"/>
        </w:rPr>
        <w:t> the years ended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13</w:t>
      </w:r>
      <w:r>
        <w:rPr>
          <w:rFonts w:ascii="Times New Roman;Times;serif" w:hAnsi="Times New Roman;Times;serif"/>
          <w:b/>
          <w:sz w:val="20"/>
        </w:rPr>
        <w:t>.   INDUSTRY SEGMENT DATA</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is engaged in the steel processing, pipe manufacturing and processing and steel and pipe distribution business. Within the Company, there are </w:t>
      </w:r>
      <w:r>
        <w:rPr>
          <w:rStyle w:val="Emphasis"/>
          <w:rFonts w:ascii="Times New Roman;Times;serif" w:hAnsi="Times New Roman;Times;serif"/>
          <w:sz w:val="20"/>
        </w:rPr>
        <w:t>two</w:t>
      </w:r>
      <w:r>
        <w:rPr>
          <w:rFonts w:ascii="Times New Roman;Times;serif" w:hAnsi="Times New Roman;Times;serif"/>
          <w:sz w:val="20"/>
        </w:rPr>
        <w:t xml:space="preserve"> product groups: coil and tubular. The Company’s coil operations involve converting steel coils into flat sheet and plate steel cut to customer specifications and reselling steel coils. Through its tubular operations, the Company purchases, processes, manufactures and markets tubular products. The following is a summary of significant financial information relating to the product groups (in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187"/>
        <w:gridCol w:w="60"/>
        <w:gridCol w:w="131"/>
        <w:gridCol w:w="733"/>
        <w:gridCol w:w="84"/>
        <w:gridCol w:w="62"/>
        <w:gridCol w:w="131"/>
        <w:gridCol w:w="733"/>
        <w:gridCol w:w="84"/>
      </w:tblGrid>
      <w:tr>
        <w:trPr/>
        <w:tc>
          <w:tcPr>
            <w:tcW w:w="8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March 31,</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Coil</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485,641</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230,438</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Tubular</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61,901</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54,797</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547,542</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285,235</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PROFIT: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Coil</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23,421</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31,791</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Tubular</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8,641</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OPERATING PROFIT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32,062</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34,215</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(10,988</w:t>
            </w:r>
          </w:p>
        </w:tc>
        <w:tc>
          <w:tcPr>
            <w:tcW w:w="84"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(5,695</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87"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Gain (loss) on economic hedges of risk</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9,306</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(11,636</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(2,218</w:t>
            </w:r>
          </w:p>
        </w:tc>
        <w:tc>
          <w:tcPr>
            <w:tcW w:w="84"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27</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1,702</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EARNINGS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28,189</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18,331</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IDENTIFIABLE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Coil</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179,780</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115,232</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Tubular</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15,858</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24,017</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195,638</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139,249</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corporate assets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3,674</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20,026</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199,312</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159,275</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Coil</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2,097</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Tubular</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330</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99</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2,526</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EXPENDITURES (excluding $18,000 of assets acquired through business combination - see Note 2):</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Coil</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16,328</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8,005</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Tubular</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125</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4" w:type="dxa"/>
            <w:tcBorders/>
            <w:shd w:fill="CCEEFF" w:val="clear"/>
            <w:vAlign w:val="center"/>
          </w:tcPr>
          <w:p>
            <w:pPr>
              <w:pStyle w:val="TableContents"/>
              <w:bidi w:val="0"/>
              <w:spacing w:before="0" w:after="283"/>
              <w:jc w:val="left"/>
              <w:rPr/>
            </w:pPr>
            <w:r>
              <w:rPr/>
              <w:t> </w:t>
            </w:r>
          </w:p>
        </w:tc>
      </w:tr>
      <w:tr>
        <w:trPr/>
        <w:tc>
          <w:tcPr>
            <w:tcW w:w="81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4" w:type="dxa"/>
            <w:tcBorders/>
            <w:shd w:fill="FFFFFF" w:val="clear"/>
            <w:vAlign w:val="center"/>
          </w:tcPr>
          <w:p>
            <w:pPr>
              <w:pStyle w:val="TableContents"/>
              <w:bidi w:val="0"/>
              <w:spacing w:before="0" w:after="283"/>
              <w:jc w:val="left"/>
              <w:rPr/>
            </w:pPr>
            <w:r>
              <w:rPr/>
              <w:t> </w:t>
            </w:r>
          </w:p>
        </w:tc>
      </w:tr>
      <w:tr>
        <w:trPr/>
        <w:tc>
          <w:tcPr>
            <w:tcW w:w="8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16,454</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8,065</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Operating profit is total net sales less operating expenses, excluding general corporate expenses, gain (loss) on economic hedges, interest expense and other income. General corporate expenses reflect general and administrative expenses </w:t>
      </w:r>
      <w:r>
        <w:rPr>
          <w:rStyle w:val="Emphasis"/>
          <w:rFonts w:ascii="Times New Roman;Times;serif" w:hAnsi="Times New Roman;Times;serif"/>
          <w:sz w:val="20"/>
        </w:rPr>
        <w:t>not</w:t>
      </w:r>
      <w:r>
        <w:rPr>
          <w:rFonts w:ascii="Times New Roman;Times;serif" w:hAnsi="Times New Roman;Times;serif"/>
          <w:sz w:val="20"/>
        </w:rPr>
        <w:t xml:space="preserve"> directly associated with segment operations and consist primarily of corporate and accounting salaries, professional fees and services, bad debts, retirement plan contribution expense, corp</w:t>
      </w:r>
      <w:r>
        <w:rPr>
          <w:rFonts w:ascii="Times New Roman;Times;serif" w:hAnsi="Times New Roman;Times;serif"/>
          <w:sz w:val="20"/>
          <w:shd w:fill="FFFFFF" w:val="clear"/>
        </w:rPr>
        <w:t xml:space="preserve">orate insurance expenses, restricted stock plan compensation expense and office supplies. Other income for fiscal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xml:space="preserve"> consisted primarily of a gain of approximately $1.7 million associated with the forgiveness of the Company's Paycheck Protection Program loan. At </w:t>
      </w:r>
      <w:r>
        <w:rPr>
          <w:rStyle w:val="Emphasis"/>
          <w:rFonts w:ascii="Times New Roman;Times;serif" w:hAnsi="Times New Roman;Times;serif"/>
          <w:sz w:val="20"/>
        </w:rPr>
        <w:t>March 31, 2023</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corporate assets consisted primarily of cash, restricted cash</w:t>
      </w:r>
      <w:r>
        <w:rPr>
          <w:rFonts w:ascii="Times New Roman;Times;serif" w:hAnsi="Times New Roman;Times;serif"/>
          <w:sz w:val="20"/>
        </w:rPr>
        <w:t>  unamortized debt issuance costs and the cash value of officers’ life insurance. Al</w:t>
      </w:r>
      <w:r>
        <w:rPr>
          <w:rFonts w:ascii="Times New Roman;Times;serif" w:hAnsi="Times New Roman;Times;serif"/>
          <w:sz w:val="20"/>
          <w:shd w:fill="FFFFFF" w:val="clear"/>
        </w:rPr>
        <w:t xml:space="preserve">though inventory is transferred at cost between product groups, there are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sales between product groups.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14.</w:t>
      </w:r>
      <w:r>
        <w:rPr>
          <w:rFonts w:ascii="Times New Roman;Times;serif" w:hAnsi="Times New Roman;Times;serif"/>
          <w:b/>
          <w:sz w:val="20"/>
        </w:rPr>
        <w:t>   REVENUE</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Revenue is generated primarily from contracts to manufacture or process steel products. Most of the Company’s revenue is generated by sales of material out of the Company’s inventory but a portion of the Company’s revenue is derived from processing and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asset balances. Additionally,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liability balances, as performance obligations are satisfied prior to customer payment for product. The Company offers industry standard payment terms.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two reportable segments: Coil and Tubular. Coil primarily generates revenue from cutting to length hot-rolled steel coils. Coil segment revenue consists of </w:t>
      </w:r>
      <w:r>
        <w:rPr>
          <w:rStyle w:val="Emphasis"/>
          <w:rFonts w:ascii="Times New Roman;Times;serif" w:hAnsi="Times New Roman;Times;serif"/>
          <w:sz w:val="20"/>
        </w:rPr>
        <w:t>three</w:t>
      </w:r>
      <w:r>
        <w:rPr>
          <w:rFonts w:ascii="Times New Roman;Times;serif" w:hAnsi="Times New Roman;Times;serif"/>
          <w:sz w:val="20"/>
        </w:rPr>
        <w:t xml:space="preserve"> main product types: Prime Coil, Non-Standard Coil and Processing or Storage of Customer Owned Coil. Tubular primarily generates revenue from manufacturing and distributing steel pipe. Tubular segment revenue consists of </w:t>
      </w:r>
      <w:r>
        <w:rPr>
          <w:rStyle w:val="Emphasis"/>
          <w:rFonts w:ascii="Times New Roman;Times;serif" w:hAnsi="Times New Roman;Times;serif"/>
          <w:sz w:val="20"/>
        </w:rPr>
        <w:t>two</w:t>
      </w:r>
      <w:r>
        <w:rPr>
          <w:rFonts w:ascii="Times New Roman;Times;serif" w:hAnsi="Times New Roman;Times;serif"/>
          <w:sz w:val="20"/>
        </w:rPr>
        <w:t xml:space="preserve"> main product types: Manufactured Pipe and Mill Reject Pipe. In </w:t>
      </w:r>
      <w:r>
        <w:rPr>
          <w:rStyle w:val="Emphasis"/>
          <w:rFonts w:ascii="Times New Roman;Times;serif" w:hAnsi="Times New Roman;Times;serif"/>
          <w:sz w:val="20"/>
        </w:rPr>
        <w:t xml:space="preserve">March 2020, </w:t>
      </w:r>
      <w:r>
        <w:rPr>
          <w:rFonts w:ascii="Times New Roman;Times;serif" w:hAnsi="Times New Roman;Times;serif"/>
          <w:sz w:val="20"/>
        </w:rPr>
        <w:t xml:space="preserve">U.S. Steel announced the idling of their Lone Star Tubular Operations which was the Company's sole supplier of mill reject pipe. U.S. Steel's facility was idled as announced and the Company's receipts of mill reject pipe ceased in </w:t>
      </w:r>
      <w:r>
        <w:rPr>
          <w:rStyle w:val="Emphasis"/>
          <w:rFonts w:ascii="Times New Roman;Times;serif" w:hAnsi="Times New Roman;Times;serif"/>
          <w:sz w:val="20"/>
        </w:rPr>
        <w:t xml:space="preserve">August 2020. </w:t>
      </w:r>
      <w:r>
        <w:rPr>
          <w:rFonts w:ascii="Times New Roman;Times;serif" w:hAnsi="Times New Roman;Times;serif"/>
          <w:sz w:val="20"/>
        </w:rPr>
        <w:t xml:space="preserve">At </w:t>
      </w:r>
      <w:r>
        <w:rPr>
          <w:rStyle w:val="Emphasis"/>
          <w:rFonts w:ascii="Times New Roman;Times;serif" w:hAnsi="Times New Roman;Times;serif"/>
          <w:sz w:val="20"/>
        </w:rPr>
        <w:t xml:space="preserve">June 30, 2022, </w:t>
      </w:r>
      <w:r>
        <w:rPr>
          <w:rFonts w:ascii="Times New Roman;Times;serif" w:hAnsi="Times New Roman;Times;serif"/>
          <w:sz w:val="20"/>
        </w:rPr>
        <w:t xml:space="preserve">the Company was sold out of mill reject pipe so manufactured pipe was the sole revenue stream for the tubular segment for the remainder of fiscal </w:t>
      </w:r>
      <w:r>
        <w:rPr>
          <w:rStyle w:val="Emphasis"/>
          <w:rFonts w:ascii="Times New Roman;Times;serif" w:hAnsi="Times New Roman;Times;serif"/>
          <w:sz w:val="20"/>
        </w:rPr>
        <w:t>2023.</w:t>
      </w:r>
      <w:r>
        <w:rPr>
          <w:rFonts w:ascii="Times New Roman;Times;serif" w:hAnsi="Times New Roman;Times;serif"/>
          <w:sz w:val="20"/>
        </w:rPr>
        <w:t xml:space="preserve"> The Company has expanded its focus on manufactured pipe sales to counteract the impact of mill reject pipe revenue concluding.</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The following table disaggregates our revenue by product for each of our reportable business segments for the fiscal years ended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 (in thousands):</w:t>
      </w:r>
    </w:p>
    <w:p>
      <w:pPr>
        <w:pStyle w:val="TextBody"/>
        <w:bidi w:val="0"/>
        <w:spacing w:before="0" w:after="0"/>
        <w:ind w:left="0" w:right="0" w:hanging="0"/>
        <w:jc w:val="both"/>
        <w:rPr/>
      </w:pPr>
      <w:r>
        <w:rPr/>
        <w:t> </w:t>
      </w:r>
    </w:p>
    <w:tbl>
      <w:tblPr>
        <w:tblW w:w="6399" w:type="dxa"/>
        <w:jc w:val="left"/>
        <w:tblInd w:w="0" w:type="dxa"/>
        <w:tblLayout w:type="fixed"/>
        <w:tblCellMar>
          <w:top w:w="0" w:type="dxa"/>
          <w:left w:w="0" w:type="dxa"/>
          <w:bottom w:w="0" w:type="dxa"/>
          <w:right w:w="0" w:type="dxa"/>
        </w:tblCellMar>
      </w:tblPr>
      <w:tblGrid>
        <w:gridCol w:w="3815"/>
        <w:gridCol w:w="60"/>
        <w:gridCol w:w="175"/>
        <w:gridCol w:w="973"/>
        <w:gridCol w:w="84"/>
        <w:gridCol w:w="84"/>
        <w:gridCol w:w="175"/>
        <w:gridCol w:w="973"/>
        <w:gridCol w:w="60"/>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 Ended March 31,</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Coil Segment: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Prime Coil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479,316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219,483</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Non-standard Coil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3,574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9,597</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Processing or Storage of Customer Owned Coil</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2,751</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1,358</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b/>
                <w:sz w:val="20"/>
              </w:rPr>
              <w:t>485,641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230,438</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Tubular Segment: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Manufactured Pipe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61,451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44,485</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Mill Reject Pipe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450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10,312</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61,901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SCHEDULE II — VALUATION AND QUALIFYING ACCOUNTS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FRIEDMAN INDUSTRIES, INCORPORATED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5805"/>
        <w:gridCol w:w="60"/>
        <w:gridCol w:w="323"/>
        <w:gridCol w:w="586"/>
        <w:gridCol w:w="60"/>
        <w:gridCol w:w="60"/>
        <w:gridCol w:w="362"/>
        <w:gridCol w:w="667"/>
        <w:gridCol w:w="60"/>
        <w:gridCol w:w="60"/>
        <w:gridCol w:w="178"/>
        <w:gridCol w:w="772"/>
        <w:gridCol w:w="60"/>
        <w:gridCol w:w="60"/>
        <w:gridCol w:w="278"/>
        <w:gridCol w:w="751"/>
        <w:gridCol w:w="63"/>
      </w:tblGrid>
      <w:tr>
        <w:trPr/>
        <w:tc>
          <w:tcPr>
            <w:tcW w:w="5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9" w:type="dxa"/>
            <w:gridSpan w:val="2"/>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 at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2" w:type="dxa"/>
            <w:tcBorders/>
            <w:tcMar>
              <w:bottom w:w="0" w:type="dxa"/>
            </w:tcMar>
            <w:vAlign w:val="center"/>
          </w:tcPr>
          <w:p>
            <w:pPr>
              <w:pStyle w:val="TableContents"/>
              <w:bidi w:val="0"/>
              <w:spacing w:before="0" w:after="283"/>
              <w:jc w:val="left"/>
              <w:rPr/>
            </w:pPr>
            <w:r>
              <w:rPr/>
              <w:t> </w:t>
            </w:r>
          </w:p>
        </w:tc>
        <w:tc>
          <w:tcPr>
            <w:tcW w:w="6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center"/>
              <w:rPr/>
            </w:pPr>
            <w:r>
              <w:rPr/>
              <w:t> </w:t>
            </w:r>
          </w:p>
        </w:tc>
        <w:tc>
          <w:tcPr>
            <w:tcW w:w="63" w:type="dxa"/>
            <w:tcBorders/>
            <w:tcMar>
              <w:bottom w:w="0" w:type="dxa"/>
            </w:tcMar>
            <w:vAlign w:val="center"/>
          </w:tcPr>
          <w:p>
            <w:pPr>
              <w:pStyle w:val="TableContents"/>
              <w:bidi w:val="0"/>
              <w:spacing w:before="0" w:after="283"/>
              <w:jc w:val="left"/>
              <w:rPr/>
            </w:pPr>
            <w:r>
              <w:rPr/>
              <w:t> </w:t>
            </w:r>
          </w:p>
        </w:tc>
      </w:tr>
      <w:tr>
        <w:trPr/>
        <w:tc>
          <w:tcPr>
            <w:tcW w:w="5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9" w:type="dxa"/>
            <w:gridSpan w:val="2"/>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Beginning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2" w:type="dxa"/>
            <w:tcBorders/>
            <w:tcMar>
              <w:bottom w:w="0" w:type="dxa"/>
            </w:tcMar>
            <w:vAlign w:val="center"/>
          </w:tcPr>
          <w:p>
            <w:pPr>
              <w:pStyle w:val="TableContents"/>
              <w:bidi w:val="0"/>
              <w:spacing w:before="0" w:after="283"/>
              <w:jc w:val="left"/>
              <w:rPr/>
            </w:pPr>
            <w:r>
              <w:rPr/>
              <w:t> </w:t>
            </w:r>
          </w:p>
        </w:tc>
        <w:tc>
          <w:tcPr>
            <w:tcW w:w="6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29" w:type="dxa"/>
            <w:gridSpan w:val="2"/>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 at</w:t>
            </w:r>
          </w:p>
        </w:tc>
        <w:tc>
          <w:tcPr>
            <w:tcW w:w="63" w:type="dxa"/>
            <w:tcBorders/>
            <w:tcMar>
              <w:bottom w:w="0" w:type="dxa"/>
            </w:tcMar>
            <w:vAlign w:val="center"/>
          </w:tcPr>
          <w:p>
            <w:pPr>
              <w:pStyle w:val="TableContents"/>
              <w:bidi w:val="0"/>
              <w:spacing w:before="0" w:after="283"/>
              <w:jc w:val="left"/>
              <w:rPr/>
            </w:pPr>
            <w:r>
              <w:rPr/>
              <w:t> </w:t>
            </w:r>
          </w:p>
        </w:tc>
      </w:tr>
      <w:tr>
        <w:trPr/>
        <w:tc>
          <w:tcPr>
            <w:tcW w:w="5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Period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Deductions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 of Period</w:t>
            </w:r>
          </w:p>
        </w:tc>
        <w:tc>
          <w:tcPr>
            <w:tcW w:w="63" w:type="dxa"/>
            <w:tcBorders/>
            <w:tcMar>
              <w:bottom w:w="0" w:type="dxa"/>
            </w:tcMar>
            <w:vAlign w:val="center"/>
          </w:tcPr>
          <w:p>
            <w:pPr>
              <w:pStyle w:val="TableContents"/>
              <w:bidi w:val="0"/>
              <w:spacing w:before="0" w:after="283"/>
              <w:jc w:val="left"/>
              <w:rPr/>
            </w:pPr>
            <w:r>
              <w:rPr/>
              <w:t> </w:t>
            </w:r>
          </w:p>
        </w:tc>
      </w:tr>
      <w:tr>
        <w:trPr/>
        <w:tc>
          <w:tcPr>
            <w:tcW w:w="58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58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 </w:t>
            </w:r>
          </w:p>
        </w:tc>
        <w:tc>
          <w:tcPr>
            <w:tcW w:w="6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580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doubtful accounts receivable and cash discounts (deducted from related asset account)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58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March 31,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58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 </w:t>
            </w:r>
          </w:p>
        </w:tc>
        <w:tc>
          <w:tcPr>
            <w:tcW w:w="6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580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doubtful accounts receivable and cash discounts (deducted from related asset account)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6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Additions consist of charges to bad debt expense of approximately $98 and $67 during fiscal years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36"/>
        </w:rPr>
      </w:pPr>
      <w:r>
        <w:rPr>
          <w:rFonts w:ascii="Times New Roman;Times;serif" w:hAnsi="Times New Roman;Times;serif"/>
          <w:b/>
          <w:sz w:val="36"/>
        </w:rPr>
        <w:t>REPORT OF INDEPENDENT REGISTERED PUBLIC ACCOUNTING FIRM</w:t>
      </w:r>
      <w:r>
        <w:rPr>
          <w:rFonts w:ascii="Times New Roman;Times;serif" w:hAnsi="Times New Roman;Times;serif"/>
          <w:sz w:val="36"/>
        </w:rPr>
        <w:t> </w:t>
      </w:r>
    </w:p>
    <w:p>
      <w:pPr>
        <w:pStyle w:val="TextBody"/>
        <w:bidi w:val="0"/>
        <w:spacing w:before="0" w:after="0"/>
        <w:ind w:left="0" w:right="0" w:hanging="0"/>
        <w:jc w:val="both"/>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Friedman Industries,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Friedman Industries, Incorporated and subsidiary (the “Company”) as of March 31, 2023 and 2022, the related consolidated statements of operations, comprehensive income, stockholders’ equity, and cash flows for the years then ended, and the related notes and schedule (collectively referred to as the “consolidated financial statements”). In our opinion, the consolidated financial statements present fairly, in all material respects, the consolidated financial position of the Company as of March 31, 2023 and 2022, and the consolidated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 Moss Adams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Houston, Texas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July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March 31, 2023, we performed an evaluation under the supervision and with the participation of management, including our Chief Executive Officer and our Chief Financial Officer, of the design and effectiveness of our disclosure controls and procedures (as defined in Rules 13a-15(e) or 15d-15(e) under the Securities Exchange Act of 1934 as amended (the “Exchange Act”). Based upon that evaluation, our Chief Executive Officer and Chief Financial Officer concluded, as of the end of the period covered by this Annual Report that our disclosure controls and procedures were not effective due to material weaknesses in internal control over financial reporting as discussed in Management's Report on Internal Control over Financial Reporting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Notwithstanding the material weaknesses described in Management's Report on Internal Control Over Financial Reporting, our management has concluded that our consolidated financial statements for the periods covered by and included in this Annual Report are prepared in accordance with accounting principles generally accepted in the United States (“GAAP”) and fairly present, in all material respects, our financial position, results of operations and cash flows for each of the periods presented herein.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MANAGEMENT’S REPORT ON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is defined in the Exchange Act. Internal control over financial reporting is a process designed to provide reasonable assurance regarding the reliability of our financial reporting and the preparation of financial statements for external reporting purposes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management conducted an evaluation, under the supervision and with the participation of our Chief Executive Officer and Chief Financial Officer, of the effectiveness of our internal control over financial reporting based on the framework in </w:t>
      </w:r>
      <w:r>
        <w:rPr>
          <w:rFonts w:ascii="Times New Roman" w:hAnsi="Times New Roman"/>
          <w:i/>
          <w:caps w:val="false"/>
          <w:smallCaps w:val="false"/>
          <w:sz w:val="20"/>
        </w:rPr>
        <w:t>Internal Control-Integrated Framework (2013)</w:t>
      </w:r>
      <w:r>
        <w:rPr>
          <w:rFonts w:ascii="Times New Roman" w:hAnsi="Times New Roman"/>
          <w:caps w:val="false"/>
          <w:smallCaps w:val="false"/>
          <w:sz w:val="20"/>
        </w:rPr>
        <w:t> issued by the Committee of Sponsoring Organizations of the Treadway Commission (“COSO”). Based on this evaluation, our management concluded that our internal control over financial reporting was not effective at March 31, 2023 because of the material weaknesses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Based on the COSO criteria, management identified control deficiencies that constitute material weaknesses.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were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Material weaknesses related to financial closing and reporting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its assessment of internal control over financial reporting, management concluded that the Company did not design and implement appropriate control activities necessary to provide reasonable assurance regarding the reliability of financial reporting and the preparation of the financial statements.  In certain cases, controls were designed and implemented late in the fiscal year, thus did not have sufficient time to evidence their operating effectiveness. Certain management review controls were not designed to operate at an appropriate level of precision to detect potential material errors. In addition, for certain controls, segregation of duties was not adequate. For a number of controls, documentation of completeness and accuracy of key reports was not adequately maintained as well as support for evidence of performance was insufficient. Management also identified instances of certain controls missing that would be necessary to address risks of material misstatement in some transaction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Plan for Remediation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prior year, the Company identified that the number of accounting personnel and the limited utilization of information technology in its control structure were the primary contributing factors to the material weaknesses identified. The Company hired additional personnel during fiscal 2023 and believes it is adequately staffed to execute the remediation plans developed by management. The previously identified material weaknesses have not been remediated due to ongoing post-acquisition integration during fiscal 2023. The operation of the full business in a new enterprise resource planning ("ERP") system is the most significant piece of this integration. All of the Company's coil segment locations were integrated into the new ERP system as of February 2023. The Company's tubular segment is expected to go live under the new ERP system during the second quarter of fiscal year March 31, 2024. The Company expects the new ERP system to allow for many of the Company’s current manual controls and missing controls to be performed by the design and capabilities of the ERP system rather than relying on manual human execution. With most of the post-acquisition integration completed, the Company expects its additional personnel will be able to dedicate the necessary time during fiscal 2024 to improve the design, documentation and execution of internal controls.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shd w:fill="FFFFFF" w:val="clear"/>
        </w:rPr>
      </w:pPr>
      <w:r>
        <w:rPr>
          <w:rFonts w:ascii="Times New Roman" w:hAnsi="Times New Roman"/>
          <w:b/>
          <w:i/>
          <w:caps w:val="false"/>
          <w:smallCaps w:val="false"/>
          <w:sz w:val="20"/>
          <w:shd w:fill="FFFFFF" w:val="clear"/>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Except for the matters discussed above, there were no changes in our internal control over financial reporting that occurred during our most recent fiscal </w:t>
      </w:r>
      <w:r>
        <w:rPr>
          <w:rFonts w:ascii="Times New Roman" w:hAnsi="Times New Roman"/>
          <w:caps w:val="false"/>
          <w:smallCaps w:val="false"/>
          <w:sz w:val="20"/>
        </w:rPr>
        <w:t>quarter</w:t>
      </w:r>
      <w:r>
        <w:rPr>
          <w:rFonts w:ascii="Times New Roman" w:hAnsi="Times New Roman"/>
          <w:caps w:val="false"/>
          <w:smallCaps w:val="false"/>
          <w:sz w:val="20"/>
          <w:shd w:fill="FFFFFF" w:val="clear"/>
        </w:rPr>
        <w:t xml:space="preserve"> that have materially affected, or are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36"/>
        </w:rPr>
      </w:pPr>
      <w:r>
        <w:rPr>
          <w:rFonts w:ascii="Times New Roman;Times;serif" w:hAnsi="Times New Roman;Times;serif"/>
          <w:b/>
          <w:sz w:val="36"/>
        </w:rPr>
        <w:t xml:space="preserve">MANAGEMENT’S DISCUSSION AND ANALYSIS OF FINANCIAL CONDITION AND RESULTS OF OPERATIONS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Friedman Industries, Incorporated is a manufacturer and processor of steel products and operates in two reportable segments: coil products and tubular products.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t> </w:t>
      </w:r>
      <w:r>
        <w:rPr>
          <w:rFonts w:ascii="Times New Roman;Times;serif" w:hAnsi="Times New Roman;Times;serif"/>
          <w:sz w:val="20"/>
        </w:rPr>
        <w:t>The coil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2 to the consolidated financial statements.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coil product segment revenue is generated from sales of Company owned inventory but the segment also generates revenue from the processing or storage of customer owned coils on a fee basis.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w:t>
      </w:r>
      <w:r>
        <w:rPr>
          <w:rFonts w:ascii="Times New Roman;Times;serif" w:hAnsi="Times New Roman;Times;serif"/>
          <w:sz w:val="20"/>
          <w:shd w:fill="FFFFFF" w:val="clear"/>
        </w:rPr>
        <w:t xml:space="preserve"> TTP has a pipe finishing facility capable of applying threads and couplings to oil country tubular goods and performing other services that are customary in the pipe finishing process. The pipe finishing facility is currently idled.</w:t>
      </w:r>
      <w:r>
        <w:rPr>
          <w:rFonts w:ascii="Times New Roman;Times;serif" w:hAnsi="Times New Roman;Times;serif"/>
          <w:sz w:val="20"/>
        </w:rPr>
        <w:t xml:space="preserve"> All of the tubular segment's revenue is generated from sales of Company owned inventory.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 xml:space="preserve">Year ended March 31, 2023 compared to year ended March 31, 2022 </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March 31, 2023 ("fiscal 2023"), sales, costs of goods sold and gross profit increased approximately $262.3 million, $260.2 million and $2.1 million, respectively, from the comparable amounts recorded during the year ended March 31, 2022 (“fiscal 2022”). The increase in sales was primarily related to an increase in sales volume. Sales volume increased from approximately 200,000 tons in fiscal 2022 to approximately 467,000 tons in fiscal 2023. The acquisition of facilities and inventory from Plateplus, Inc. in April 2022 and the Company's newly constructed facility in Sinton, TX commencing operations in October 2022 account for approximately 265,000 tons of the fiscal 2023 sales volume. Discussion of the changes in sales volume and average selling price is expanded upon at the segment level in the following paragraphs. Gross profit increased from approximately $41.0 million for fiscal 2022 to approximately $43.1 million for fiscal 2023. Gross profit as a percentage of sales decreased from approximately 14.4% in fiscal 2022 to approximately 7.9% in fiscal 2023. Gross profit for fiscal 2023 and fiscal 2022 included recognized losses related to hedging activities designated for hedge accounting of approximately $4.1 million and </w:t>
      </w:r>
      <w:r>
        <w:rPr>
          <w:rFonts w:ascii="Times New Roman;Times;serif" w:hAnsi="Times New Roman;Times;serif"/>
          <w:sz w:val="20"/>
          <w:shd w:fill="FFFFFF" w:val="clear"/>
        </w:rPr>
        <w:t>$21.1 million, respectively. </w:t>
      </w:r>
      <w:r>
        <w:rPr>
          <w:rFonts w:ascii="Times New Roman;Times;serif" w:hAnsi="Times New Roman;Times;serif"/>
          <w:sz w:val="20"/>
        </w:rPr>
        <w:t>Excluding these recognized hedging losses, gross profit related to physical material as a percentage of sales was approximately 8.6% for fiscal 2023 compared to approximately 19.6% for fiscal 2022.</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operating results are significantly impacted by the market price of hot-rolled steel coil ("HRC"). The Company experienced significant volatility in steel price during both fiscal 2023 and fiscal 2022. HRC prices were on a historic rise entering fiscal 2022 that continued until reaching an all-time high of approximately $1,950 per ton at the end of August 2021. From September 2021 to February 2022, HRC prices declined approximately 52% until the Russian invasion of Ukraine triggered a sharp and abrupt increase. HRC prices increased approximately 60% from the beginning of March 2022 to the end of April 2022 and then declined approximately 60% until the middle of December 2022. From December 2022 to the end of fiscal 2023, HRC prices increased approximately 87%. For fiscal 2022, these circumstances created record margins for the first half of the year followed by margin compression for the second half of they year. However, with the margin compression starting from a historic margin level, fiscal 2022 is characterized overall as a period of very strong margins. For fiscal 2023, these circumstance created strong margins for the first fiscal quarter followed by compressed margins until the fourth fiscal quarter when margins began improving. Fiscal 2023 is characterized overall as a period of modest margins. The Company has attained its most profitable fiscal year for two years in a row with net earnings for fiscal 2023 of approximately $21.3 million and net earnings for fiscal 2022 of approximately $14.1 million.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Coil Segment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Coil product segment sales for fiscal 2023 totaled approximately $485.6 million compared to approximately $230.4 million for fiscal 2022. For a more complete understanding of the average selling prices of goods sold, it is helpful to exclude any hedging related gains or losses that are captured in sales and any sales generated from processing of customer owned material. Coil segment sales for fiscal 2023 were reduced by approximately $4.1 million for the recognition of hedging related losses. Coil segment sales for fiscal 2022 were reduced by approximately $28.4 million for the recognition of hedging related losses. Sales generated from processing or storage of customer owned material totaled approximately $2.8 million for fiscal 2023 compared to approximately $1.4 million for fiscal 2022. Sales generated from coil segment inventory, excluding the impact of any hedging related gains or losses, totaled approximately $486.9 million for fiscal 2023 compared to approximately $257.4 million for fiscal 2022. The average per ton selling price related to these shipments decreased from approximately $1,693 per ton in fiscal 2022 to approximately $1,131 per ton in fiscal 2023. Inventory tons sold increased from approximately 152,000 tons in fiscal 2022 to approximately 430,500 tons in fiscal 2023. The significant increase in sales volume was primarily attributable to the facilities and inventory acquired from Plateplus and the startup of the new Sinton facility which combined account for approximately 265,000 tons of the 430,500 tons sold in fiscal 2023. Coil segment operations recorded operating profits of approximately $23.4 million and $31.8 million in fiscal 2023 and fiscal 2022, respectively. Operating profit for fiscal 2023 includes recognized net losses on hedging activities of approximately $4.1 million while fiscal 2022 operating profit included recognized net losses on hedging activities of approximately $18.0 million.</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coil segment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Tubular Segment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Tubular product segment sales for fiscal 2023 totaled approximately $61.9 million compared to approximately $54.8 million for fiscal 2022. Sales increased due to an increase in the average selling price per ton, partially offset by a decline in the volume sold. For a more complete understanding of the average selling prices of goods sold, it is helpful to exclude any hedging related gains or losses that are captured in sales. Tubular segment sales for fiscal 2023 were not impacted by any hedging related gains or losses. Tubular segment sales for fiscal 2022 were reduced by approximately $3.3 million for the recognition of hedging related losses. Sales generated from tubular segment inventory, excluding the impact of any hedging related gains or losses, totaled approximated $61.9 million for fiscal 2023 compared to approximately $58.1 million for fiscal 2022. The average per ton selling price related to these shipments increased from approximately $1,221 per ton for fiscal 2022 to approximately $1,700 per ton for fiscal 2023. Tons sold decreased from approximately 47,500 tons in fiscal 2022 to approximately 36,500 tons in fiscal 2023. The decline in sales volume was primarily related to a decline in mill reject pipe sales partially offset by an increase in manufactured pipe sales. U.S. Steel's Lone Star Tubular Operations was the Company's sole source of supply for mill reject pipe. With U.S. Steel's idling of their Lone Star Operations, the Company's receipts of mill reject pipe ceased in August 2020 and the inventory balance started to decline steadily each quarter. The Company sold out of mill reject pipe during fiscal 2023. Mill reject pipe sales volume was approximately 1,000 tons for fiscal 2023 compared to approximately 21,500 tons for fiscal 2022. Manufactured pipe sales volume was approximately 35,500 tons for fiscal 2023 compared to approximately 26,000 tons for fiscal 2022. The average selling price increase was also primarily related to this shift in sales mix between manufactured pipe and mill reject pipe. The selling price associated with manufactured pipe is typically much higher than the selling price associated with mill reject pipe. The Company will continue to focus on the expansion of its manufactured pipe operations to counteract the impact of mill reject pipe sales ending. Tubular segment operations recorded operating profits of approximately $8.6 million and $2.4 million for fiscal 2023 and 2022, respectively. Operating profit for fiscal 2023 was not impacted by any hedging related gains or losses while fiscal 2022 operating profit included net recognized losses on hedging activities of approximately $3.1 million.</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tubular segment purchases its inventory from a limited number of suppliers. Loss of any of these suppliers could have a material adverse effect on the Company’s business.</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 Costs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fiscal 2023, selling, general and administrative costs increased approximately $9.5 million compared to fiscal 2022. This increase is primarily associated with costs associated with the Plateplus transaction and increased personnel. Cost for fiscal 2023 includes approximately $1.2 million of one-time expenses related to the Plateplus transaction. Cost for fiscal 2023 includes approximately $3.4 million of general, selling and administrative costs associated with the East Chicago and Granite City locations acquired from Plateplus, approximately $0.4 million associated with the new Sinton facility and approximately $2.6 million in personnel costs for additional sales, accounting, IT and corporate employees hired during fiscal 2023. The remaining increase is associated with the significant increase in the scale of our business during fiscal 2023 which caused increased expenses in a variety of selling, general and administrative areas.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shd w:fill="FFFFFF" w:val="clear"/>
        </w:rPr>
        <w:t>Other</w:t>
      </w:r>
      <w:r>
        <w:rPr>
          <w:rFonts w:ascii="Times New Roman;Times;serif" w:hAnsi="Times New Roman;Times;serif"/>
          <w:b/>
          <w:sz w:val="20"/>
        </w:rPr>
        <w:t xml:space="preserve"> Income</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For fiscal 2022, the Company reported other income of approximately $1.7 million which consists primarily of a gain of approximately $1.7 million associated with the forgiveness of the Company's Paycheck Protection Program loan.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Income taxes increased from a provision for fiscal 2022 of approximately $4.3 million to a provision for fiscal 2023 of approximately $6.8 million. This increase was related primarily to the increased earnings before tax for fiscal 2023 compared to fiscal 2022.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FINANCIAL CONDITION, LIQUIDITY AND SOURCES OF CAPITAL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current ratio was 3.2 and 2.1 at March 31, 2023 and 2022, respectively. Working capital was approximately $98.6 million at March 31, 2023 and $64.6 million at March 31, 2022.</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March 31, 2023, the Company maintained assets and liabilities at levels it believed were commensurate with operations. Changes in balance sheet amounts occurred in the ordinary course of business and due to the transaction with Plateplus described in Note 2 to the consolidated financial statements. Accounts receivable and inventories increased significantly due primarily to the Plateplus transaction. Cash and restricted cash decreased primarily due to the Plateplus acquisition investing activities partially offset by cash generated from the Company's operating activities and by cash provided from the Company's credit facility. The Company expects to continue to monitor, evaluate and manage balance sheet components depending on changes in market conditions and the Company’s operations.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June 2021, the Small Business Administration authorized full forgiveness of the Company's Paycheck Protection Program loan.</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29, 2022, the Company entered into a Second Amendment to its asset-based lending facility ("ABL Facility") provided by JPMorgan Chase Bank, N.A. The Second Amendment increased the revolving loans available under the ABL facility from an aggregate principal amount of up to $75 million to an aggregate principal amount of up to $150 million.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On July 6, 2022, the Company entered into a Third Amendment to the ABL Facility. The Third Amendment to the ABL Facility provides for the syndication of the asset based revolving loans available thereunder with BMO Harris Bank, N.A. ("BMO") with JPMorgan Chase Bank serving as the arranging agent (the "Agent"). The Third Amendment also amends provisions of the ABL Facility authorizing the Agent to make protective advances under the ABL Facility and adds a covenant requiring each of the Company and its subsidiaries to maintain the Agent as its principal depository bank. In connection with the Third Amendment, the Company also entered into a Revolving Note payable to BMO in a principal amount of up to $50 million establishing BMO as a one-third syndicated participant in the Company's ABL facility. At March 31, 2023, the Company had a balance of approximately $33.1 million under the ABL Facility with an applicable interest rate of 7.0%. At March 31, 2023, the Company's applicable borrowing base calculation supported access to approximately $94.2 million of the ABL Facility. As of the filing date of this Form 10-K, the Company had borrowings of approximately $32.5 million outstanding under the ABL Facility and the Company's most recent borrowing base calculation provided access to approximately $111.0 million of the ABL Facility.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believes that its current cash position along with cash flows from operations and borrowing capability due to its financial position are adequate to fund its expected cash requirements for the next 12 months.</w:t>
      </w:r>
    </w:p>
    <w:p>
      <w:pPr>
        <w:pStyle w:val="TextBody"/>
        <w:bidi w:val="0"/>
        <w:spacing w:before="0" w:after="0"/>
        <w:ind w:left="0" w:right="0" w:firstLine="49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DERIVATIVE CONTRACTS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use futures contracts to partially manage exposure to commodity price risk. The Company elects hedge accounting for some of its derivatives and classifies the transactions as either cash flow hedges or fair value hedges. The Company may also transact futures contracts as economic hedges of risk where hedge accounting is not elected. For fiscal 2023, the Company recognized net losses of approximately $4.1 million related to derivatives designated for hedge accounting and classified as cash flow hedges</w:t>
      </w:r>
      <w:r>
        <w:rPr>
          <w:rFonts w:ascii="Times New Roman;Times;serif" w:hAnsi="Times New Roman;Times;serif"/>
          <w:sz w:val="20"/>
          <w:shd w:fill="FFFFFF" w:val="clear"/>
        </w:rPr>
        <w:t> </w:t>
      </w:r>
      <w:r>
        <w:rPr>
          <w:rFonts w:ascii="Times New Roman;Times;serif" w:hAnsi="Times New Roman;Times;serif"/>
          <w:sz w:val="20"/>
        </w:rPr>
        <w:t>and recognized net gains of approximately $9.3 million related to economic hedges of risk. For fiscal 2022, the Company recognized net losses of approximately $21.1 million related to derivatives designated for hedge accounting and classified as cash flow hedges</w:t>
      </w:r>
      <w:r>
        <w:rPr>
          <w:rFonts w:ascii="Times New Roman;Times;serif" w:hAnsi="Times New Roman;Times;serif"/>
          <w:sz w:val="20"/>
          <w:shd w:fill="FFFFFF" w:val="clear"/>
        </w:rPr>
        <w:t> </w:t>
      </w:r>
      <w:r>
        <w:rPr>
          <w:rFonts w:ascii="Times New Roman;Times;serif" w:hAnsi="Times New Roman;Times;serif"/>
          <w:sz w:val="20"/>
        </w:rPr>
        <w:t>and recognized losses of approximately $11.6 million related to economic hedges of risk. See Note 7 to the consolidated financial statements</w:t>
      </w:r>
      <w:r>
        <w:rPr>
          <w:rFonts w:ascii="Times New Roman;Times;serif" w:hAnsi="Times New Roman;Times;serif"/>
          <w:sz w:val="20"/>
          <w:shd w:fill="FFFFFF" w:val="clear"/>
        </w:rPr>
        <w:t> </w:t>
      </w:r>
      <w:r>
        <w:rPr>
          <w:rFonts w:ascii="Times New Roman;Times;serif" w:hAnsi="Times New Roman;Times;serif"/>
          <w:sz w:val="20"/>
        </w:rPr>
        <w:t>for further information related to the Company's derivative financial instruments.</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50"/>
        <w:jc w:val="both"/>
        <w:rPr>
          <w:rFonts w:ascii="Times New Roman;Times;serif" w:hAnsi="Times New Roman;Times;serif"/>
          <w:b/>
          <w:sz w:val="20"/>
          <w:shd w:fill="FFFFFF" w:val="clear"/>
        </w:rPr>
      </w:pPr>
      <w:r>
        <w:rPr>
          <w:rFonts w:ascii="Times New Roman;Times;serif" w:hAnsi="Times New Roman;Times;serif"/>
          <w:b/>
          <w:sz w:val="20"/>
          <w:shd w:fill="FFFFFF" w:val="clear"/>
        </w:rPr>
        <w:t>OUTLOOK</w:t>
      </w:r>
    </w:p>
    <w:p>
      <w:pPr>
        <w:pStyle w:val="TextBody"/>
        <w:bidi w:val="0"/>
        <w:spacing w:before="0" w:after="0"/>
        <w:ind w:left="0" w:right="0" w:hanging="5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expects sales volume for its first quarter of fiscal 2024 to be approximately the same as sales volume for the fourth quarter of fiscal 2023. The Company expects margin improvement for the first quarter compared to the fourth quarter due to the rising hot-rolled coil prices entering the first quarter. Overall, the Company expects the first quarter to be one of the more profitable quarters in Company history.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OFF-BALANCE SHEET ARRANGEMENTS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has no off-balance sheet arrangements.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INFLATION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fiscal 2023 and fiscal 2022, the Company believes that the general level of inflation did not have a material effect on the Company's operations.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for the Company include determining the fair value of assets acquired and liabilities assumed in the business combination discussed in Note 2.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CAUTIONARY NOTE REGARDING FORWARD-LOOKING STATEMENTS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36"/>
        </w:rPr>
      </w:pPr>
      <w:r>
        <w:rPr>
          <w:rFonts w:ascii="Times New Roman;Times;serif" w:hAnsi="Times New Roman;Times;serif"/>
          <w:b/>
          <w:sz w:val="36"/>
        </w:rPr>
        <w:t>TEN YEAR FINANCIAL SUMMARY</w:t>
      </w:r>
      <w:r>
        <w:rPr>
          <w:rFonts w:ascii="Times New Roman;Times;serif" w:hAnsi="Times New Roman;Times;serif"/>
          <w:sz w:val="36"/>
        </w:rPr>
        <w:t xml:space="preserve"> </w:t>
      </w:r>
      <w:r>
        <w:rPr>
          <w:rFonts w:ascii="Times New Roman;Times;serif" w:hAnsi="Times New Roman;Times;serif"/>
          <w:b/>
          <w:sz w:val="36"/>
        </w:rPr>
        <w:t>(Unaudited)</w:t>
      </w:r>
      <w:r>
        <w:rPr>
          <w:rFonts w:ascii="Times New Roman;Times;serif" w:hAnsi="Times New Roman;Times;serif"/>
          <w:sz w:val="36"/>
        </w:rPr>
        <w:t xml:space="preserve"> </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(In thousands, except for share, per share and percentage data)</w:t>
      </w:r>
    </w:p>
    <w:p>
      <w:pPr>
        <w:pStyle w:val="TextBody"/>
        <w:bidi w:val="0"/>
        <w:spacing w:before="0" w:after="0"/>
        <w:ind w:left="0" w:right="0" w:hanging="0"/>
        <w:jc w:val="left"/>
        <w:rPr/>
      </w:pPr>
      <w:r>
        <w:rPr/>
        <w:t> </w:t>
      </w:r>
    </w:p>
    <w:tbl>
      <w:tblPr>
        <w:tblW w:w="10750" w:type="dxa"/>
        <w:jc w:val="left"/>
        <w:tblInd w:w="0" w:type="dxa"/>
        <w:tblLayout w:type="fixed"/>
        <w:tblCellMar>
          <w:top w:w="0" w:type="dxa"/>
          <w:left w:w="0" w:type="dxa"/>
          <w:bottom w:w="0" w:type="dxa"/>
          <w:right w:w="0" w:type="dxa"/>
        </w:tblCellMar>
      </w:tblPr>
      <w:tblGrid>
        <w:gridCol w:w="995"/>
        <w:gridCol w:w="60"/>
        <w:gridCol w:w="110"/>
        <w:gridCol w:w="740"/>
        <w:gridCol w:w="60"/>
        <w:gridCol w:w="60"/>
        <w:gridCol w:w="110"/>
        <w:gridCol w:w="740"/>
        <w:gridCol w:w="60"/>
        <w:gridCol w:w="60"/>
        <w:gridCol w:w="110"/>
        <w:gridCol w:w="740"/>
        <w:gridCol w:w="60"/>
        <w:gridCol w:w="60"/>
        <w:gridCol w:w="110"/>
        <w:gridCol w:w="740"/>
        <w:gridCol w:w="80"/>
        <w:gridCol w:w="60"/>
        <w:gridCol w:w="110"/>
        <w:gridCol w:w="740"/>
        <w:gridCol w:w="60"/>
        <w:gridCol w:w="60"/>
        <w:gridCol w:w="110"/>
        <w:gridCol w:w="740"/>
        <w:gridCol w:w="60"/>
        <w:gridCol w:w="60"/>
        <w:gridCol w:w="110"/>
        <w:gridCol w:w="740"/>
        <w:gridCol w:w="80"/>
        <w:gridCol w:w="60"/>
        <w:gridCol w:w="110"/>
        <w:gridCol w:w="740"/>
        <w:gridCol w:w="60"/>
        <w:gridCol w:w="60"/>
        <w:gridCol w:w="110"/>
        <w:gridCol w:w="740"/>
        <w:gridCol w:w="60"/>
        <w:gridCol w:w="60"/>
        <w:gridCol w:w="110"/>
        <w:gridCol w:w="740"/>
        <w:gridCol w:w="7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20" w:type="dxa"/>
            <w:gridSpan w:val="3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Year Ended March 31</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left"/>
              <w:rPr/>
            </w:pPr>
            <w:r>
              <w:rPr/>
              <w:t>         </w:t>
            </w:r>
            <w:r>
              <w:rPr>
                <w:rFonts w:ascii="Times New Roman;Times;serif" w:hAnsi="Times New Roman;Times;serif"/>
                <w:sz w:val="16"/>
              </w:rPr>
              <w:t>2018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As 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2017*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2016*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2014*</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547,542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285,235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116,149</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 (loss)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1,713</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143,656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59,847</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45,088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7,771</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Working capital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98,568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52,076</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199,312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72,284</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115,432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63,311</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 (loss) as a percentage of Net sales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Basic</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7,216,142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6,623,769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7,027,707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7,000,403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7,009,444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6,851,944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6,799,444</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Per 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 (loss) per share: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0.25</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 figures for fiscal years 2014 to 2017 have not been adjusted for a change in accounting principle where the Company changed its valuation method for prime coil inventory from the LIFO method to the average cost method. The change in accounting principle was effective for fiscal 2019 and fiscal 2018 figures were adjusted to meet comparative financial statement reporting requirements. The impact of the change in accounting principle on fiscal years 2014 to 2017 has not been quantified by the Company and could be material, therefore, the figures may not be comparable to fiscal years 2018 to 2023.</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31 </w:t>
      </w:r>
    </w:p>
    <w:p>
      <w:pPr>
        <w:pStyle w:val="TextBody"/>
        <w:bidi w:val="0"/>
        <w:spacing w:before="0" w:after="0"/>
        <w:ind w:left="0" w:right="0" w:hanging="0"/>
        <w:jc w:val="left"/>
        <w:rPr/>
      </w:pPr>
      <w:bookmarkStart w:id="6" w:name="ex_489159.htm"/>
      <w:bookmarkStart w:id="7" w:name="ksex_489159"/>
      <w:bookmarkEnd w:id="6"/>
      <w:bookmarkEnd w:id="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14.1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FRIEDMAN INDUSTRIES,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CODE OF CONDUCT AND ETHICS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It is the policy of Friedman Industries, Incorporated (the “Company”) to endeavor to conduct business with the highest standards of honesty and integrity and in compliance with all applicable laws. In view thereof, the Company’s Board of Directors has adopted this Code of Conduct and Ethics (the “Code”).</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addition to other Company policies, all Company employees, directors and officers are expected to:</w:t>
      </w:r>
    </w:p>
    <w:p>
      <w:pPr>
        <w:pStyle w:val="TextBody"/>
        <w:bidi w:val="0"/>
        <w:spacing w:before="0" w:after="0"/>
        <w:ind w:left="0" w:right="0" w:hanging="0"/>
        <w:jc w:val="left"/>
        <w:rPr/>
      </w:pPr>
      <w:r>
        <w:rPr/>
        <w:t> </w:t>
      </w:r>
    </w:p>
    <w:tbl>
      <w:tblPr>
        <w:tblW w:w="5950" w:type="dxa"/>
        <w:jc w:val="left"/>
        <w:tblInd w:w="0" w:type="dxa"/>
        <w:tblLayout w:type="fixed"/>
        <w:tblCellMar>
          <w:top w:w="0" w:type="dxa"/>
          <w:left w:w="0" w:type="dxa"/>
          <w:bottom w:w="0" w:type="dxa"/>
          <w:right w:w="0" w:type="dxa"/>
        </w:tblCellMar>
      </w:tblPr>
      <w:tblGrid>
        <w:gridCol w:w="60"/>
        <w:gridCol w:w="110"/>
        <w:gridCol w:w="5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57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Carry out their duties honestly and with the highest degree of integrity.</w:t>
            </w:r>
          </w:p>
        </w:tc>
      </w:tr>
    </w:tbl>
    <w:p>
      <w:pPr>
        <w:pStyle w:val="TextBody"/>
        <w:bidi w:val="0"/>
        <w:spacing w:before="0" w:after="0"/>
        <w:ind w:left="0" w:right="0" w:hanging="0"/>
        <w:jc w:val="left"/>
        <w:rPr/>
      </w:pPr>
      <w:r>
        <w:rPr/>
        <w:t> </w:t>
      </w:r>
    </w:p>
    <w:tbl>
      <w:tblPr>
        <w:tblW w:w="7780" w:type="dxa"/>
        <w:jc w:val="left"/>
        <w:tblInd w:w="0" w:type="dxa"/>
        <w:tblLayout w:type="fixed"/>
        <w:tblCellMar>
          <w:top w:w="0" w:type="dxa"/>
          <w:left w:w="0" w:type="dxa"/>
          <w:bottom w:w="0" w:type="dxa"/>
          <w:right w:w="0" w:type="dxa"/>
        </w:tblCellMar>
      </w:tblPr>
      <w:tblGrid>
        <w:gridCol w:w="60"/>
        <w:gridCol w:w="110"/>
        <w:gridCol w:w="7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76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Avoid actual or apparent conflicts of interest between personal and professional relationships.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Report promptly any transaction or relationship that could compromise one’s ability to (i) adhere fully to the Code, other Company policies or applicable laws or (ii) make business decisions without regard to personal gain or benefit.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Seek, at all times, to provide information to Company officials and its outside professionals (e.g. accountants, counsel, insurance providers, etc.) that is accurate, relevant, complete, objective, timely and understandable, and encourage others within the Company to do the same.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Use reasonable efforts to assure full, fair, accurate, timely and understandable disclosure of information related to the Company’s business and financial operations in Company reports and documents filed with the U.S. Securities and Exchange Commission (the “SEC”) or the NYSE – American or in other public communications made by the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Use reasonable efforts to cause the Company to comply fully with the letter and spirit of all laws, rules and regulations applicable to the Company or its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Promptly report to the Audit Committee of the Board of Directors (the “Audit Committee”) (i) any weakness or deficiency in the design or operation of the Company’s internal controls or (ii) any fraud involving Company management or other employees having significant roles in the Company’s operations, financial reporting, disclosures or internal controls.</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Board of Directors is responsible for applying and interpreting the Code. Any questions relating to how the Code should be interpreted or applied should be addressed to a supervisor, the Chief Executive Officer, the President or the Chief Financial Officer. Any employee, officer or director who becomes aware of any existing or potential violation of laws, rules, regulations or the Code should promptly notify the Chief Executive Officer, the President, the Chief Financial Officer or the Chairman of the Audit Committee. Reports may be made orally or in writing and may be made anonymously and will be kept confidential to the extent permitted. Written reports should be sent to the attention of the Chief Executive Officer, the President or the Chief Financial Officer, at P.O. Box 2192, Longview, Texas 75606. In addition, reports may be made to the Chairman of the Audit Committee by calling (713) 622-7000 or sent to Three Greenway Plaza, Suite 1700, Houston, Texas 77046.</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Failure to notify the Chief Executive Officer, the President, the Chief Financial Officer or the Chairman of the Audit Committee of any violation or potential violation is in itself a violation of the Code. To encourage employees to report any violations, the Company will not allow retaliation for reports made hereunder in good faith. In addition, the Company may not retaliate against any employee for providing information or assisting in the investigation of any law enforcement agency, regulatory agency or other governmental body relating to the Company.</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Observance of the provisions of the Code is of extreme importance to the Company. A violation of the Code will be regarded as a serious offense and may constitute grounds for disciplinary action, including, but not limited to, demotion, suspension (with or without pay), discharge, or, in the case of directors, removal from the Board of Directors and legal proceedings.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waive some provisions of the Code. Any employee, officer or director who believes that a waiver may be called for should contact the Chief Financial Officer. Any waiver of the Code for directors and executive officers of the Company must be approved by the Company’s Board of Directors and will be promptly reported in such manner as may be required by the SEC or NYSE - American.</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8" w:name="ex_489160.htm"/>
      <w:bookmarkStart w:id="9" w:name="ksex_489160"/>
      <w:bookmarkEnd w:id="8"/>
      <w:bookmarkEnd w:id="9"/>
      <w:r>
        <w:rPr/>
        <w:t> </w:t>
      </w:r>
      <w:r>
        <w:br w:type="page"/>
      </w:r>
    </w:p>
    <w:p>
      <w:pPr>
        <w:pStyle w:val="TextBody"/>
        <w:bidi w:val="0"/>
        <w:spacing w:before="0" w:after="0"/>
        <w:ind w:left="0" w:right="0" w:hanging="0"/>
        <w:jc w:val="both"/>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21.1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SUBSIDIARIES </w:t>
      </w:r>
    </w:p>
    <w:p>
      <w:pPr>
        <w:pStyle w:val="TextBody"/>
        <w:bidi w:val="0"/>
        <w:spacing w:before="0" w:after="0"/>
        <w:ind w:left="0" w:right="0" w:hanging="0"/>
        <w:jc w:val="left"/>
        <w:rPr/>
      </w:pPr>
      <w:r>
        <w:rPr/>
        <w:t> </w:t>
      </w:r>
    </w:p>
    <w:tbl>
      <w:tblPr>
        <w:tblW w:w="6720" w:type="dxa"/>
        <w:jc w:val="left"/>
        <w:tblInd w:w="0" w:type="dxa"/>
        <w:tblLayout w:type="fixed"/>
        <w:tblCellMar>
          <w:top w:w="0" w:type="dxa"/>
          <w:left w:w="0" w:type="dxa"/>
          <w:bottom w:w="0" w:type="dxa"/>
          <w:right w:w="0" w:type="dxa"/>
        </w:tblCellMar>
      </w:tblPr>
      <w:tblGrid>
        <w:gridCol w:w="2600"/>
        <w:gridCol w:w="3035"/>
        <w:gridCol w:w="1085"/>
      </w:tblGrid>
      <w:tr>
        <w:trPr/>
        <w:tc>
          <w:tcPr>
            <w:tcW w:w="2600" w:type="dxa"/>
            <w:tcBorders/>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FRIEDMAN/DECATUR, L.L.C.</w:t>
            </w:r>
          </w:p>
        </w:tc>
        <w:tc>
          <w:tcPr>
            <w:tcW w:w="3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Alabama Limited Liability Company</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 owned</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10" w:name="ex_489161.htm"/>
      <w:bookmarkStart w:id="11" w:name="ksex_489161"/>
      <w:bookmarkEnd w:id="10"/>
      <w:bookmarkEnd w:id="11"/>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23.1</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center"/>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 on Form S-8 (No. 333-215223, of Friedman Industries, Incorporated (the “Company”), of our report dated July 14, 2023, relating to the consolidated financial statements and schedule of the Company which report expresses an unqualified opinion, appearing in this Annual Report on Form 10-K of the Company for the year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 Moss Adams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Houston, Texas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July 14, 2023</w:t>
      </w:r>
    </w:p>
    <w:p>
      <w:pPr>
        <w:pStyle w:val="TextBody"/>
        <w:bidi w:val="0"/>
        <w:spacing w:before="0" w:after="283"/>
        <w:jc w:val="left"/>
        <w:rPr/>
      </w:pPr>
      <w:r>
        <w:rPr/>
        <w:t> </w:t>
      </w:r>
    </w:p>
    <w:p>
      <w:pPr>
        <w:pStyle w:val="TextBody"/>
        <w:bidi w:val="0"/>
        <w:spacing w:before="0" w:after="0"/>
        <w:ind w:left="0" w:right="0" w:hanging="0"/>
        <w:jc w:val="left"/>
        <w:rPr/>
      </w:pPr>
      <w:bookmarkStart w:id="12" w:name="ex_489162.htm"/>
      <w:bookmarkStart w:id="13" w:name="ksex_489162"/>
      <w:bookmarkEnd w:id="12"/>
      <w:bookmarkEnd w:id="13"/>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31.1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Michael J. Taylor, certify that: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1.  I have reviewed this report on Form 10-K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w:t>
        <w:br/>
        <w:t>(or persons performing the equivalent functions):</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July 14, 2023</w:t>
      </w:r>
    </w:p>
    <w:p>
      <w:pPr>
        <w:pStyle w:val="TextBody"/>
        <w:bidi w:val="0"/>
        <w:spacing w:before="0" w:after="0"/>
        <w:ind w:left="0" w:right="0" w:hanging="0"/>
        <w:jc w:val="left"/>
        <w:rPr/>
      </w:pPr>
      <w:r>
        <w:rPr/>
        <w:t> </w:t>
      </w:r>
    </w:p>
    <w:tbl>
      <w:tblPr>
        <w:tblW w:w="3320" w:type="dxa"/>
        <w:jc w:val="left"/>
        <w:tblInd w:w="0" w:type="dxa"/>
        <w:tblLayout w:type="fixed"/>
        <w:tblCellMar>
          <w:top w:w="0" w:type="dxa"/>
          <w:left w:w="0" w:type="dxa"/>
          <w:bottom w:w="0" w:type="dxa"/>
          <w:right w:w="0" w:type="dxa"/>
        </w:tblCellMar>
      </w:tblPr>
      <w:tblGrid>
        <w:gridCol w:w="75"/>
        <w:gridCol w:w="60"/>
        <w:gridCol w:w="311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J. TAYLOR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240" w:right="0" w:hanging="0"/>
              <w:jc w:val="center"/>
              <w:rPr>
                <w:rFonts w:ascii="Times New Roman;Times;serif" w:hAnsi="Times New Roman;Times;serif"/>
                <w:sz w:val="20"/>
              </w:rPr>
            </w:pPr>
            <w:r>
              <w:rPr>
                <w:rFonts w:ascii="Times New Roman;Times;serif" w:hAnsi="Times New Roman;Times;serif"/>
                <w:i/>
                <w:sz w:val="20"/>
              </w:rPr>
              <w:t>President and</w:t>
            </w:r>
            <w:r>
              <w:rPr>
                <w:rFonts w:ascii="Times New Roman;Times;serif" w:hAnsi="Times New Roman;Times;serif"/>
                <w:sz w:val="20"/>
              </w:rPr>
              <w:t> </w:t>
            </w:r>
            <w:r>
              <w:rPr>
                <w:rFonts w:ascii="Times New Roman;Times;serif" w:hAnsi="Times New Roman;Times;serif"/>
                <w:i/>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14" w:name="ex_489163.htm"/>
      <w:bookmarkStart w:id="15" w:name="ksex_489163"/>
      <w:bookmarkEnd w:id="14"/>
      <w:bookmarkEnd w:id="15"/>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31.2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Alex LaRue, certify that: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1.  I have reviewed this report on Form 10-K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w:t>
        <w:br/>
        <w:t>(or persons performing the equivalent functions):</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489" w:right="0" w:firstLine="49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July 14, 2023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415" w:type="dxa"/>
        <w:jc w:val="left"/>
        <w:tblInd w:w="0" w:type="dxa"/>
        <w:tblLayout w:type="fixed"/>
        <w:tblCellMar>
          <w:top w:w="0" w:type="dxa"/>
          <w:left w:w="0" w:type="dxa"/>
          <w:bottom w:w="0" w:type="dxa"/>
          <w:right w:w="0" w:type="dxa"/>
        </w:tblCellMar>
      </w:tblPr>
      <w:tblGrid>
        <w:gridCol w:w="75"/>
        <w:gridCol w:w="60"/>
        <w:gridCol w:w="4205"/>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bottom w:val="single" w:sz="2" w:space="0" w:color="000000"/>
            </w:tcBorders>
            <w:tcMar>
              <w:bottom w:w="28" w:type="dxa"/>
            </w:tcM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    ALEX LARUE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i/>
                <w:sz w:val="20"/>
              </w:rPr>
              <w:t>Chief Financial Officer</w:t>
            </w:r>
            <w:r>
              <w:rPr>
                <w:rFonts w:ascii="Times New Roman;Times;serif" w:hAnsi="Times New Roman;Times;serif"/>
                <w:sz w:val="20"/>
              </w:rPr>
              <w:t> — </w:t>
            </w:r>
            <w:r>
              <w:rPr>
                <w:rFonts w:ascii="Times New Roman;Times;serif" w:hAnsi="Times New Roman;Times;serif"/>
                <w:i/>
                <w:sz w:val="20"/>
              </w:rPr>
              <w:t>Secretary and Treasurer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16" w:name="ex_489164.htm"/>
      <w:bookmarkStart w:id="17" w:name="ksex_489164"/>
      <w:bookmarkEnd w:id="16"/>
      <w:bookmarkEnd w:id="1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32.1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Annual Report of Friedman Industries, Incorporated (the “Company”) on Form 10-K for the fiscal year ended </w:t>
      </w:r>
      <w:bookmarkStart w:id="18" w:name="led149908F2021571623102235077"/>
      <w:bookmarkEnd w:id="18"/>
      <w:r>
        <w:rPr>
          <w:rFonts w:ascii="Times New Roman;Times;serif" w:hAnsi="Times New Roman;Times;serif"/>
          <w:sz w:val="20"/>
        </w:rPr>
        <w:t>March 31, 2023,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 </w:t>
      </w:r>
    </w:p>
    <w:tbl>
      <w:tblPr>
        <w:tblW w:w="3580" w:type="dxa"/>
        <w:jc w:val="left"/>
        <w:tblInd w:w="0" w:type="dxa"/>
        <w:tblLayout w:type="fixed"/>
        <w:tblCellMar>
          <w:top w:w="0" w:type="dxa"/>
          <w:left w:w="0" w:type="dxa"/>
          <w:bottom w:w="0" w:type="dxa"/>
          <w:right w:w="0" w:type="dxa"/>
        </w:tblCellMar>
      </w:tblPr>
      <w:tblGrid>
        <w:gridCol w:w="75"/>
        <w:gridCol w:w="320"/>
        <w:gridCol w:w="3110"/>
        <w:gridCol w:w="75"/>
      </w:tblGrid>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J. TAYLOR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President and Chief Executive Officer</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July 14, 2023</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spacing w:before="0" w:after="0"/>
        <w:ind w:left="0" w:right="0" w:hanging="0"/>
        <w:jc w:val="left"/>
        <w:rPr/>
      </w:pPr>
      <w:bookmarkStart w:id="19" w:name="ex_489165.htm"/>
      <w:bookmarkStart w:id="20" w:name="ksex_489165"/>
      <w:bookmarkEnd w:id="19"/>
      <w:bookmarkEnd w:id="20"/>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32.2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Annual Report of Friedman Industries, Incorporated (the “Company”) on Form 10-K for the fiscal year ended </w:t>
      </w:r>
      <w:bookmarkStart w:id="21" w:name="led149908F2021571623102260957"/>
      <w:bookmarkEnd w:id="21"/>
      <w:r>
        <w:rPr>
          <w:rFonts w:ascii="Times New Roman;Times;serif" w:hAnsi="Times New Roman;Times;serif"/>
          <w:sz w:val="20"/>
        </w:rPr>
        <w:t>March 31, 2023, as filed with the U.S. Securities and Exchange Commission on the date hereof (the “Report”), I, Alex LaRue, Chief Financial Officer — Secretary &amp; Treasurer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 </w:t>
      </w:r>
    </w:p>
    <w:tbl>
      <w:tblPr>
        <w:tblW w:w="4675" w:type="dxa"/>
        <w:jc w:val="left"/>
        <w:tblInd w:w="0" w:type="dxa"/>
        <w:tblLayout w:type="fixed"/>
        <w:tblCellMar>
          <w:top w:w="0" w:type="dxa"/>
          <w:left w:w="0" w:type="dxa"/>
          <w:bottom w:w="0" w:type="dxa"/>
          <w:right w:w="0" w:type="dxa"/>
        </w:tblCellMar>
      </w:tblPr>
      <w:tblGrid>
        <w:gridCol w:w="75"/>
        <w:gridCol w:w="320"/>
        <w:gridCol w:w="420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By:</w:t>
            </w:r>
          </w:p>
        </w:tc>
        <w:tc>
          <w:tcPr>
            <w:tcW w:w="42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 LARUE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2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Chief Financial Officer</w:t>
            </w:r>
            <w:r>
              <w:rPr>
                <w:rFonts w:ascii="Times New Roman;Times;serif" w:hAnsi="Times New Roman;Times;serif"/>
                <w:sz w:val="20"/>
              </w:rPr>
              <w:t> — </w:t>
            </w:r>
            <w:r>
              <w:rPr>
                <w:rFonts w:ascii="Times New Roman;Times;serif" w:hAnsi="Times New Roman;Times;serif"/>
                <w:i/>
                <w:sz w:val="20"/>
              </w:rPr>
              <w:t>Secretary and Treasurer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w:t>
      </w:r>
      <w:r>
        <w:rPr>
          <w:rFonts w:ascii="Times New Roman;Times;serif" w:hAnsi="Times New Roman;Times;serif"/>
          <w:sz w:val="20"/>
          <w:shd w:fill="FFFFFF" w:val="clear"/>
        </w:rPr>
        <w:t xml:space="preserve"> July </w:t>
      </w:r>
      <w:r>
        <w:rPr>
          <w:rFonts w:ascii="Times New Roman;Times;serif" w:hAnsi="Times New Roman;Times;serif"/>
          <w:sz w:val="20"/>
        </w:rPr>
        <w:t>14</w:t>
      </w:r>
      <w:r>
        <w:rPr>
          <w:rFonts w:ascii="Times New Roman;Times;serif" w:hAnsi="Times New Roman;Times;serif"/>
          <w:sz w:val="20"/>
          <w:shd w:fill="FFFFFF" w:val="clear"/>
        </w:rPr>
        <w:t>, 2023</w:t>
      </w:r>
    </w:p>
    <w:p>
      <w:pPr>
        <w:pStyle w:val="TextBody"/>
        <w:bidi w:val="0"/>
        <w:spacing w:before="0" w:after="0"/>
        <w:ind w:left="0" w:right="0" w:hanging="0"/>
        <w:jc w:val="both"/>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9092/000143774916043636/ex3-1.htm" TargetMode="External"/><Relationship Id="rId3" Type="http://schemas.openxmlformats.org/officeDocument/2006/relationships/hyperlink" Target="http://www.sec.gov/Archives/edgar/data/39092/000143774916043636/ex3-1.htm" TargetMode="External"/><Relationship Id="rId4" Type="http://schemas.openxmlformats.org/officeDocument/2006/relationships/hyperlink" Target="http://www.sec.gov/Archives/edgar/data/39092/000143774921027176/ex_309205.htm" TargetMode="External"/><Relationship Id="rId5" Type="http://schemas.openxmlformats.org/officeDocument/2006/relationships/hyperlink" Target="http://www.sec.gov/Archives/edgar/data/39092/000143774916043636/ex4-2.htm" TargetMode="External"/><Relationship Id="rId6" Type="http://schemas.openxmlformats.org/officeDocument/2006/relationships/hyperlink" Target="http://www.sec.gov/Archives/edgar/data/39092/000143774916043636/ex4-3.htm" TargetMode="External"/><Relationship Id="rId7" Type="http://schemas.openxmlformats.org/officeDocument/2006/relationships/hyperlink" Target="http://www.sec.gov/Archives/edgar/data/39092/000143774919014733/frd20190725_def14a.htm" TargetMode="External"/><Relationship Id="rId8" Type="http://schemas.openxmlformats.org/officeDocument/2006/relationships/hyperlink" Target="http://www.sec.gov/Archives/edgar/data/39092/000143774921016577/ex_259622.htm" TargetMode="External"/><Relationship Id="rId9" Type="http://schemas.openxmlformats.org/officeDocument/2006/relationships/hyperlink" Target="http://www.sec.gov/Archives/edgar/data/39092/000143774921016577/ex_259623.htm" TargetMode="External"/><Relationship Id="rId10" Type="http://schemas.openxmlformats.org/officeDocument/2006/relationships/hyperlink" Target="http://www.sec.gov/Archives/edgar/data/39092/000143774922018429/ex_357747.htm" TargetMode="External"/><Relationship Id="rId11" Type="http://schemas.openxmlformats.org/officeDocument/2006/relationships/hyperlink" Target="http://www.sec.gov/Archives/edgar/data/39092/000143774922018429/ex_357748.htm" TargetMode="External"/><Relationship Id="rId12" Type="http://schemas.openxmlformats.org/officeDocument/2006/relationships/hyperlink" Target="http://www.sec.gov/Archives/edgar/data/39092/000143774922018429/ex_393236.htm" TargetMode="External"/><Relationship Id="rId13" Type="http://schemas.openxmlformats.org/officeDocument/2006/relationships/hyperlink" Target="http://www.sec.gov/Archives/edgar/data/39092/000143774922018429/ex_393237.htm" TargetMode="External"/><Relationship Id="rId14" Type="http://schemas.openxmlformats.org/officeDocument/2006/relationships/hyperlink" Target="http://www.sec.gov/Archives/edgar/data/39092/000143774922018429/ex_393238.htm" TargetMode="External"/><Relationship Id="rId15" Type="http://schemas.openxmlformats.org/officeDocument/2006/relationships/hyperlink" Target="http://www.sec.gov/Archives/edgar/data/39092/000143774922018429/ex_395832.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22250</Words>
  <Characters>122794</Characters>
  <CharactersWithSpaces>147423</CharactersWithSpaces>
  <Paragraphs>6257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