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3180" w:right="1660" w:hanging="3172"/>
        <w:spacing w:after="0" w:line="500" w:lineRule="auto"/>
        <w:tabs>
          <w:tab w:leader="none" w:pos="4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4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FRIEDMAN INDUSTRIES,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74-1504405</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(Check one):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February 14, 2024, the number of shares outstanding of the issuer’s only class of stock was 6,976,311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2" w:right="339" w:bottom="20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tcPr>
          <w:p>
            <w:pPr>
              <w:spacing w:after="0"/>
              <w:rPr>
                <w:sz w:val="15"/>
                <w:szCs w:val="15"/>
                <w:color w:val="auto"/>
              </w:rPr>
            </w:pPr>
          </w:p>
        </w:tc>
        <w:tc>
          <w:tcPr>
            <w:tcW w:w="24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340" w:type="dxa"/>
            <w:vAlign w:val="bottom"/>
            <w:gridSpan w:val="5"/>
          </w:tcPr>
          <w:p>
            <w:pPr>
              <w:spacing w:after="0"/>
              <w:rPr>
                <w:sz w:val="15"/>
                <w:szCs w:val="15"/>
                <w:color w:val="auto"/>
              </w:rPr>
            </w:pP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8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280" w:type="dxa"/>
            <w:vAlign w:val="bottom"/>
            <w:gridSpan w:val="13"/>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19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280" w:type="dxa"/>
            <w:vAlign w:val="bottom"/>
            <w:gridSpan w:val="1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32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960" w:type="dxa"/>
            <w:vAlign w:val="bottom"/>
            <w:tcBorders>
              <w:top w:val="single" w:sz="8" w:color="CCEEFF"/>
            </w:tcBorders>
            <w:gridSpan w:val="9"/>
          </w:tcPr>
          <w:p>
            <w:pPr>
              <w:spacing w:after="0"/>
              <w:rPr>
                <w:sz w:val="15"/>
                <w:szCs w:val="15"/>
                <w:color w:val="auto"/>
              </w:rPr>
            </w:pPr>
          </w:p>
        </w:tc>
        <w:tc>
          <w:tcPr>
            <w:tcW w:w="180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98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10"/>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r>
      <w:tr>
        <w:trPr>
          <w:trHeight w:val="198"/>
        </w:trPr>
        <w:tc>
          <w:tcPr>
            <w:tcW w:w="7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bad debts of $138 and $183 at December 31, and March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2023,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44,422</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49,367</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113,901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86,246</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4,515</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170,897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143,656</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29,266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28,550</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52,021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51,001</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(30,643)</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(28,455)</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56,488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53,933</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value of officers’ life insurance and other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228,955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199,312</w:t>
            </w:r>
          </w:p>
        </w:tc>
      </w:tr>
      <w:tr>
        <w:trPr>
          <w:trHeight w:val="196"/>
        </w:trPr>
        <w:tc>
          <w:tcPr>
            <w:tcW w:w="76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36,847</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4,650</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financing lease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2,212</w:t>
            </w:r>
          </w:p>
        </w:tc>
      </w:tr>
      <w:tr>
        <w:trPr>
          <w:trHeight w:val="210"/>
        </w:trPr>
        <w:tc>
          <w:tcPr>
            <w:tcW w:w="768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45,963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33,117</w:t>
            </w:r>
          </w:p>
        </w:tc>
      </w:tr>
      <w:tr>
        <w:trPr>
          <w:trHeight w:val="210"/>
        </w:trPr>
        <w:tc>
          <w:tcPr>
            <w:tcW w:w="7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83,880</w:t>
            </w:r>
          </w:p>
        </w:tc>
        <w:tc>
          <w:tcPr>
            <w:tcW w:w="100" w:type="dxa"/>
            <w:vAlign w:val="bottom"/>
          </w:tcPr>
          <w:p>
            <w:pPr>
              <w:spacing w:after="0"/>
              <w:rPr>
                <w:sz w:val="18"/>
                <w:szCs w:val="18"/>
                <w:color w:val="auto"/>
              </w:rPr>
            </w:pP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$1: Authorized shares — 10,000,000; Issued shares — 8,868,716 shares at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and March 31, 2023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8,869</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35,198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35,005</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198"/>
        </w:trPr>
        <w:tc>
          <w:tcPr>
            <w:tcW w:w="7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at cost (1,896,892 shares and 1,493,128 shares at December 31, and March 31, 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(12,929)</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(7,778)</w:t>
            </w:r>
          </w:p>
        </w:tc>
      </w:tr>
      <w:tr>
        <w:trPr>
          <w:trHeight w:val="216"/>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91,605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79,653</w:t>
            </w:r>
          </w:p>
        </w:tc>
      </w:tr>
      <w:tr>
        <w:trPr>
          <w:trHeight w:val="20"/>
        </w:trPr>
        <w:tc>
          <w:tcPr>
            <w:tcW w:w="7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122,743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115,432</w:t>
            </w: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228,955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199,312</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115,973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423,356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products sold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105,531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351,427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393,876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15,662</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109,800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366,434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409,538</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6,173</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economic hedges of risk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15,031</w:t>
            </w:r>
          </w:p>
        </w:tc>
      </w:tr>
      <w:tr>
        <w:trPr>
          <w:trHeight w:val="197"/>
        </w:trPr>
        <w:tc>
          <w:tcPr>
            <w:tcW w:w="59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9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12,387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15,031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taxes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Change in postretirement benefits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Gain recognized on open derivatives not designated for hedge accounting</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(1,353)</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realized gain on derivatives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Decrease (increase) in operating assets, net of amounts acquired in business combination:</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(7,402)</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(27,656)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47,659</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(decrease) in operating liabilities, net of amounts assumed in business combination: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(20,791)</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taxes payable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Plateplus business combination</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(71,720)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in cash surrender value of officers’ life insurance</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Debt issuance cost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dividends paid</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(5,151)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based lending facility proceeds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Cash and restricted cash at December 31, 2023 and March 31, 2023 included approximately $4.8 million and $2.4 million, respectively, of cash required to collateralize open derivative positions. These amounts are reported in "Other current assets" on the Company's consolidated balance sheets at December 31, 2023 and March 31, 2023. The Company had approximately $1.9 million in restricted cash at December 31, 2022.</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2023.</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results of a business acquired in a business combination are included in the Company’s consolidated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for the previous year may include certain reclassifications to conform to the current presentation. To conform with the current year presentation,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on the unaudited condensed consolidated statements of operations was moved below the calculation of "</w:t>
      </w:r>
      <w:r>
        <w:rPr>
          <w:rFonts w:ascii="Times New Roman" w:cs="Times New Roman" w:eastAsia="Times New Roman" w:hAnsi="Times New Roman"/>
          <w:sz w:val="18"/>
          <w:szCs w:val="18"/>
          <w:i w:val="1"/>
          <w:iCs w:val="1"/>
          <w:color w:val="auto"/>
        </w:rPr>
        <w:t>Earnings From Operations</w:t>
      </w:r>
      <w:r>
        <w:rPr>
          <w:rFonts w:ascii="Times New Roman" w:cs="Times New Roman" w:eastAsia="Times New Roman" w:hAnsi="Times New Roman"/>
          <w:sz w:val="18"/>
          <w:szCs w:val="18"/>
          <w:color w:val="auto"/>
        </w:rPr>
        <w:t>". To conform with the current year presentation, gains of approximately $0.8 million and $7.3 million for the three and nine months ended December 31, 2022 periods, respectively, reported in the prior year as components of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net</w:t>
      </w:r>
      <w:r>
        <w:rPr>
          <w:rFonts w:ascii="Times New Roman" w:cs="Times New Roman" w:eastAsia="Times New Roman" w:hAnsi="Times New Roman"/>
          <w:sz w:val="18"/>
          <w:szCs w:val="18"/>
          <w:color w:val="auto"/>
        </w:rPr>
        <w:t>" on the unaudited condensed consolidated statement of operations were moved to the line item "</w:t>
      </w:r>
      <w:r>
        <w:rPr>
          <w:rFonts w:ascii="Times New Roman" w:cs="Times New Roman" w:eastAsia="Times New Roman" w:hAnsi="Times New Roman"/>
          <w:sz w:val="18"/>
          <w:szCs w:val="18"/>
          <w:i w:val="1"/>
          <w:iCs w:val="1"/>
          <w:color w:val="auto"/>
        </w:rPr>
        <w:t>Gain (loss) on economic hedges of risk</w:t>
      </w:r>
      <w:r>
        <w:rPr>
          <w:rFonts w:ascii="Times New Roman" w:cs="Times New Roman" w:eastAsia="Times New Roman" w:hAnsi="Times New Roman"/>
          <w:sz w:val="18"/>
          <w:szCs w:val="18"/>
          <w:color w:val="auto"/>
        </w:rPr>
        <w: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had no impact on previously reported net earnings or stockholders' equity.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BUSINESS COMBINATIONS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resulted in the Company acquiring the assets noted above, for a total consideration of $76.5 million, of which $71.7 million was cash consideration and $4.8 million related to 516,041 shares of the Company's common stock issued to the Seller. The fair value of the 516,041 shares issued was determined based on the closing market price of the Company’s common stock on April 29, 2022, the last trading day prior to the Acquisition Date. The Transaction was funded with net borrowings of $71.9 million made under the Company's asset-based lending facility ("ABL Facility") provided by JPMorgan Chase Bank.</w:t>
      </w:r>
    </w:p>
    <w:p>
      <w:pPr>
        <w:spacing w:after="0" w:line="18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Transaction was accounted for using the acquisition method of accounting, in accordance with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 (in thousands)</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(19,065)</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w:t>
            </w:r>
          </w:p>
        </w:tc>
      </w:tr>
      <w:tr>
        <w:trPr>
          <w:trHeight w:val="209"/>
        </w:trPr>
        <w:tc>
          <w:tcPr>
            <w:tcW w:w="7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76,503</w:t>
            </w:r>
          </w:p>
        </w:tc>
        <w:tc>
          <w:tcPr>
            <w:tcW w:w="8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one-time transaction specific costs of approximately $1.2 million in the nine months ended December 31, 2022, as a component of “Selling, general and administrative” expenses on the condensed consolidated statement of operations.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INVENTORIES</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inventory values by product group follows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Coil Inventory</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75,917</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Non-Standard Coil Inventory</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Tubular Raw Material</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8,187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5,193</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Tubular Finished Goods</w:t>
            </w:r>
          </w:p>
        </w:tc>
        <w:tc>
          <w:tcPr>
            <w:tcW w:w="5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7,329</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4,858</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113,901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86,246</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Tubular raw material inventory consists of hot-rolled steel coils that the Company will manufacture into pipe. Tubular finished goods inventory consists of pipe the Company has manufactured.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DEBT</w:t>
      </w:r>
    </w:p>
    <w:p>
      <w:pPr>
        <w:spacing w:after="0" w:line="225" w:lineRule="exact"/>
        <w:rPr>
          <w:sz w:val="20"/>
          <w:szCs w:val="20"/>
          <w:color w:val="auto"/>
        </w:rPr>
      </w:pPr>
    </w:p>
    <w:p>
      <w:pPr>
        <w:jc w:val="both"/>
        <w:ind w:firstLine="433"/>
        <w:spacing w:after="0" w:line="252" w:lineRule="auto"/>
        <w:rPr>
          <w:sz w:val="20"/>
          <w:szCs w:val="20"/>
          <w:color w:val="auto"/>
        </w:rPr>
      </w:pPr>
      <w:r>
        <w:rPr>
          <w:rFonts w:ascii="Times New Roman" w:cs="Times New Roman" w:eastAsia="Times New Roman" w:hAnsi="Times New Roman"/>
          <w:sz w:val="18"/>
          <w:szCs w:val="18"/>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December 31, 2023, the Company had a balance of approximately $46.0 million under the ABL Facility with an applicable interest rate of 7.5%. At December 31, 2023, the Company's applicable borrowing base calculation supported access to approximately $106.1 million of the ABL Facility.</w:t>
      </w:r>
    </w:p>
    <w:p>
      <w:pPr>
        <w:spacing w:after="0" w:line="19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E — LEASES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was assigned an operating lease associated with the real property and leasehold improvements for the Granite City, IL facility acquired from Plateplus pursuant to the transaction disclosed in Note B. The lease called for quarterly rental payments of approximately $19,000. The Company recognized an initial right-of-use (“ROU”) asset and lease liability of approximately $1.2 million during the June 30, 2022 quarter related to this lease. The Company renewed this lease in January 2024 through August 31, 2028, with extension provisions that include four additional five year terms. The ROU asset and lease liability will be updated during the quarter ending March 31, 2024. The Company’s lease of its office space in Longview, Texas is the only other operating lease included in the Company's ROU assets and lease liabilities. The lease calls for monthly rent payments of approximately $5,000 and expires on April 30, 2024. The Company’s other operating leases for items such as IT equipment and storage space are either short-term in nature or immaterial.</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October 2019, the Company acquired a new heavy-duty forklift under a 5-year finance lease arrangement with a financed amount of approximately $0.5 million and a monthly payment of approximately $9,000.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for the three and nine months ended December 31, 2023 and 2022 are as follows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380" w:type="dxa"/>
            <w:vAlign w:val="bottom"/>
            <w:gridSpan w:val="4"/>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ROU asset</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liability</w:t>
            </w:r>
          </w:p>
        </w:tc>
        <w:tc>
          <w:tcPr>
            <w:tcW w:w="8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2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39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December 31, 2023 and March 31, 2023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2023</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Property, plant &amp; equipment</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2023, the weighted-average remaining lease term was 19.4 years for operating leases and 0.8 years for finance leases. The weighted average discount rate was 2.6% for operating leases and 1.9% for finance leases.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 and beyond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8"/>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60" w:type="dxa"/>
            <w:vAlign w:val="bottom"/>
          </w:tcPr>
          <w:p>
            <w:pPr>
              <w:spacing w:after="0"/>
              <w:rPr>
                <w:sz w:val="19"/>
                <w:szCs w:val="19"/>
                <w:color w:val="auto"/>
              </w:rPr>
            </w:pPr>
          </w:p>
        </w:tc>
      </w:tr>
      <w:tr>
        <w:trPr>
          <w:trHeight w:val="414"/>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PROPERTY, PLANT AND EQUIPMENT</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2022, the Company completed its new facility in Sinton, Texas, which is part of the flat-roll product segment (previously referred to as the coil product segment) at a total completed cost of approximately $22.2 million. The new facility is on the campus of Steel Dynamics, Inc.'s (“SDI”) new flat roll steel mill in Sinton, Texas and consists of an approximately 70,000 square foot building located on approximately 26.5 acres leased from SDI under a 99-year agreement with an annual rental payment of $1. The facility is equipped with a stretcher leveler cut-to-length line that is capable of handling material up to 1” thick, widths up to 96” and yields exceeding 100,000 psi.</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December 31, 2023, the Company's construction in process balance of approximately $4.2 million consisted primarily of projects at the Decatur, AL facility which include approximately $1.5 million associated with a building expansion and $1.8 million associated with upgrading a component of the processing line. The total estimated cost of these projects is $3.8 million with completion of the building expansion expected during the March 31, 2024 quarter and completion of the processing line upgrade expected during the June 30, 2024 quarter. The remaining construction in process balance is comprised of several smaller projects.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STOCK BASED COMPENSATION</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(“RSUs”) for the nine months ended December 31, 2023:</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measures compensation expense for RSUs at the market price of the common stock as of the grant date. Compensation expense is recognized over the requisite service period applicable to each award. The Company recorded compensation expense of approximately $0.2 million and $0.2 million in the nine months ended December 31, 2023 and 2022, respectively, relating to the RSUs issued under the Plan. As of December 31, 2023, unrecognized compensation expense related to unvested RSUs was approximately $0.1 million which is expected to be recognized over a weighted average period of approximately 1.0 years. As of December 31, 2023, a total of 122,485 shares were still available to be issued under the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DERIVATIVE FINANCIAL INSTRUMENTS</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At December 31, 2023, the Company did not have any hot-rolled coil futures contracts designated as hedging instruments and classified as cash flow hedges. At March 31, 2023, the Company held hot-rolled coil futures contracts which were designated as hedging instruments and classified as cash flow hedges, as hedges of variable sales prices. Accordingly, realized and unrealized gains and losses associated with the instruments were reported as a component of other comprehensive income and reclassified into earnings during the period in which the hedged transaction affects earnings.</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During the nine months ended December 31, 2023 and 2022, the Company entered into hot-rolled coil futures contracts that were not designated as hedging instruments for accounting purposes. Accordingly, the change in fair value related to these instruments was immediately recognized in earnings for these periods.</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6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134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32"/>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Current portion of derivative</w:t>
            </w: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2023, the Company reported approximately $3.0 million in “Accounts payable and accrued expenses” on its Consolidated Balance Sheet related to futures contracts which were closed but were pending cash settlement. At March 31, 2023, the Company reported approximately $1.6 million in “Other current assets” on its Consolidated Balance Sheet related to futures contracts which were closed but were pending cash settlement.</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gain recognized in other comprehensive income and the loss reclassified from accumulated other comprehensive loss into earnings for derivative financial instruments designated as cash flow hedges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Pre- Tax</w:t>
            </w:r>
          </w:p>
        </w:tc>
      </w:tr>
      <w:tr>
        <w:trPr>
          <w:trHeight w:val="216"/>
        </w:trPr>
        <w:tc>
          <w:tcPr>
            <w:tcW w:w="4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Loss Reclassified from</w:t>
            </w:r>
          </w:p>
        </w:tc>
      </w:tr>
      <w:tr>
        <w:trPr>
          <w:trHeight w:val="216"/>
        </w:trPr>
        <w:tc>
          <w:tcPr>
            <w:tcW w:w="4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Pre-Tax Gain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 Reclassified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AOCI into Net</w:t>
            </w:r>
          </w:p>
        </w:tc>
      </w:tr>
      <w:tr>
        <w:trPr>
          <w:trHeight w:val="238"/>
        </w:trPr>
        <w:tc>
          <w:tcPr>
            <w:tcW w:w="4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Recognized in OCI</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AOCI into Net 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December 31, 2023:</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December 31, 2022: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r>
      <w:tr>
        <w:trPr>
          <w:trHeight w:val="197"/>
        </w:trPr>
        <w:tc>
          <w:tcPr>
            <w:tcW w:w="4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December 31, 2023: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r>
      <w:tr>
        <w:trPr>
          <w:trHeight w:val="20"/>
        </w:trPr>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r>
      <w:tr>
        <w:trPr>
          <w:trHeight w:val="196"/>
        </w:trPr>
        <w:tc>
          <w:tcPr>
            <w:tcW w:w="4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5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 December 31, 2022: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(2,977)</w:t>
            </w:r>
          </w:p>
        </w:tc>
      </w:tr>
      <w:tr>
        <w:trPr>
          <w:trHeight w:val="20"/>
        </w:trPr>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(2,977)</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(loss) recognized in earnings for derivative instruments not designated as hedging instruments during the three and nine months ended December 31, 2023 (in thousands):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191"/>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hedges of risk</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(4,126)</w:t>
            </w:r>
          </w:p>
        </w:tc>
      </w:tr>
      <w:tr>
        <w:trPr>
          <w:trHeight w:val="410"/>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191"/>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hedges of risk</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706</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recognized in earnings for derivative instruments not designated as hedging instruments during the three and nine months ended December 31, 2022 (in thousands):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191"/>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hedges of risk</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w:t>
            </w:r>
          </w:p>
        </w:tc>
      </w:tr>
      <w:tr>
        <w:trPr>
          <w:trHeight w:val="410"/>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191"/>
        </w:trPr>
        <w:tc>
          <w:tcPr>
            <w:tcW w:w="476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Gain (loss) on economic</w:t>
            </w: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hedges of risk</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7,326</w:t>
            </w: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notional amount (quantity) of our derivative instruments not designated as hedging instruments at December 31, 2023 consisted of 21,140 tons of short positions with maturity dates ranging from January 2024 to June 2024.</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tables reflect the change in accumulated other comprehensive income (loss), net of tax, for the periods presented (in thousands):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56"/>
        <w:spacing w:after="0" w:line="282" w:lineRule="auto"/>
        <w:tabs>
          <w:tab w:leader="none" w:pos="9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approximately $0.1 million which are included in the provision for income taxes on the Company's Consolidated Statement of Operations for the nine months ended December 31, 2023.</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(10,269)</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7,164</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2,258</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firstLine="656"/>
        <w:spacing w:after="0" w:line="282" w:lineRule="auto"/>
        <w:tabs>
          <w:tab w:leader="none" w:pos="9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approximately $0.7 million which are included in the provision for income taxes on the Company's Consolidated Statement of Operations for the nine months ended December 31, 2022.</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2023 and March 31, 2023, cash of approximately $4.8 million and $2.4 million, respectively, was held by our clearing agent to collateralize our open derivative positions. These cash requirements are included in "Other current assets" on the Company's Consolidated Balance Sheets at December 31, 2023 and March 31, 2023.</w:t>
      </w:r>
    </w:p>
    <w:p>
      <w:pPr>
        <w:sectPr>
          <w:pgSz w:w="11900" w:h="16838" w:orient="portrait"/>
          <w:cols w:equalWidth="0" w:num="1">
            <w:col w:w="11240"/>
          </w:cols>
          <w:pgMar w:left="320" w:top="121" w:right="339" w:bottom="582"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8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MEASUREMENTS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2023, our financial liabilities,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2023, our financial liabilities, net, measured at fair value on a recurring basis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1600" w:hanging="5039"/>
        <w:spacing w:after="0" w:line="532" w:lineRule="auto"/>
        <w:rPr>
          <w:sz w:val="20"/>
          <w:szCs w:val="20"/>
          <w:color w:val="auto"/>
        </w:rPr>
      </w:pPr>
      <w:r>
        <w:rPr>
          <w:rFonts w:ascii="Times New Roman" w:cs="Times New Roman" w:eastAsia="Times New Roman" w:hAnsi="Times New Roman"/>
          <w:sz w:val="18"/>
          <w:szCs w:val="18"/>
          <w:color w:val="auto"/>
        </w:rPr>
        <w:t>At December 31, 2023 and March 31, 2023, the Company did not have any fair value measurements on a non-recurring basis.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SEGMENT INFORMATION (in thousands)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Flat-roll segment was previously referred to as the Coil segment. The Company is now using Flat-roll to describe the segment due to it being a more common term used in the Company's industry.</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50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18"/>
                <w:szCs w:val="18"/>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106,424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100,231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352,148</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372,830</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9,549</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11,629</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50,526</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115,973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111,860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384,019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423,356</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8,694</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15,684</w:t>
            </w: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6,136</w:t>
            </w:r>
          </w:p>
        </w:tc>
      </w:tr>
      <w:tr>
        <w:trPr>
          <w:trHeight w:val="20"/>
        </w:trPr>
        <w:tc>
          <w:tcPr>
            <w:tcW w:w="3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profit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8,578</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3,951</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25,814</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21,820</w:t>
            </w: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w:t>
            </w:r>
          </w:p>
        </w:tc>
        <w:tc>
          <w:tcPr>
            <w:tcW w:w="4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(8,002)</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economic hedges of risk</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(4,126)</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706</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7,326</w:t>
            </w: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(790)</w:t>
            </w:r>
          </w:p>
        </w:tc>
        <w:tc>
          <w:tcPr>
            <w:tcW w:w="42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19,670</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Flat-roll</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179,780</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15,858</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0"/>
        </w:trPr>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195,638</w:t>
            </w: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3,674</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199,312</w:t>
            </w: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Operating profit is total net sales less operating expenses, excluding general corporate expenses, gain (loss) on economic hedges of risk,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At December 31, 2023 and March 31, 2023, Corporate assets consist primarily of cash, restricted cash, unamortized debt issuance costs and the cash value of officers’ life insurance. Although inventory is transferred at cost between product groups, there are no sales between product groups.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REVENUE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Flat-roll and Tubular. Flat-roll primarily generates revenue from cutting to length hot-rolled steel coils. Flat-roll segment revenue consists of three main product types: Prime Coil, Non-Standard Coil and Customer Owned Coil. Tubular primarily generates revenue from selling steel pipe it has manufactured resulting in a single product type: Manufactured Pipe. The following table disaggregates our revenue by product for each of our reportable business segments for the three and nine months ended December 31, 2023 and 2022, respectively (in thousands):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Flat-roll Segment: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Prime Coil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103,748</w:t>
            </w:r>
          </w:p>
        </w:tc>
        <w:tc>
          <w:tcPr>
            <w:tcW w:w="2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99,100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346,405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368,583</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Non-standard Coil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3,219</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or Storage of Customer Owned Coil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3,603</w:t>
            </w: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1,028</w:t>
            </w:r>
          </w:p>
        </w:tc>
      </w:tr>
      <w:tr>
        <w:trPr>
          <w:trHeight w:val="20"/>
        </w:trPr>
        <w:tc>
          <w:tcPr>
            <w:tcW w:w="3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106,424</w:t>
            </w:r>
          </w:p>
        </w:tc>
        <w:tc>
          <w:tcPr>
            <w:tcW w:w="220" w:type="dxa"/>
            <w:vAlign w:val="bottom"/>
            <w:tcBorders>
              <w:left w:val="single" w:sz="8" w:color="CCEEFF"/>
            </w:tcBorders>
            <w:shd w:val="clear" w:color="auto" w:fill="CCEEFF"/>
          </w:tcPr>
          <w:p>
            <w:pPr>
              <w:spacing w:after="0"/>
              <w:rPr>
                <w:sz w:val="21"/>
                <w:szCs w:val="21"/>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352,148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372,830</w:t>
            </w:r>
          </w:p>
        </w:tc>
      </w:tr>
      <w:tr>
        <w:trPr>
          <w:trHeight w:val="196"/>
        </w:trPr>
        <w:tc>
          <w:tcPr>
            <w:tcW w:w="394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Manufactured Pipe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11,629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31,871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50,526</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22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11,629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31,871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50,526</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STOCKHOLDERS’ EQUITY</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repurchased 400,041 shares of the Company's common stock from Metal One Corporation for an aggregate purchase price of approximately $5.1 million. In addition, the Board of Directors of the Company authorized a share repurchase program on December 13, 2023 under which the Company may repurchase up to 1,045,774 shares of the Company's outstanding common stock through December 13, 2026, which equates to 15% of the Company's outstanding shares of common stock after the repurchase of shares from Metal One Corporation. The Company did not make any repurchases under this authorization during the quarter ended December 31, 2023.</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changes in stockholders’ equity for each of the nine months ended December 31, 2023 and December 31,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79,653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BALANCE AT JUNE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8,869</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35,083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(7,778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87,195</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3,513</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shd w:val="clear" w:color="auto" w:fill="CCEEFF"/>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SEPTEMBER 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(7,781)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90,560</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126,809</w:t>
            </w:r>
          </w:p>
        </w:tc>
        <w:tc>
          <w:tcPr>
            <w:tcW w:w="0" w:type="dxa"/>
            <w:vAlign w:val="bottom"/>
          </w:tcPr>
          <w:p>
            <w:pPr>
              <w:spacing w:after="0"/>
              <w:rPr>
                <w:sz w:val="1"/>
                <w:szCs w:val="1"/>
                <w:color w:val="auto"/>
              </w:rPr>
            </w:pPr>
          </w:p>
        </w:tc>
      </w:tr>
      <w:tr>
        <w:trPr>
          <w:trHeight w:val="214"/>
        </w:trPr>
        <w:tc>
          <w:tcPr>
            <w:tcW w:w="3280" w:type="dxa"/>
            <w:vAlign w:val="bottom"/>
            <w:shd w:val="clear" w:color="auto" w:fill="CCEEFF"/>
          </w:tcPr>
          <w:p>
            <w:pPr>
              <w:ind w:left="820"/>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4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1,184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(5,148)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35,198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81"/>
              <w:spacing w:after="0" w:line="385" w:lineRule="exact"/>
              <w:rPr>
                <w:sz w:val="20"/>
                <w:szCs w:val="20"/>
                <w:color w:val="auto"/>
              </w:rPr>
            </w:pPr>
            <w:r>
              <w:rPr>
                <w:rFonts w:ascii="Times New Roman" w:cs="Times New Roman" w:eastAsia="Times New Roman" w:hAnsi="Times New Roman"/>
                <w:sz w:val="18"/>
                <w:szCs w:val="18"/>
                <w:color w:val="auto"/>
              </w:rPr>
              <w:t>(12,929</w:t>
            </w:r>
            <w:r>
              <w:rPr>
                <w:rFonts w:ascii="Times New Roman" w:cs="Times New Roman" w:eastAsia="Times New Roman" w:hAnsi="Times New Roman"/>
                <w:sz w:val="35"/>
                <w:szCs w:val="35"/>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91,605</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122,743</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731"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1"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 Plateplus business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(3,094</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34,783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(7,770</w:t>
            </w:r>
            <w:r>
              <w:rPr>
                <w:rFonts w:ascii="Times New Roman" w:cs="Times New Roman" w:eastAsia="Times New Roman" w:hAnsi="Times New Roman"/>
                <w:sz w:val="24"/>
                <w:szCs w:val="24"/>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2,471</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shd w:val="clear" w:color="auto" w:fill="CCEEFF"/>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SEPTEMBER 30,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6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72,259</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106,690</w:t>
            </w:r>
          </w:p>
        </w:tc>
        <w:tc>
          <w:tcPr>
            <w:tcW w:w="0" w:type="dxa"/>
            <w:vAlign w:val="bottom"/>
          </w:tcPr>
          <w:p>
            <w:pPr>
              <w:spacing w:after="0"/>
              <w:rPr>
                <w:sz w:val="1"/>
                <w:szCs w:val="1"/>
                <w:color w:val="auto"/>
              </w:rPr>
            </w:pPr>
          </w:p>
        </w:tc>
      </w:tr>
      <w:tr>
        <w:trPr>
          <w:trHeight w:val="214"/>
        </w:trPr>
        <w:tc>
          <w:tcPr>
            <w:tcW w:w="1280" w:type="dxa"/>
            <w:vAlign w:val="bottom"/>
            <w:shd w:val="clear" w:color="auto" w:fill="CCEEFF"/>
          </w:tcPr>
          <w:p>
            <w:pPr>
              <w:ind w:left="820"/>
              <w:spacing w:after="0" w:line="194" w:lineRule="exact"/>
              <w:rPr>
                <w:sz w:val="20"/>
                <w:szCs w:val="20"/>
                <w:color w:val="auto"/>
              </w:rPr>
            </w:pPr>
            <w:r>
              <w:rPr>
                <w:rFonts w:ascii="Times New Roman" w:cs="Times New Roman" w:eastAsia="Times New Roman" w:hAnsi="Times New Roman"/>
                <w:sz w:val="18"/>
                <w:szCs w:val="18"/>
                <w:color w:val="auto"/>
              </w:rPr>
              <w:t>2022</w:t>
            </w:r>
          </w:p>
        </w:tc>
        <w:tc>
          <w:tcPr>
            <w:tcW w:w="20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1,376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50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6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160"/>
              <w:spacing w:after="0" w:line="385" w:lineRule="exact"/>
              <w:rPr>
                <w:sz w:val="20"/>
                <w:szCs w:val="20"/>
                <w:color w:val="auto"/>
              </w:rPr>
            </w:pPr>
            <w:r>
              <w:rPr>
                <w:rFonts w:ascii="Times New Roman" w:cs="Times New Roman" w:eastAsia="Times New Roman" w:hAnsi="Times New Roman"/>
                <w:sz w:val="18"/>
                <w:szCs w:val="18"/>
                <w:color w:val="auto"/>
              </w:rPr>
              <w:t>(847</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34,926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160"/>
              <w:spacing w:after="0" w:line="385" w:lineRule="exact"/>
              <w:rPr>
                <w:sz w:val="20"/>
                <w:szCs w:val="20"/>
                <w:color w:val="auto"/>
              </w:rPr>
            </w:pPr>
            <w:r>
              <w:rPr>
                <w:rFonts w:ascii="Times New Roman" w:cs="Times New Roman" w:eastAsia="Times New Roman" w:hAnsi="Times New Roman"/>
                <w:sz w:val="18"/>
                <w:szCs w:val="18"/>
                <w:color w:val="auto"/>
              </w:rPr>
              <w:t>(7,777</w:t>
            </w:r>
            <w:r>
              <w:rPr>
                <w:rFonts w:ascii="Times New Roman" w:cs="Times New Roman" w:eastAsia="Times New Roman" w:hAnsi="Times New Roman"/>
                <w:sz w:val="35"/>
                <w:szCs w:val="35"/>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73,487</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108,658</w:t>
            </w:r>
          </w:p>
        </w:tc>
        <w:tc>
          <w:tcPr>
            <w:tcW w:w="0" w:type="dxa"/>
            <w:vAlign w:val="bottom"/>
          </w:tcPr>
          <w:p>
            <w:pPr>
              <w:spacing w:after="0"/>
              <w:rPr>
                <w:sz w:val="1"/>
                <w:szCs w:val="1"/>
                <w:color w:val="auto"/>
              </w:rPr>
            </w:pPr>
          </w:p>
        </w:tc>
      </w:tr>
      <w:tr>
        <w:trPr>
          <w:trHeight w:val="194"/>
        </w:trPr>
        <w:tc>
          <w:tcPr>
            <w:tcW w:w="1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2022</w:t>
            </w:r>
          </w:p>
        </w:tc>
        <w:tc>
          <w:tcPr>
            <w:tcW w:w="20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tax effects on each component of Other Comprehensive Income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2023</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2022</w:t>
            </w: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2023</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2022</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(3,001)</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(3,001)</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 (in thousands, except for share data):</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12,387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15,031</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Allocation to unvested restricted stock units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common shareholders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12,256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14,791</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7,245,183</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7,275,212</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7,274,332</w:t>
            </w: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7,196,452</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2023 and 2022, the Company allocated dividends and undistributed earnings to the unvested restricted stock units.</w:t>
      </w:r>
    </w:p>
    <w:p>
      <w:pPr>
        <w:spacing w:after="0" w:line="16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8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4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94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48,840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56,621</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42,709</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48,510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SUPPLEMENTAL CASH FLOW INFORMATION</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paid interest of approximately $2.1 million and $1.3 million during the nine months ended December 31, 2023 and 2022, respectively. Additionally, the Company paid income taxes of approximately $2.8 million and $0.4 million during the nine months ended December 31, 2023 and 2022, respectively. During the nine months ended December 31, 2022, the Company issued 516,041 shares of common stock as part of the Plateplus business combination resulting in non-cash investing activity of approximately $4.8 million.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 — INCOME TAXES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For the nine months ended December 31, 2023 and 2022, the Company recorded an income tax provision of approximately $3.8 million and $4.6 million, respectively. For the nine months ended December 31, 2023 and 2022, the effective tax rate differed from the federal statutory rate due primarily to the inclusion of state tax expenses in the provision.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steel products and operates in two reportable segments; flat-roll products and tubular products. The flat-roll segment was previously referred to as the coil segment. The Company is now using flat-roll to describe the segment due to it being a more common term used in the Company's industry.</w:t>
      </w:r>
    </w:p>
    <w:p>
      <w:pPr>
        <w:spacing w:after="0" w:line="17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flat-roll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B to the condensed consolidated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8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December 31, 2023 Compared to Nine Months Ended December 31, 2022</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During the nine months ended December 31, 2023 (the “2023 period”), sales and costs of goods sold decreased approximately $39.3 million and $42.4 million, respectively, and gross profit increased approximately $3.1 million compared to the amounts recorded during the nine months ended December 31, 2022 (the “2022 period”). The decrease in sales was primarily related to a decline in the average selling price per ton partially offset by an increase in sales volume. Sales volume for the 2023 period consisted of approximately 375,000 tons from inventory and another 72,000 tons of toll processing customer owned material compared to the 2022 period volume consisting of approximately 335,000 tons from inventory and 34,000 tons of toll processing. The growth in sales volume was primarily related to the Sinton, TX facility operating for the full 2023 period compared to commencing operations during October 2022 of the 2022 period. Gross profit increased from approximately $29.5 million for the 2022 period to approximately $32.6 million for the 2023 period. Gross profit as a percentage of sales increased from approximately 7.0% for the 2022 period to approximately 8.5% for the 2023period. Gross profit for the 2023 period included a recognized loss of approximately $0.4 million related to hedging activities while gross profit for the 2022 period included a recognized loss of approximately $3.0 million related to hedging activities. Excluding the recognized hedging losses, gross profit related to physical material as a percentage of sales was approximately 8.6% for the 2023 period compared to approximately 7.6% for the 2022 period.</w:t>
      </w:r>
    </w:p>
    <w:p>
      <w:pPr>
        <w:spacing w:after="0" w:line="200" w:lineRule="exact"/>
        <w:rPr>
          <w:sz w:val="20"/>
          <w:szCs w:val="20"/>
          <w:color w:val="auto"/>
        </w:rPr>
      </w:pPr>
    </w:p>
    <w:p>
      <w:pPr>
        <w:spacing w:after="0" w:line="20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hot-rolled steel coil ("HRC"). The Company experienced significant volatility in steel price during both the 2023 period and the 2022 period. Entering the 2022 period, HRC prices experienced a sharp and abrupt increase in reaction to the Russian invasion of Ukraine increasing approximately 60% from March 2022 to April 2022. HRC prices then declined approximately 60% until the middle of December 2022. From late November 2022 until April 2023, domestic steel producers announced several rounds of price increases with HRC prices increasing approximately 95% during this time. From the middle of April 2023 and until early October 2023, HRC prices declined approximately 45%. From early October 2023 through the end of the 2023 period, HRC prices increased approximately 66%. For both the 2023 and 2022 periods, the Company experienced significant increases in steel prices entering the periods with an inflection point in steel price occurring early in each period. As a result both periods experienced similar margin dynamics with stronger margins for the first quarter followed by lower margins for the second quarter and entering the third quarter with margin improvement towards the end of the third quarter.</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Flat-roll product segment sales for the 2023 period totaled approximately $352.1 million compared to approximately $372.8 million for the 2022 period. For a more complete understanding of the average selling prices of goods sold, it is helpful to exclude any hedging related gains or losses that are captured in sales and any sales generated from processing or storage of customer owned material. Flat-roll segment sales for the 2023 period were reduced by approximately $0.4 million for the recognition of hedging related losses. Flat-roll segment sales for the 2022 period were reduced by approximately $3.0 million for the recognition of hedging related losses. Sales generated from processing or storage of customer owned material totaled approximately $3.6 million for the 2023 period compared to approximately $1.0 million for the 2022 period. Sales generated from flat-roll segment inventory, excluding the impact of any hedging related gains or losses, totaled approximately $348.9 million for the 2023 period compared to approximately $374.8 million for the 2022 period. The average per ton selling price related to these shipments decreased from approximately $1,222 per ton in the 2022 period to approximately $995 per ton in the 2023 period. Flat-roll segment sales volume for the 2023 period consisted of approximately 351,000 tons from inventory and another 72,000 tons of toll processing customer owned material compared to the 2022 period volume consisting of approximately 306,500 tons from inventory and 34,000 tons of toll processing. The growth in sales volume was primarily related to the Sinton, TX facility operating for the full 2023 period compared to commencing operations during October 2022 of the 2022 period. Flat-roll segment operations recorded operating profits of approximately $23.6 million and $15.7 million for the 2023 period and 2022 period, respectively. The operating profit for the 2023 period includes a recognized loss on hedging activities of approximately $0.4 million while the 2022 period operating profit included a recognized loss on hedging activities of approximately $3.0 million.</w:t>
      </w:r>
    </w:p>
    <w:p>
      <w:pPr>
        <w:spacing w:after="0" w:line="19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Tubular product segment sales for the 2023 period totaled approximately $31.9 million compared to approximately $50.5 million for the 2022 period. Tubular segment sales for the 2023 period and 2022 period were not impacted by any hedging related gains or losses. Sales decreased due to a decrease in the average selling price per ton, accompanied by a decline in the volume sold. The average per ton selling price decreased from approximately $1,785 per ton in the 2022 period to approximately $1,319 per ton in the 2023 period. Tons sold decreased from approximately 28,500 tons in the 2022 period to approximately 24,000 tons in the 2023 period. The tubular segment recorded operating profits of approximately $2.2 million and $6.1 million for the 2023 period and 2022 period, respectively.</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2023 period, selling, general and administrative costs decreased approximately $0.7 million compared to the 2022 period. This decrease is primarily related to the 2022 period containing one-time costs associated with the Plateplus transaction with this decrease being partially offset by increased payroll and benefits expense in the 2023 period associated with a higher employee count.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Income taxes decreased from a provision for the 2022 period of approximately $4.6 million to a provision for the 2023 period of approximately $3.8 million. This decrease was primarily related to the lower earnings before income tax for the 2023 period. The income tax provision as a percentage of earnings before tax was approximately 23.4% and 23.6% for the 2023 period and 2022 period, respectively. For both periods, the effective tax rate differed from the federal statutory rate due primarily to the inclusion of state income taxes in the provision.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December 31, 2023 Compared to Three Months Ended December 31, 2022</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2023 (the “2023 quarter”), sales increased approximately $4.1 million, costs of goods sold decreased approximately $0.2 million, and gross profit increased approximately $4.3 million compared to the amounts recorded during the three months ended December 31, 2022 (the “2022 quarter”). The increase in sales was primarily related to an increase in sales volume partially offset by a decrease in the average selling price per ton. Sales volume for the 2023 quarter consisted of approximately 118,000 tons from inventory and another 22,000 tons of toll processing customer owned material compared to the 2022 quarter volume consisting of approximately 113,000 tons from inventory and 13,000 tons of toll processing. The growth in sales volume was primarily related to the increased production at the Company's Sinton, TX facility which commenced operations in October 2022. Gross profit increased from approximately $6.1 million for the 2022 quarter to approximately $10.4 million for the 2023 quarter. Gross profit as a percentage of sales increased from approximately 5.5% for the 2022 quarter to approximately 9.0% for the 2023 quarter. Gross profit for the 2022 quarter included a recognized loss of approximately $0.9 million related to hedging activities, while the 2023 quarter gross profit was not impacted by any hedging activities. Excluding the recognized hedging losses, gross profit related to physical material as a percentage of sales was approximately 6.2% for the 2022 quarter.</w:t>
      </w:r>
    </w:p>
    <w:p>
      <w:pPr>
        <w:spacing w:after="0" w:line="19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HRC. The Company experienced an inflection point in HRC price during the 2023 quarter with prices increasing approximately 66% from early October 2023 and through the end of the 2023 quarter. As a result, the Company experienced considerable physical margin improvement in the second half of the 2023 quarter. In the 2022 quarter, HRC price declined approximately 22% until rising in the second half of December 2022. With the prevailing downward price trend during the 2022 quarter the Company experienced lower physical margins.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Flat-roll Segment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Flat-roll product segment sales for the 2023 quarter totaled approximately $106.4 million compared to approximately $100.2 million for the 2022 quarter. For a more complete understanding of the average selling prices of goods sold, it is helpful to exclude any hedging related gains or losses that are captured in sales and any sales generated from processing or storage of customer owned material. Flat-roll segment sales for the 2022 quarter were reduced by approximately $0.9 million for the recognition of hedging related losses, while 2023 quarter sales were not impacted by any hedging related gains or losses. Sales generated from processing or storage of customer owned material totaled approximately $1.0 million for the 2023 quarter compared to approximately $0.3 million for the 2022 quarter. Sales generated from flat-roll segment inventory, excluding the impact of any hedging related gains or losses, totaled approximately $105.4 million for the 2023 quarter compared to approximately $100.8 million for the 2022 quarter. The average per ton selling price related to these shipments increased from approximately $949 per ton in the 2022 quarter to approximately $960 per ton in the 2023 quarter. Sales volume for the 2023 quarter consisted of approximately 110,000 tons from inventory and another 22,000 tons of toll processing customer owned material compared to the 2022 quarter volume consisting of approximately 106,000 tons from inventory and 13,000 tons of toll processing. The growth in sales volume was primarily related to the increased production at the Company's Sinton, TX facility which commenced operations in October 2022. Flat-roll segment operations recorded operating profits of approximately $8.7 million and $3.3 million for the 2023 quarter and 2022 quarter, respectively. The operating profit for the 2022 quarter included a recognized loss on hedging activities of approximately $0.9 million, while operating profit for the 2023 quarter was not impacted by any hedging related gains or losses.</w:t>
      </w:r>
    </w:p>
    <w:p>
      <w:pPr>
        <w:spacing w:after="0" w:line="19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Company’s flat-roll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Tubular product segment sales for the 2023 quarter totaled approximately $9.5 million compared to approximately $11.6 million for the 2022 quarter. Tubular segment sales for the 2023 quarter and 2022 quarter were not impacted by any hedging related gains or losses. Sales decreased due to a decrease in the average selling price per ton, partially offset by an increase in the volume sold. The average per ton selling price decreased from approximately $1,648 per ton in the 2022 quarter to approximately $1,164 per ton in the 2023 quarter. Tons sold increased from approximately 7,000 tons in the 2022 quarter to approximately 8,000 tons in the 2023 quarter. The tubular segment recorded an operating loss of approximately $0.1 million for the 2023 quarter compared to recording operating profit of approximately $0.7 million for the 2022 quarter.</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2023 quarter, selling, general and administrative costs decreased approximately $0.4 million compared to the 2022 quarter. This decrease is primarily related to decreased payroll and benefits expense in the 2023 quarter.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Income taxes decreased from a provision for the 2022 quarter of approximately $0.4 million to a provision for the 2023 quarter of approximately $0.1 million. This decrease was primarily related to lower earnings before taxes for the 2023 quarter and adjustment to interim tax estimates</w:t>
      </w:r>
    </w:p>
    <w:p>
      <w:pPr>
        <w:sectPr>
          <w:pgSz w:w="11900" w:h="16838" w:orient="portrait"/>
          <w:cols w:equalWidth="0" w:num="1">
            <w:col w:w="11240"/>
          </w:cols>
          <w:pgMar w:left="320" w:top="121" w:right="339" w:bottom="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during the 2023 quarter. The income tax provision as a percentage of earnings before tax was approximately 5.9% and 23.9% for the three months ended December 31, 2023 and 2022, respectively. For the 2023 quarter, the effective tax rate differed from the federal statutory rate due primarily to the adjustment of tax estimates mentioned above. For the 2022 quarter, the effective tax rate differed from the federal statutory rate due primarily to the inclusion of state income taxes in the provision.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was 3.1 at December 31, 2023 and 3.2 at March 31, 2023. Working capital was approximately $116.3 million at December 31, 2023 and $98.6 million at March 31, 2023.</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During the nine months ended December 31, 2023, the Company maintained assets and liabilities at levels it believed were commensurate with operations. Changes in balance sheet amounts occurred in the ordinary course of business. Cash and restricted cash increased due primarily to cash generated from operating activities and cash drawn on the Company's credit facility being greater than cash used for investing activities. The Company expects to continue to monitor, evaluate and manage balance sheet components depending on changes in market conditions and the Company’s operations.</w:t>
      </w:r>
    </w:p>
    <w:p>
      <w:pPr>
        <w:spacing w:after="0" w:line="18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Company has a $150 million asset-based lending facility ("ABL Facility") which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December 31, 2023, the Company had a balance of approximately $46.0 million under the ABL Facility with an applicable interest rate of 7.5%. At December 31, 2023, the Company's applicable borrowing base calculation supported access to approximately $106.1 million of the ABL Facility. As of the filing date of this Form 10-Q, the Company had borrowings of approximately $49.9 million outstanding under the ABL Facility and the Company's most recent borrowing base calculation provided access to approximately $110.6 million of the ABL Facility.</w:t>
      </w:r>
    </w:p>
    <w:p>
      <w:pPr>
        <w:spacing w:after="0" w:line="19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a loss related to futures designated for hedge accounting of approximately $0.4 million for the nine months ended December 31, 2023 with all of this recognition occurring during the first fiscal quarter ended June 30, 2023. For the three months ended December 31, 2023, the Company recognized a loss related to economic hedges of risk of approximately $4.1 million. For the nine months ended December 31, 2023, the Company recognized a gain related to economic hedges of risk of approximately $0.7 million. With MTM accounting treatment it is possible that hedging related gains or losses might be recognized in a different fiscal quarter than the corresponding improvement or contraction in our physical margins. The Company experienced an inflection point in steel prices during the quarter ended December 31, 2023 with both HRC price and the futures prices increasing. This resulted in physical margins improving in the second half of the quarter with this margin improvement being partially offset by hedging losses. The Company expects to recognize the appreciation of its inventory value through increased physical margins on fiscal fourth quarter sales. See Note H for additional information related to the Company's hedging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expects to conclude fiscal year March 31, 2024 with a strong fourth fiscal quarter characterized by solid margins associated with a considerable increase in HRC price entering the fourth quarter. Sales volume for the fourth quarter of fiscal 2024 is expected to be slightly higher than the third quarter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B.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disclosure controls and procedures were not effective as of the end of the period covered by this Quarterly Report on Form 10-Q because the Company has not yet completed its remediation of the material weaknesses previously identified and disclosed in the Company’s Annual Report on Form 10-K for the fiscal year ended March 31, 2023.</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weaknesses,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months ended December 31, 2023 in accordance with U.S. Generally Accepted Accounting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audit process related to our fiscal year ended March 31, 2023, management, in connection with our independent auditors, identified the following material weaknesses:</w:t>
      </w:r>
    </w:p>
    <w:p>
      <w:pPr>
        <w:spacing w:after="0" w:line="162" w:lineRule="exact"/>
        <w:rPr>
          <w:sz w:val="20"/>
          <w:szCs w:val="20"/>
          <w:color w:val="auto"/>
        </w:rPr>
      </w:pPr>
    </w:p>
    <w:p>
      <w:pPr>
        <w:jc w:val="both"/>
        <w:ind w:firstLine="494"/>
        <w:spacing w:after="0" w:line="257"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relevant control activities necessary to address all identified risks of material misstatement or in some circumstances, controls were designed appropriately but were implemented late in the fiscal year not allowing a sufficient period of time to evidence operating effectiveness.</w:t>
      </w:r>
    </w:p>
    <w:p>
      <w:pPr>
        <w:spacing w:after="0" w:line="1" w:lineRule="exact"/>
        <w:rPr>
          <w:rFonts w:ascii="Times New Roman" w:cs="Times New Roman" w:eastAsia="Times New Roman" w:hAnsi="Times New Roman"/>
          <w:sz w:val="18"/>
          <w:szCs w:val="18"/>
          <w:color w:val="auto"/>
        </w:rPr>
      </w:pPr>
    </w:p>
    <w:p>
      <w:pPr>
        <w:ind w:firstLine="494"/>
        <w:spacing w:after="0" w:line="250" w:lineRule="auto"/>
        <w:tabs>
          <w:tab w:leader="none" w:pos="6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control activities to ensure completeness and accuracy of key reports used in the performance of certain controls.</w:t>
      </w:r>
    </w:p>
    <w:p>
      <w:pPr>
        <w:ind w:left="640" w:hanging="14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review were not designed to operate at a level of precision sufficient to identify all potential material errors.</w:t>
      </w:r>
    </w:p>
    <w:p>
      <w:pPr>
        <w:spacing w:after="0" w:line="9"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controls were not executed or performed or were performed without sufficient documentation supporting the execution of the controls.</w:t>
      </w:r>
    </w:p>
    <w:p>
      <w:pPr>
        <w:spacing w:after="0" w:line="9"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inadequate segregation of duties for certain business transactions.</w:t>
      </w:r>
    </w:p>
    <w:p>
      <w:pPr>
        <w:sectPr>
          <w:pgSz w:w="11900" w:h="16838" w:orient="portrait"/>
          <w:cols w:equalWidth="0" w:num="1">
            <w:col w:w="11240"/>
          </w:cols>
          <w:pgMar w:left="320" w:top="121" w:right="339" w:bottom="164"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6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prior year, the Company identified that the number of accounting personnel and the limited utilization of information technology in its control structure were the primary contributing factors to the material weaknesses identified. The Company hired additional personnel during the fiscal year ended March 31, 2023 ("fiscal 2023") and believes it is adequately staffed to execute the remediation plans developed by management. The previously identified material weaknesses have not been remediated due to ongoing post-acquisition integration during fiscal 2023. The operation of the full business in a new enterprise resource planning ("ERP") system is the most significant piece of this integration. All of the Company's flat-roll segment locations were integrated into the new ERP system as of February 2023. The Company's tubular segment went live under the new ERP system at the start of August 2023. The Company expects the new ERP system to allow for many of the Company’s current manual controls and missing controls to be performed by the design and capabilities of the ERP system rather than relying on manual human execution. With most of the post-acquisition integration completed, the Company expects its additional personnel will be able to dedicate the necessary time during the fiscal year ended March 31, 2024 to improve the design, documentation and execution of internal controls. The Company has also engaged a consultant to assist with remediation efforts and to support the Company's design, documentation and testing of internal controls.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monitor the design and effectiveness of these procedures and controls and make any further changes the Company determines appropriate. We believe the additional investment in human capital and technology described above will allow the Company to remediate the material weaknesses identified. However, the material weaknesses will not be considered remediated until the applicable remedial actions operate effectively for a sufficient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discussed above, there were no changes in the Company's internal control over financial reporting that occurred during the fiscal quarter ended December 31, 2023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officers or directors adopted, modified or terminated a “Rule 10b5-1 trading arrangement” or a “non-Rule 10b5-1 trading arrangement,” as each term is defined in Item 408(a) and (c), respectively, of Regulation S-K, for the purchase or sale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color w:val="0000EE"/>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color w:val="0000EE"/>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color w:val="0000EE"/>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Michael J. Taylor.</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Alex LaRue.</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Michael J. Taylor.</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Alex LaRue.</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Presentation Linkbase Document.</w:t>
            </w:r>
          </w:p>
        </w:tc>
      </w:tr>
    </w:tbl>
    <w:p>
      <w:pPr>
        <w:spacing w:after="0" w:line="198" w:lineRule="exact"/>
        <w:rPr>
          <w:sz w:val="20"/>
          <w:szCs w:val="20"/>
          <w:color w:val="auto"/>
        </w:rPr>
      </w:pPr>
    </w:p>
    <w:p>
      <w:pPr>
        <w:ind w:left="5540" w:right="3500" w:hanging="5532"/>
        <w:spacing w:after="0" w:line="386" w:lineRule="auto"/>
        <w:tabs>
          <w:tab w:leader="none" w:pos="11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FRIEDMAN INDUSTRIES, INCORPORATED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14, 2024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17145</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640" w:space="720"/>
            <w:col w:w="1520" w:space="720"/>
            <w:col w:w="3640"/>
          </w:cols>
          <w:pgMar w:left="320" w:top="121"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7"/>
          <w:szCs w:val="17"/>
          <w:color w:val="auto"/>
        </w:rPr>
        <w:t>Alex LaRue, Chief Financial Officer – Secretary and</w:t>
      </w:r>
    </w:p>
    <w:p>
      <w:pPr>
        <w:spacing w:after="0" w:line="3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80" w:firstLine="980"/>
        <w:spacing w:after="0" w:line="282" w:lineRule="auto"/>
        <w:tabs>
          <w:tab w:leader="none" w:pos="11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December 31, 2023,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 w:firstLine="494"/>
        <w:spacing w:after="0" w:line="563" w:lineRule="auto"/>
        <w:tabs>
          <w:tab w:leader="none" w:pos="7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14, 2024</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December 31, 2023,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 w:firstLine="494"/>
        <w:spacing w:after="0" w:line="563" w:lineRule="auto"/>
        <w:tabs>
          <w:tab w:leader="none" w:pos="7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14, 2024</w:t>
      </w:r>
    </w:p>
    <w:p>
      <w:pPr>
        <w:spacing w:after="0" w:line="136"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LaRue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LaRue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8" Type="http://schemas.openxmlformats.org/officeDocument/2006/relationships/hyperlink" Target="http://www.sec.gov/Archives/edgar/data/39092/000143774916043636/ex3-1.htm" TargetMode="External"/><Relationship Id="rId39"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2024-02-14T16:46:10Z</dcterms:created>
  <dcterms:modified xsi:type="dcterms:W3CDTF">2024-02-14T16:46:10Z</dcterms:modified>
</cp:coreProperties>
</file>