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58420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7" w:lineRule="exact"/>
        <w:rPr>
          <w:sz w:val="24"/>
          <w:szCs w:val="24"/>
          <w:color w:val="auto"/>
        </w:rPr>
      </w:pPr>
    </w:p>
    <w:p>
      <w:pPr>
        <w:ind w:left="3160" w:right="1660" w:hanging="3152"/>
        <w:spacing w:after="0" w:line="500"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278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Arial" w:cs="Arial" w:eastAsia="Arial" w:hAnsi="Arial"/>
                <w:sz w:val="18"/>
                <w:szCs w:val="18"/>
                <w:b w:val="1"/>
                <w:bCs w:val="1"/>
                <w:color w:val="auto"/>
              </w:rPr>
              <w:t>FROM THE TRANSITION PERIOD FROM</w:t>
            </w:r>
          </w:p>
        </w:tc>
        <w:tc>
          <w:tcPr>
            <w:tcW w:w="90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r>
      <w:tr>
        <w:trPr>
          <w:trHeight w:val="453"/>
        </w:trPr>
        <w:tc>
          <w:tcPr>
            <w:tcW w:w="4440" w:type="dxa"/>
            <w:vAlign w:val="bottom"/>
            <w:gridSpan w:val="2"/>
          </w:tcPr>
          <w:p>
            <w:pPr>
              <w:ind w:left="1300"/>
              <w:spacing w:after="0"/>
              <w:rPr>
                <w:sz w:val="20"/>
                <w:szCs w:val="20"/>
                <w:color w:val="auto"/>
              </w:rPr>
            </w:pPr>
            <w:r>
              <w:rPr>
                <w:rFonts w:ascii="Arial" w:cs="Arial" w:eastAsia="Arial" w:hAnsi="Arial"/>
                <w:sz w:val="18"/>
                <w:szCs w:val="18"/>
                <w:b w:val="1"/>
                <w:bCs w:val="1"/>
                <w:color w:val="auto"/>
              </w:rPr>
              <w:t>COMMISSION FILE NUMBER 1-7521</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-299720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FRIEDMAN INDUSTRIES,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7"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6"/>
              </w:rPr>
              <w:t>Texas</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89"/>
              </w:rPr>
              <w:t>74-1504405</w:t>
            </w:r>
          </w:p>
        </w:tc>
      </w:tr>
      <w:tr>
        <w:trPr>
          <w:trHeight w:val="216"/>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0"/>
              </w:rPr>
              <w:t>(State or other jurisdiction of</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incorporation or organization)</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1121 Judson Road, Suite 124, Longview, Texas 75601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(903)758-3431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5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360" w:type="dxa"/>
            <w:vAlign w:val="bottom"/>
          </w:tcPr>
          <w:p>
            <w:pPr>
              <w:spacing w:after="0"/>
              <w:rPr>
                <w:sz w:val="20"/>
                <w:szCs w:val="20"/>
                <w:color w:val="auto"/>
              </w:rPr>
            </w:pPr>
          </w:p>
        </w:tc>
      </w:tr>
      <w:tr>
        <w:trPr>
          <w:trHeight w:val="414"/>
        </w:trPr>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60" w:type="dxa"/>
            <w:vAlign w:val="bottom"/>
          </w:tcPr>
          <w:p>
            <w:pPr>
              <w:spacing w:after="0"/>
              <w:rPr>
                <w:sz w:val="20"/>
                <w:szCs w:val="20"/>
                <w:color w:val="auto"/>
              </w:rPr>
            </w:pPr>
          </w:p>
        </w:tc>
        <w:tc>
          <w:tcPr>
            <w:tcW w:w="39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Trading Symbol</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24"/>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56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FRD</w:t>
            </w:r>
          </w:p>
        </w:tc>
        <w:tc>
          <w:tcPr>
            <w:tcW w:w="56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NYSE American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162560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12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firstLine="441"/>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9760" w:val="left"/>
          <w:tab w:leader="none" w:pos="104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(Check one):</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November 19, 2021, the number of shares outstanding of the issuer’s only class of stock was 6,905,537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76" w:right="339" w:bottom="20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gridSpan w:val="5"/>
          </w:tcPr>
          <w:p>
            <w:pPr>
              <w:jc w:val="center"/>
              <w:ind w:right="940"/>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60" w:type="dxa"/>
            <w:vAlign w:val="bottom"/>
            <w:gridSpan w:val="1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Part I — FINANCIAL INFORMATION</w:t>
              </w:r>
            </w:hyperlink>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760" w:type="dxa"/>
            <w:vAlign w:val="bottom"/>
            <w:tcBorders>
              <w:bottom w:val="single" w:sz="8" w:color="CCEEFF"/>
            </w:tcBorders>
            <w:gridSpan w:val="8"/>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Item 2.</w:t>
              </w:r>
            </w:hyperlink>
          </w:p>
        </w:tc>
        <w:tc>
          <w:tcPr>
            <w:tcW w:w="8280" w:type="dxa"/>
            <w:vAlign w:val="bottom"/>
            <w:gridSpan w:val="12"/>
          </w:tcPr>
          <w:p>
            <w:pPr>
              <w:ind w:left="2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Item 3.</w:t>
              </w:r>
            </w:hyperlink>
          </w:p>
        </w:tc>
        <w:tc>
          <w:tcPr>
            <w:tcW w:w="4380" w:type="dxa"/>
            <w:vAlign w:val="bottom"/>
            <w:tcBorders>
              <w:bottom w:val="single" w:sz="8" w:color="0000EE"/>
            </w:tcBorders>
            <w:gridSpan w:val="9"/>
            <w:shd w:val="clear" w:color="auto" w:fill="CCEEFF"/>
          </w:tcPr>
          <w:p>
            <w:pPr>
              <w:ind w:left="20"/>
              <w:spacing w:after="0" w:line="17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3900" w:type="dxa"/>
            <w:vAlign w:val="bottom"/>
            <w:tcBorders>
              <w:bottom w:val="single" w:sz="8" w:color="CCEEFF"/>
            </w:tcBorders>
            <w:gridSpan w:val="3"/>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540" w:type="dxa"/>
            <w:vAlign w:val="bottom"/>
          </w:tcPr>
          <w:p>
            <w:pPr>
              <w:spacing w:after="0" w:line="17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Item 4.</w:t>
              </w:r>
            </w:hyperlink>
          </w:p>
        </w:tc>
        <w:tc>
          <w:tcPr>
            <w:tcW w:w="8280" w:type="dxa"/>
            <w:vAlign w:val="bottom"/>
            <w:gridSpan w:val="12"/>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Part II — OTHER INFORMATION</w:t>
              </w:r>
            </w:hyperlink>
          </w:p>
        </w:tc>
        <w:tc>
          <w:tcPr>
            <w:tcW w:w="6640" w:type="dxa"/>
            <w:vAlign w:val="bottom"/>
            <w:tcBorders>
              <w:bottom w:val="single" w:sz="8" w:color="CCEEFF"/>
            </w:tcBorders>
            <w:gridSpan w:val="7"/>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Item 6.</w:t>
              </w:r>
            </w:hyperlink>
          </w:p>
        </w:tc>
        <w:tc>
          <w:tcPr>
            <w:tcW w:w="8280" w:type="dxa"/>
            <w:vAlign w:val="bottom"/>
            <w:gridSpan w:val="12"/>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1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80" w:type="dxa"/>
            <w:vAlign w:val="bottom"/>
            <w:tcBorders>
              <w:top w:val="single" w:sz="8" w:color="CCEEFF"/>
            </w:tcBorders>
            <w:gridSpan w:val="9"/>
          </w:tcPr>
          <w:p>
            <w:pPr>
              <w:jc w:val="right"/>
              <w:ind w:right="920"/>
              <w:spacing w:after="0"/>
              <w:rPr>
                <w:sz w:val="20"/>
                <w:szCs w:val="20"/>
                <w:color w:val="auto"/>
              </w:rPr>
            </w:pPr>
            <w:r>
              <w:rPr>
                <w:rFonts w:ascii="Arial" w:cs="Arial" w:eastAsia="Arial" w:hAnsi="Arial"/>
                <w:sz w:val="18"/>
                <w:szCs w:val="18"/>
                <w:color w:val="auto"/>
              </w:rPr>
              <w:t>2</w:t>
            </w:r>
          </w:p>
        </w:tc>
        <w:tc>
          <w:tcPr>
            <w:tcW w:w="88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09"/>
        </w:trPr>
        <w:tc>
          <w:tcPr>
            <w:tcW w:w="1280" w:type="dxa"/>
            <w:vAlign w:val="bottom"/>
            <w:tcBorders>
              <w:top w:val="single" w:sz="8" w:color="0000EE"/>
            </w:tcBorders>
          </w:tcPr>
          <w:p>
            <w:pPr>
              <w:spacing w:after="0"/>
              <w:rPr>
                <w:sz w:val="24"/>
                <w:szCs w:val="24"/>
                <w:color w:val="auto"/>
              </w:rPr>
            </w:pPr>
          </w:p>
        </w:tc>
        <w:tc>
          <w:tcPr>
            <w:tcW w:w="6500" w:type="dxa"/>
            <w:vAlign w:val="bottom"/>
          </w:tcPr>
          <w:p>
            <w:pPr>
              <w:jc w:val="center"/>
              <w:ind w:left="209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500" w:type="dxa"/>
            <w:vAlign w:val="bottom"/>
          </w:tcPr>
          <w:p>
            <w:pPr>
              <w:jc w:val="center"/>
              <w:ind w:left="2110"/>
              <w:spacing w:after="0"/>
              <w:rPr>
                <w:sz w:val="20"/>
                <w:szCs w:val="20"/>
                <w:color w:val="auto"/>
              </w:rPr>
            </w:pPr>
            <w:r>
              <w:rPr>
                <w:rFonts w:ascii="Arial" w:cs="Arial" w:eastAsia="Arial" w:hAnsi="Arial"/>
                <w:sz w:val="18"/>
                <w:szCs w:val="18"/>
                <w:color w:val="auto"/>
                <w:w w:val="96"/>
              </w:rPr>
              <w:t>FRIEDMAN INDUSTRIES, INCORPORATED</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28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9"/>
              </w:rPr>
              <w:t>CONDENSED CONSOLIDATED BALANCE SHEETS — UNAUDITED</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SEPTEMBER 30,</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MARCH 31, 2021</w:t>
            </w:r>
          </w:p>
        </w:tc>
      </w:tr>
      <w:tr>
        <w:trPr>
          <w:trHeight w:val="21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2,943,597</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8,191,001</w:t>
            </w:r>
          </w:p>
        </w:tc>
      </w:tr>
      <w:tr>
        <w:trPr>
          <w:trHeight w:val="202"/>
        </w:trPr>
        <w:tc>
          <w:tcPr>
            <w:tcW w:w="77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1"/>
              </w:rPr>
              <w:t>Accounts receivable, net of allowances for bad debts and cash discounts of $32,834 at September 30,</w:t>
            </w: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and March 31, 2021</w:t>
            </w:r>
          </w:p>
        </w:tc>
        <w:tc>
          <w:tcPr>
            <w:tcW w:w="8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32,333,608</w:t>
            </w: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20,377,967</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67,737,618</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36,016,093</w:t>
            </w:r>
          </w:p>
        </w:tc>
      </w:tr>
      <w:tr>
        <w:trPr>
          <w:trHeight w:val="229"/>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Current portion of derivative assets</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1,832,840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622,400</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6,807,381</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12,327,174</w:t>
            </w:r>
          </w:p>
        </w:tc>
      </w:tr>
      <w:tr>
        <w:trPr>
          <w:trHeight w:val="20"/>
        </w:trPr>
        <w:tc>
          <w:tcPr>
            <w:tcW w:w="1280" w:type="dxa"/>
            <w:vAlign w:val="bottom"/>
            <w:shd w:val="clear" w:color="auto" w:fill="CCEEFF"/>
          </w:tcPr>
          <w:p>
            <w:pPr>
              <w:spacing w:after="0" w:line="20" w:lineRule="exact"/>
              <w:rPr>
                <w:sz w:val="1"/>
                <w:szCs w:val="1"/>
                <w:color w:val="auto"/>
              </w:rPr>
            </w:pPr>
          </w:p>
        </w:tc>
        <w:tc>
          <w:tcPr>
            <w:tcW w:w="65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780" w:type="dxa"/>
            <w:vAlign w:val="bottom"/>
            <w:gridSpan w:val="2"/>
          </w:tcPr>
          <w:p>
            <w:pPr>
              <w:ind w:left="8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111,655,044</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77,534,635</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Land</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1,179,831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1,179,831</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Buildings and yard improvements</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8,567,916</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9,199,704</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Machinery and equipment</w:t>
            </w: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30,375,429</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35,253,000</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Construction in process</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5,994,357</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9,614</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(25,340,164)</w:t>
            </w: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(30,180,893)</w:t>
            </w:r>
          </w:p>
        </w:tc>
      </w:tr>
      <w:tr>
        <w:trPr>
          <w:trHeight w:val="20"/>
        </w:trPr>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20,777,369</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15,461,256</w:t>
            </w: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value of officers’ life insurance and other assets</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287,154</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148,494</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Deferred income tax asset</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5,102,939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1,864,424</w:t>
            </w:r>
          </w:p>
        </w:tc>
      </w:tr>
      <w:tr>
        <w:trPr>
          <w:trHeight w:val="20"/>
        </w:trPr>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137,822,506</w:t>
            </w:r>
          </w:p>
        </w:tc>
        <w:tc>
          <w:tcPr>
            <w:tcW w:w="2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95,008,809</w:t>
            </w:r>
          </w:p>
        </w:tc>
      </w:tr>
      <w:tr>
        <w:trPr>
          <w:trHeight w:val="196"/>
        </w:trPr>
        <w:tc>
          <w:tcPr>
            <w:tcW w:w="778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26,748,702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15,185,038</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138,111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138,117</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Contribution to retirement plan</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compensation and related expenses</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4,354,803</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2,643,538</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3,331,540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1,455,099</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financing lease</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103,684</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102,689</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Current portion of derivative liability</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4,600,440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7,979,380</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Paycheck Protection Program loan</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1,518,410</w:t>
            </w:r>
          </w:p>
        </w:tc>
      </w:tr>
      <w:tr>
        <w:trPr>
          <w:trHeight w:val="20"/>
        </w:trPr>
        <w:tc>
          <w:tcPr>
            <w:tcW w:w="1280" w:type="dxa"/>
            <w:vAlign w:val="bottom"/>
            <w:shd w:val="clear" w:color="auto" w:fill="CCEEFF"/>
          </w:tcPr>
          <w:p>
            <w:pPr>
              <w:spacing w:after="0" w:line="20" w:lineRule="exact"/>
              <w:rPr>
                <w:sz w:val="1"/>
                <w:szCs w:val="1"/>
                <w:color w:val="auto"/>
              </w:rPr>
            </w:pPr>
          </w:p>
        </w:tc>
        <w:tc>
          <w:tcPr>
            <w:tcW w:w="65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780" w:type="dxa"/>
            <w:vAlign w:val="bottom"/>
            <w:gridSpan w:val="2"/>
          </w:tcPr>
          <w:p>
            <w:pPr>
              <w:ind w:left="8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39,427,280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29,072,271</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BENEFITS OTHER THAN PENSIONS</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112,982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108,609</w:t>
            </w: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3,368,756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315,978</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BASED LENDING FACILITY</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14,578,487</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LONG TERM PORTION OF PAYCHECK PROTECTION PROGRAM LOAN</w:t>
            </w: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171,975</w:t>
            </w:r>
          </w:p>
        </w:tc>
      </w:tr>
      <w:tr>
        <w:trPr>
          <w:trHeight w:val="20"/>
        </w:trPr>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57,487,505</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29,668,833</w:t>
            </w:r>
          </w:p>
        </w:tc>
      </w:tr>
      <w:tr>
        <w:trPr>
          <w:trHeight w:val="209"/>
        </w:trPr>
        <w:tc>
          <w:tcPr>
            <w:tcW w:w="77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7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3"/>
              </w:rPr>
              <w:t>Common stock, par value $1: Authorized shares — 10,000,000; Issued shares — 8,340,785 shares</w:t>
            </w: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and 8,334,785 shares at September 30, and March 31, 2021, respectively</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8,340,785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8,334,785</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30,245,203</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30,003,462</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(20,653,993)</w:t>
            </w: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(11,187,841)</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stock at cost (1,435,248 shares at September 30, and March 31, 2021)</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(7,203,342)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(7,203,342)</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69,606,348</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45,392,912</w:t>
            </w:r>
          </w:p>
        </w:tc>
      </w:tr>
      <w:tr>
        <w:trPr>
          <w:trHeight w:val="20"/>
        </w:trPr>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80,335,001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65,339,976</w:t>
            </w:r>
          </w:p>
        </w:tc>
      </w:tr>
      <w:tr>
        <w:trPr>
          <w:trHeight w:val="20"/>
        </w:trPr>
        <w:tc>
          <w:tcPr>
            <w:tcW w:w="1280" w:type="dxa"/>
            <w:vAlign w:val="bottom"/>
            <w:shd w:val="clear" w:color="auto" w:fill="CCEEFF"/>
          </w:tcPr>
          <w:p>
            <w:pPr>
              <w:spacing w:after="0" w:line="20" w:lineRule="exact"/>
              <w:rPr>
                <w:sz w:val="1"/>
                <w:szCs w:val="1"/>
                <w:color w:val="auto"/>
              </w:rPr>
            </w:pPr>
          </w:p>
        </w:tc>
        <w:tc>
          <w:tcPr>
            <w:tcW w:w="65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780" w:type="dxa"/>
            <w:vAlign w:val="bottom"/>
            <w:gridSpan w:val="2"/>
          </w:tcPr>
          <w:p>
            <w:pPr>
              <w:ind w:left="8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137,822,506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95,008,809</w:t>
            </w:r>
          </w:p>
        </w:tc>
      </w:tr>
      <w:tr>
        <w:trPr>
          <w:trHeight w:val="20"/>
        </w:trPr>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280" w:type="dxa"/>
            <w:vAlign w:val="bottom"/>
            <w:gridSpan w:val="5"/>
          </w:tcPr>
          <w:p>
            <w:pPr>
              <w:jc w:val="center"/>
              <w:ind w:left="2330"/>
              <w:spacing w:after="0"/>
              <w:rPr>
                <w:sz w:val="20"/>
                <w:szCs w:val="20"/>
                <w:color w:val="auto"/>
              </w:rPr>
            </w:pPr>
            <w:r>
              <w:rPr>
                <w:rFonts w:ascii="Arial" w:cs="Arial" w:eastAsia="Arial" w:hAnsi="Arial"/>
                <w:sz w:val="18"/>
                <w:szCs w:val="18"/>
                <w:color w:val="auto"/>
                <w:w w:val="96"/>
              </w:rPr>
              <w:t>FRIEDMAN INDUSTRIES, INCORPORATED</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740" w:type="dxa"/>
            <w:vAlign w:val="bottom"/>
            <w:gridSpan w:val="10"/>
          </w:tcPr>
          <w:p>
            <w:pPr>
              <w:jc w:val="center"/>
              <w:ind w:right="40"/>
              <w:spacing w:after="0"/>
              <w:rPr>
                <w:sz w:val="20"/>
                <w:szCs w:val="20"/>
                <w:color w:val="auto"/>
              </w:rPr>
            </w:pPr>
            <w:r>
              <w:rPr>
                <w:rFonts w:ascii="Arial" w:cs="Arial" w:eastAsia="Arial" w:hAnsi="Arial"/>
                <w:sz w:val="18"/>
                <w:szCs w:val="18"/>
                <w:b w:val="1"/>
                <w:bCs w:val="1"/>
                <w:color w:val="auto"/>
                <w:w w:val="99"/>
              </w:rPr>
              <w:t>CONDENSED CONSOLIDATED STATEMENTS OF OPERATIONS — UNAUDITED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7"/>
              </w:rPr>
              <w:t>SEPTEMBER 30,</w:t>
            </w:r>
          </w:p>
        </w:tc>
        <w:tc>
          <w:tcPr>
            <w:tcW w:w="160" w:type="dxa"/>
            <w:vAlign w:val="bottom"/>
          </w:tcPr>
          <w:p>
            <w:pPr>
              <w:spacing w:after="0"/>
              <w:rPr>
                <w:sz w:val="20"/>
                <w:szCs w:val="20"/>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7"/>
              </w:rPr>
              <w:t>SEPTEMBER 30,</w:t>
            </w: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92,570,895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24,861,680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158,487,334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48,386,280</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Costs of products sold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62,875,913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23,770,583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111,462,417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47,038,429</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5,290,055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1,401,888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8,640,165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2,793,642</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72,296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12,208</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68,238,264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25,178,726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120,198,088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49,844,279</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EARNINGS (LOSS) FROM OPERATIONS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24,332,631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(317,046)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38,289,246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(1,457,999)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Other income (loss), net</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(6,840,317)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4,325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(6,528,255)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8,648</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17,492,314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(312,721)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31,760,991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(1,449,351)</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4,426,619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7,494,507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(123,041)</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(111,919)</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(108,721)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(222,927)</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(217,443)</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4,314,700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7,271,580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(340,484)</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NET EARNINGS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13,177,614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(250,005)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24,489,411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(1,108,867)</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6,903,450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7,067,898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6,901,504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7,074,137</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6,903,450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7,067,898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6,901,504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7,074,137</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 per share: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r>
        <w:trPr>
          <w:trHeight w:val="634"/>
        </w:trPr>
        <w:tc>
          <w:tcPr>
            <w:tcW w:w="1280" w:type="dxa"/>
            <w:vAlign w:val="bottom"/>
          </w:tcPr>
          <w:p>
            <w:pPr>
              <w:spacing w:after="0"/>
              <w:rPr>
                <w:sz w:val="24"/>
                <w:szCs w:val="24"/>
                <w:color w:val="auto"/>
              </w:rPr>
            </w:pPr>
          </w:p>
        </w:tc>
        <w:tc>
          <w:tcPr>
            <w:tcW w:w="8740" w:type="dxa"/>
            <w:vAlign w:val="bottom"/>
            <w:gridSpan w:val="10"/>
          </w:tcPr>
          <w:p>
            <w:pPr>
              <w:jc w:val="center"/>
              <w:ind w:right="60"/>
              <w:spacing w:after="0"/>
              <w:rPr>
                <w:sz w:val="20"/>
                <w:szCs w:val="20"/>
                <w:color w:val="auto"/>
              </w:rPr>
            </w:pPr>
            <w:r>
              <w:rPr>
                <w:rFonts w:ascii="Arial" w:cs="Arial" w:eastAsia="Arial" w:hAnsi="Arial"/>
                <w:sz w:val="18"/>
                <w:szCs w:val="18"/>
                <w:b w:val="1"/>
                <w:bCs w:val="1"/>
                <w:color w:val="auto"/>
                <w:w w:val="99"/>
              </w:rPr>
              <w:t>CONDENSED CONSOLIDATED STATEMENTS OF COMPREHENSIVE INCOME (LOSS) — UNAUDITED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7"/>
              </w:rPr>
              <w:t>SEPTEMBER 30,</w:t>
            </w:r>
          </w:p>
        </w:tc>
        <w:tc>
          <w:tcPr>
            <w:tcW w:w="160" w:type="dxa"/>
            <w:vAlign w:val="bottom"/>
          </w:tcPr>
          <w:p>
            <w:pPr>
              <w:spacing w:after="0"/>
              <w:rPr>
                <w:sz w:val="20"/>
                <w:szCs w:val="20"/>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7"/>
              </w:rPr>
              <w:t>SEPTEMBER 30,</w:t>
            </w: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13,177,614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24,489,411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(1,108,867)</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flow hedges, net of tax</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4,227,185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(9,466,152)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4,227,185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(9,466,152)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17,404,799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15,023,259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(1,108,867)</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right"/>
        <w:ind w:right="558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37" w:lineRule="exact"/>
        <w:rPr>
          <w:sz w:val="20"/>
          <w:szCs w:val="20"/>
          <w:color w:val="auto"/>
        </w:rPr>
      </w:pPr>
    </w:p>
    <w:p>
      <w:pPr>
        <w:jc w:val="right"/>
        <w:ind w:righ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ind w:left="2600"/>
              <w:spacing w:after="0"/>
              <w:rPr>
                <w:sz w:val="20"/>
                <w:szCs w:val="20"/>
                <w:color w:val="auto"/>
              </w:rPr>
            </w:pPr>
            <w:r>
              <w:rPr>
                <w:rFonts w:ascii="Arial" w:cs="Arial" w:eastAsia="Arial" w:hAnsi="Arial"/>
                <w:sz w:val="18"/>
                <w:szCs w:val="18"/>
                <w:color w:val="auto"/>
              </w:rPr>
              <w:t>FRIEDMAN INDUSTRIES, INCORPORATED</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40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CONDENSED CONSOLIDATED STATEMENTS OF CASH FLOWS — UNAUDITED</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rPr>
              <w:t>SIX MONTHS ENDED SEPTEMBER</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earnings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24,489,411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(1,108,867)</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Adjustments to reconcile net earnings (loss) to cash provided by (used in)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663,164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530,968</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Deferred taxes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(222,927)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(217,443)</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Compensation expense for restricted stock</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247,741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221,627</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Change in postretirement benefits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5,933</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Lower of cost or net realizable value inventory adjustment</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274,093</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Gain recognized on open derivatives not designated for hedge accounting</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(1,551,840)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Deferred realized loss on derivatives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(17,052,580)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Forgiveness of Paycheck Protection Program Loan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(1,706,614)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Decrease (increase) in operating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(11,955,641)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426,318</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(31,721,525)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8,894,641</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Federal income taxes recoverable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(109,230)</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(1,274,124)</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(1,075,916)</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Increase (decrease) in operating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11,801,806</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(4,199,863)</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1,876,441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Contribution to retirement plan</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100,500</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Employee compensation and related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1,711,265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(26,484)</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(24,591,050)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3,716,277</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Purchase of property, plant and equipment</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(2,905,751)</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(2,933,637)</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Proceeds from sale of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160,542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Increase in cash surrender value of officers’ life insurance</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(5,791)</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(8,647)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(2,751,000)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(2,942,284)</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Paycheck Protection Program loan proceeds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1,690,385</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(275,981)</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(283,218)</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Cash paid for principal portion of finance lease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(51,097)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(50,121)</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Cash paid for share repurchases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(410,221)</w:t>
            </w:r>
          </w:p>
        </w:tc>
      </w:tr>
      <w:tr>
        <w:trPr>
          <w:trHeight w:val="21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Asset based lending facility proceeds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14,578,487</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14,251,409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946,825</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CASH AND RESTRICED CASH</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(13,090,641)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1,720,818</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AND RESTRICTED CASH AT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20,192,486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17,057,751</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7,101,845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18,778,569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Cash and restricted cash at September 30, 2021 and March 31, 2021 included $4,158,248 and $12,001,485, respectively, of cash required to collateralize open derivative positions. These amounts are reported in "Other current assets" on the Company's consolidated balance sheets at September 30, 2021 and March 31, 2021. At September 30, 2021, the Company had a margin call position of $422,877 to further collateralize open derivative positions. This margin requirement was funded subsequent to quarter end. The Company had $118,125 in restricted cash at September 30, 2020.</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QUARTERLY REPORT — 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instructions to Form 10-Q and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 footnotes of Friedman Industries, Incorporated (the “Company”) included in its annual report on Form 10-K for the year ended March 31, 2021.</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NOTE B — NEW ACCOUNTING PRONOUNCEMENTS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December 2019, the FASB issued Accounting Standards Update 2019-12, Income Taxes (Topic 740): Simplifying the Accounting for Income Taxes (“ASU 2019-12”), which simplifies accounting for income taxes by revising or clarifying existing guidance in ASC 740, as well as removing certain exceptions within ASC 740. We adopted this guidance on April 1, 2021. The adoption of this guidance did not have a material impact on the Company's Condensed Consolidated Financial Statements.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NOTE C — INVENTORIES</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Inventories consist of prime coil, non-standard coil and tubular materials. Prime coil inventory consists primarily of raw materials, non-standard coil inventory consists primarily of raw materials and tubular inventory consists of both raw materials and finished goods. Cost for prime coil inventory is determined using the average cost method. Cost for non-standard coil inventory is determined using the specific identification method. Cost for tubular inventory is determined using the average cost method. All inventories are valued at the lower of cost or net realizable value.</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A summary of inventory values by product group follows:</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September 30, 2021</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March 31, 2021</w:t>
            </w:r>
          </w:p>
        </w:tc>
        <w:tc>
          <w:tcPr>
            <w:tcW w:w="8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Prime Coil Inventory</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55,050,920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23,079,012</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Non-Standard Coil Inventory</w:t>
            </w:r>
          </w:p>
        </w:tc>
        <w:tc>
          <w:tcPr>
            <w:tcW w:w="4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1,307,105</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1,419,055</w:t>
            </w:r>
          </w:p>
        </w:tc>
      </w:tr>
      <w:tr>
        <w:trPr>
          <w:trHeight w:val="216"/>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Tubular Raw Material</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6,596,781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2,607,197</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Tubular Finished Goods</w:t>
            </w:r>
          </w:p>
        </w:tc>
        <w:tc>
          <w:tcPr>
            <w:tcW w:w="4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4,782,812</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8,910,829</w:t>
            </w:r>
          </w:p>
        </w:tc>
      </w:tr>
      <w:tr>
        <w:trPr>
          <w:trHeight w:val="20"/>
        </w:trPr>
        <w:tc>
          <w:tcPr>
            <w:tcW w:w="4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00" w:type="dxa"/>
            <w:vAlign w:val="bottom"/>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67,737,618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36,016,093</w:t>
            </w:r>
          </w:p>
        </w:tc>
      </w:tr>
      <w:tr>
        <w:trPr>
          <w:trHeight w:val="20"/>
        </w:trPr>
        <w:tc>
          <w:tcPr>
            <w:tcW w:w="40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Tubular raw material inventory consists of hot-rolled steel coils that the Company will manufacture into pipe. Tubular finished goods inventory consists of pipe the Company has manufactured and new mill reject pipe the Company has purchased from U.S. Steel Tubular Products, Inc.</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NOTE D – DEBT</w:t>
      </w:r>
    </w:p>
    <w:p>
      <w:pPr>
        <w:spacing w:after="0" w:line="225"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On June 22, 2021, the Small Business Administration authorized full forgiveness of our Paycheck Protection Program loan. The gain of $1,706,614 from this extinguishment of debt included both principal and interest and is recorded as a component of "Other income (loss), net" on the Company's Condensed Consolidated Statement of Operations for the six months ended September 30, 2021.</w:t>
      </w:r>
    </w:p>
    <w:p>
      <w:pPr>
        <w:spacing w:after="0" w:line="184" w:lineRule="exact"/>
        <w:rPr>
          <w:sz w:val="20"/>
          <w:szCs w:val="20"/>
          <w:color w:val="auto"/>
        </w:rPr>
      </w:pPr>
    </w:p>
    <w:p>
      <w:pPr>
        <w:jc w:val="both"/>
        <w:ind w:firstLine="441"/>
        <w:spacing w:after="0" w:line="267" w:lineRule="auto"/>
        <w:rPr>
          <w:sz w:val="20"/>
          <w:szCs w:val="20"/>
          <w:color w:val="auto"/>
        </w:rPr>
      </w:pPr>
      <w:r>
        <w:rPr>
          <w:rFonts w:ascii="Arial" w:cs="Arial" w:eastAsia="Arial" w:hAnsi="Arial"/>
          <w:sz w:val="17"/>
          <w:szCs w:val="17"/>
          <w:color w:val="auto"/>
        </w:rPr>
        <w:t>On March 8, 2021, the Company entered into a Credit Agreement providing for a $10 million revolving line of credit facility (the "Interim Credit Facility) with JPMorgan Chase Bank, N.A. (the "Bank"). The term of the Interim Credit Facility had an expiration date of July 15, 2021 because the Company was evaluating options for longer term credit arrangements. On April 14, 2021, the Company executed a first amendment to the Interim Credit Facility that increased the size of the facility from $10 million to $20 million. On May 19, 2021, the Company entered into an Amended and Restated Credit Agreement with the Bank that amends and restates the Interim Credit Facility and provides for asset-based revolving loans in an aggregate principal amount up to $40 million (the "ABL Facility"). The ABL Facility matures on May 19, 2026 and replaced the Interim Credit Facility in its entirety. The ABL Facility is secured by substantially all of the assets of the Company and borrowings bear interest at a rate equal to LIBOR plus 1.7% per annum. Availability of funds under the ABL Facility is subject to a borrowing base calculation determined as the sum of (a) 85% of eligible accounts receivable, plus (b) the product of 85% multiplied by the net orderly liquidating value percentage identified in the most recent inventory appraisal multiplied by eligible inventory and plus (c) a machinery and equipment component that is the lesser of 85% of the net orderly liquidating value of eligible equipment or the machinery and equipment component limit which is initially $5 million and reduces over the term of the facility. The ABL Facility contains a financial covenant restricting the Company from allowing its fixed charge coverage ratio be, as of the end of any calendar month, less than 1.10 to 1.00 for the trailing twelve 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$10 million, in minimum increments of $5 million. At September 30, 2021, the Company had a balance of $14,578,487 under the ABL Facility with an applicable interest rate of 1.79%. At September 30, 2021, the Company's borrowing base calculation provided full access to the ABL Facility and the Company was in compliance with all covenants related to the ABL Facility.</w:t>
      </w:r>
    </w:p>
    <w:p>
      <w:pPr>
        <w:sectPr>
          <w:pgSz w:w="11900" w:h="16838" w:orient="portrait"/>
          <w:cols w:equalWidth="0" w:num="1">
            <w:col w:w="11240"/>
          </w:cols>
          <w:pgMar w:left="320" w:top="125" w:right="339" w:bottom="271"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271"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E — LEASES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Company’s lease of its office space in Longview, Texas is the only operating lease included in the Company's right-of-use ("ROU") asset and lease liability. The lease calls for monthly rent payments of $4,878 and expires on April 30, 2024. The Company’s other operating leases for items such as IT equipment and storage space are either short-term in nature or immaterial.</w:t>
      </w:r>
    </w:p>
    <w:p>
      <w:pPr>
        <w:spacing w:after="0" w:line="18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October 2019, the Company received a new heavy-duty forklift under a 5-year finance lease arrangement with a financed amount of $518,616 and a monthly payment of $9,074.</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expense related to leases for the three and six months ended September 30, 2021 and 2020 are as follows: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5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92"/>
              </w:rPr>
              <w:t>September 30,</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1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Pr>
          <w:p>
            <w:pPr>
              <w:spacing w:after="0"/>
              <w:rPr>
                <w:sz w:val="18"/>
                <w:szCs w:val="18"/>
                <w:color w:val="auto"/>
              </w:rPr>
            </w:pPr>
          </w:p>
        </w:tc>
      </w:tr>
      <w:tr>
        <w:trPr>
          <w:trHeight w:val="195"/>
        </w:trPr>
        <w:tc>
          <w:tcPr>
            <w:tcW w:w="31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Finance lease – amortization of ROU</w:t>
            </w: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25,610</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25,121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51,097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50,121</w:t>
            </w: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w w:val="97"/>
              </w:rPr>
              <w:t>Finance lease – interest on lease liability</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1,613</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2,102</w:t>
            </w:r>
          </w:p>
        </w:tc>
        <w:tc>
          <w:tcPr>
            <w:tcW w:w="3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3,349</w:t>
            </w:r>
          </w:p>
        </w:tc>
        <w:tc>
          <w:tcPr>
            <w:tcW w:w="5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4,325</w:t>
            </w: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14,634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14,634</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29,268</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27,018</w:t>
            </w:r>
          </w:p>
        </w:tc>
      </w:tr>
      <w:tr>
        <w:trPr>
          <w:trHeight w:val="20"/>
        </w:trPr>
        <w:tc>
          <w:tcPr>
            <w:tcW w:w="3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18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41,857</w:t>
            </w:r>
          </w:p>
        </w:tc>
        <w:tc>
          <w:tcPr>
            <w:tcW w:w="20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41,857</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83,714</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81,464</w:t>
            </w:r>
          </w:p>
        </w:tc>
      </w:tr>
      <w:tr>
        <w:trPr>
          <w:trHeight w:val="20"/>
        </w:trPr>
        <w:tc>
          <w:tcPr>
            <w:tcW w:w="3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illustrates the balance sheet classification for ROU assets and lease liabilities as of September 30, 2021 and March 31, 2021:</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Balance Sheet Classification</w:t>
            </w: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Operating lease right-of-use asset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137,967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4"/>
              </w:rPr>
              <w:t>Other assets</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Finance lease right-of-use asset</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468,914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481,880</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Property, plant &amp; equipment</w:t>
            </w:r>
          </w:p>
        </w:tc>
      </w:tr>
      <w:tr>
        <w:trPr>
          <w:trHeight w:val="210"/>
        </w:trPr>
        <w:tc>
          <w:tcPr>
            <w:tcW w:w="20" w:type="dxa"/>
            <w:vAlign w:val="bottom"/>
          </w:tcPr>
          <w:p>
            <w:pPr>
              <w:spacing w:after="0"/>
              <w:rPr>
                <w:sz w:val="18"/>
                <w:szCs w:val="18"/>
                <w:color w:val="auto"/>
              </w:rPr>
            </w:pPr>
          </w:p>
        </w:tc>
        <w:tc>
          <w:tcPr>
            <w:tcW w:w="4040" w:type="dxa"/>
            <w:vAlign w:val="bottom"/>
          </w:tcPr>
          <w:p>
            <w:pPr>
              <w:ind w:left="640"/>
              <w:spacing w:after="0"/>
              <w:rPr>
                <w:sz w:val="20"/>
                <w:szCs w:val="20"/>
                <w:color w:val="auto"/>
              </w:rPr>
            </w:pPr>
            <w:r>
              <w:rPr>
                <w:rFonts w:ascii="Arial" w:cs="Arial" w:eastAsia="Arial" w:hAnsi="Arial"/>
                <w:sz w:val="18"/>
                <w:szCs w:val="18"/>
                <w:color w:val="auto"/>
              </w:rPr>
              <w:t>Total right-of-use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606,881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486,730</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Operating lease liability, current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50,477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7"/>
              </w:rPr>
              <w:t>Accrued expenses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Finance lease liability, current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102,689</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Current portion of finance lease</w:t>
            </w: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Operating lease liability, non-current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87,490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Other non-current liabilities</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Finance lease liability, non-current</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213,466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265,557</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Other non-current liabilities</w:t>
            </w:r>
          </w:p>
        </w:tc>
      </w:tr>
      <w:tr>
        <w:trPr>
          <w:trHeight w:val="210"/>
        </w:trPr>
        <w:tc>
          <w:tcPr>
            <w:tcW w:w="20" w:type="dxa"/>
            <w:vAlign w:val="bottom"/>
          </w:tcPr>
          <w:p>
            <w:pPr>
              <w:spacing w:after="0"/>
              <w:rPr>
                <w:sz w:val="18"/>
                <w:szCs w:val="18"/>
                <w:color w:val="auto"/>
              </w:rPr>
            </w:pPr>
          </w:p>
        </w:tc>
        <w:tc>
          <w:tcPr>
            <w:tcW w:w="4040" w:type="dxa"/>
            <w:vAlign w:val="bottom"/>
          </w:tcPr>
          <w:p>
            <w:pPr>
              <w:ind w:left="640"/>
              <w:spacing w:after="0"/>
              <w:rPr>
                <w:sz w:val="20"/>
                <w:szCs w:val="20"/>
                <w:color w:val="auto"/>
              </w:rPr>
            </w:pPr>
            <w:r>
              <w:rPr>
                <w:rFonts w:ascii="Arial" w:cs="Arial" w:eastAsia="Arial" w:hAnsi="Arial"/>
                <w:sz w:val="18"/>
                <w:szCs w:val="18"/>
                <w:color w:val="auto"/>
              </w:rPr>
              <w:t>Total lease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455,117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373,096</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As of September 30, 2021, the weighted-average remaining lease term was 2.6 years for operating leases and 3.0 years for finance leases. The weighted average discount rate was 7% for operating leases and 1.9% for finance leases.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Maturities of lease liabilities as of September 30, 2021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Operating Leases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8"/>
              </w:rPr>
              <w:t>Finance Leases</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 (remainder of fiscal year)</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29,268</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54,446</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58,536</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108,888</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58,536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108,888</w:t>
            </w:r>
          </w:p>
        </w:tc>
        <w:tc>
          <w:tcPr>
            <w:tcW w:w="860" w:type="dxa"/>
            <w:vAlign w:val="bottom"/>
          </w:tcPr>
          <w:p>
            <w:pPr>
              <w:spacing w:after="0"/>
              <w:rPr>
                <w:sz w:val="18"/>
                <w:szCs w:val="18"/>
                <w:color w:val="auto"/>
              </w:rPr>
            </w:pPr>
          </w:p>
        </w:tc>
      </w:tr>
      <w:tr>
        <w:trPr>
          <w:trHeight w:val="230"/>
        </w:trPr>
        <w:tc>
          <w:tcPr>
            <w:tcW w:w="84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4,878</w:t>
            </w: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54,445</w:t>
            </w:r>
          </w:p>
        </w:tc>
        <w:tc>
          <w:tcPr>
            <w:tcW w:w="860" w:type="dxa"/>
            <w:vAlign w:val="bottom"/>
          </w:tcPr>
          <w:p>
            <w:pPr>
              <w:spacing w:after="0"/>
              <w:rPr>
                <w:sz w:val="19"/>
                <w:szCs w:val="19"/>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3880" w:type="dxa"/>
            <w:vAlign w:val="bottom"/>
          </w:tcPr>
          <w:p>
            <w:pPr>
              <w:ind w:left="500"/>
              <w:spacing w:after="0"/>
              <w:rPr>
                <w:sz w:val="20"/>
                <w:szCs w:val="20"/>
                <w:color w:val="auto"/>
              </w:rPr>
            </w:pPr>
            <w:r>
              <w:rPr>
                <w:rFonts w:ascii="Arial" w:cs="Arial" w:eastAsia="Arial" w:hAnsi="Arial"/>
                <w:sz w:val="18"/>
                <w:szCs w:val="18"/>
                <w:color w:val="auto"/>
              </w:rPr>
              <w:t>Total undiscounted lease payments</w:t>
            </w:r>
          </w:p>
        </w:tc>
        <w:tc>
          <w:tcPr>
            <w:tcW w:w="2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151,218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326,667</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Less: imputed interest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(13,251)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(9,517)</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4"/>
        </w:trPr>
        <w:tc>
          <w:tcPr>
            <w:tcW w:w="840" w:type="dxa"/>
            <w:vAlign w:val="bottom"/>
          </w:tcPr>
          <w:p>
            <w:pPr>
              <w:spacing w:after="0"/>
              <w:rPr>
                <w:sz w:val="19"/>
                <w:szCs w:val="19"/>
                <w:color w:val="auto"/>
              </w:rPr>
            </w:pPr>
          </w:p>
        </w:tc>
        <w:tc>
          <w:tcPr>
            <w:tcW w:w="3880" w:type="dxa"/>
            <w:vAlign w:val="bottom"/>
          </w:tcPr>
          <w:p>
            <w:pPr>
              <w:ind w:left="500"/>
              <w:spacing w:after="0"/>
              <w:rPr>
                <w:sz w:val="20"/>
                <w:szCs w:val="20"/>
                <w:color w:val="auto"/>
              </w:rPr>
            </w:pPr>
            <w:r>
              <w:rPr>
                <w:rFonts w:ascii="Arial" w:cs="Arial" w:eastAsia="Arial" w:hAnsi="Arial"/>
                <w:sz w:val="18"/>
                <w:szCs w:val="18"/>
                <w:color w:val="auto"/>
              </w:rPr>
              <w:t>Present value of lease liability</w:t>
            </w:r>
          </w:p>
        </w:tc>
        <w:tc>
          <w:tcPr>
            <w:tcW w:w="2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137,967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317,150</w:t>
            </w:r>
          </w:p>
        </w:tc>
        <w:tc>
          <w:tcPr>
            <w:tcW w:w="860" w:type="dxa"/>
            <w:vAlign w:val="bottom"/>
          </w:tcPr>
          <w:p>
            <w:pPr>
              <w:spacing w:after="0"/>
              <w:rPr>
                <w:sz w:val="19"/>
                <w:szCs w:val="19"/>
                <w:color w:val="auto"/>
              </w:rPr>
            </w:pPr>
          </w:p>
        </w:tc>
      </w:tr>
      <w:tr>
        <w:trPr>
          <w:trHeight w:val="418"/>
        </w:trPr>
        <w:tc>
          <w:tcPr>
            <w:tcW w:w="8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40" w:type="dxa"/>
            <w:vAlign w:val="bottom"/>
          </w:tcPr>
          <w:p>
            <w:pPr>
              <w:jc w:val="right"/>
              <w:ind w:right="13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F — PROPERTY, PLANT AND EQUIPMENT</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May 25, 2021, the Company announced plans for a new facility in Sinton, Texas that will be part of the coil product segment. The new facility will be on the campus of Steel Dynamics, Inc.'s ("SDI") new flat roll steel mill currently under construction in Sinton, Texas. The Company's new location will consist of an approximately 70,000 square foot building located on approximately 26.5 acres leased from SDI under a 99-year agreement with an annual rental payment of $1. The Company has selected Red Bud Industries to build a stretcher leveler cut-to-length line for the facility that is capable of handling material up to 1” thick, widths up to 96” and yields exceeding 100,000 psi. The Company expects the location to commence operations in April 2022 and estimates the total cost of the project to be $21 million. At September 30, 2021, the Company's construction in process related to the Sinton project was $5,994,357 consisting of $2,760,289 in cash payments and $3,234,068 of accrued capital expenditures.</w:t>
      </w:r>
    </w:p>
    <w:p>
      <w:pPr>
        <w:spacing w:after="0" w:line="17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three and six months ended September 30, 2021, the Company wrote off fully depreciated fixed assets that were no longer in use with an original cost and accumulated depreciation of approximately $115,578 and $2,060,226, respectively. During the three months ended September 30, 2021, the Company disposed of the temper mill that was taken out of the Decatur facility prior to the new stretcher leveler coil processing line being installed. The Company received $160,542 in proceeds from the disposal of the equipment which had an original cost of $3,604,209 and accumulated depreciation of $3,447,465.</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NOTE G — STOCK BASED COMPENSATION</w:t>
      </w:r>
    </w:p>
    <w:p>
      <w:pPr>
        <w:spacing w:after="0" w:line="225"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The Company maintains the Friedman Industries, Incorporated 2016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may, from time to time, select the employees to whom awards will be granted and shall determine the amount and applicable restrictions of each award. Forfeitures are accounted for upon their occurrence.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related to restricted stock awards for the six months ended September 30,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Unvested at March 31, 2021</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Cancelled or forfeited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Vested</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Unvested at September 30, 2021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Number of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Value Per Share</w:t>
            </w:r>
          </w:p>
        </w:tc>
      </w:tr>
      <w:tr>
        <w:trPr>
          <w:trHeight w:val="195"/>
        </w:trPr>
        <w:tc>
          <w:tcPr>
            <w:tcW w:w="1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339,625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6.07</w:t>
            </w:r>
          </w:p>
        </w:tc>
      </w:tr>
      <w:tr>
        <w:trPr>
          <w:trHeight w:val="216"/>
        </w:trPr>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10"/>
        </w:trPr>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-719455</wp:posOffset>
            </wp:positionV>
            <wp:extent cx="641223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-445135</wp:posOffset>
            </wp:positionV>
            <wp:extent cx="64122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-161925</wp:posOffset>
            </wp:positionV>
            <wp:extent cx="641223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40" w:space="720"/>
            <w:col w:w="3880"/>
          </w:cols>
          <w:pgMar w:left="320" w:top="125" w:right="339" w:bottom="1440" w:gutter="0" w:footer="0" w:header="0"/>
          <w:type w:val="continuous"/>
        </w:sectPr>
      </w:pPr>
    </w:p>
    <w:p>
      <w:pPr>
        <w:spacing w:after="0" w:line="2"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Compensation expense is recognized over the requisite service period applicable to each award. The Company recorded compensation expense of $247,741 and $221,627 in the six months ended September 30, 2021 and 2020, respectively, relating to the stock awards issued under the Plan. As of September 30, 2021, unrecognized compensation expense related to stock awards was approximately $696,921, which is expected to be recognized over a weighted average period of approximately 2.6 years. As of September 30, 2021, a total of 134,375 shares were still available to be issued under the Plan.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NOTE H — DERIVATIVE FINANCIAL INSTRUMENTS</w:t>
      </w:r>
    </w:p>
    <w:p>
      <w:pPr>
        <w:spacing w:after="0" w:line="225"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In June 2020, the Company implemented its first commodity price risk management activities by transacting hot-rolled coil futures. From time to time, we expect to use derivative financial instruments to minimize our exposure to commodity price risk that is inherent in our business. At the time derivative contracts are entered into, we assess whether the nature of the instrument qualifies for hedge accounting treatment according to the requirements of ASC 815 – Derivatives and Hedging (“ASC 815”).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those transactions designated as hedging instruments for accounting purposes,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From time to time, derivatives designated for hedge accounting may be closed prior to contract expiration. The accounting treatment of closed positions depends on whether the closure occurred due to the hedged transaction occurring early or if the hedged transaction is still expected to occur as originally forecasted. For hedged transactions that occur early, the closure results in the realized gain or loss from closure being recognized in the same period the accelerated hedged transaction affects earnings. For hedged transactions that are still expected to occur as originally forecasted, the closure results in the realized gain or loss being deferred until the hedged transaction affects earnings.</w:t>
      </w:r>
    </w:p>
    <w:p>
      <w:pPr>
        <w:spacing w:after="0" w:line="176"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If it is determined that hedged transactions associated with cash flow hedges are no longer probable of occurring, the gain or loss associated with the instrument is recognized immediately into earnings.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From time to time, we may have derivative financial instruments for which we do not elect hedge accounting.</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Company has a forward physical purchase supply agreement in place with one of its suppliers for a portion of its monthly physical steel needs. This supply agreement is not subject to mark-to-market accounting due to the Company electing the normal purchase normal sale exclusion provided in ASC 815.</w:t>
      </w:r>
    </w:p>
    <w:p>
      <w:pPr>
        <w:spacing w:after="0" w:line="184"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At September 30, 2021 and March 31, 2021, the Company held hot-rolled coil futures contracts which were designated as hedging instruments and classified as cash flow hedges, either as hedges of variable purchase prices or as hedges of variable sales prices. Accordingly, realized and unrealized gains and losses associated with the instruments are reported as a component of other comprehensive income and reclassified into earnings during the period in which the hedged transaction affects earnings. During the three and six month periods ended September 30, 2021, some of the Company's cash flow hedges were closed prior to expiration but the hedged transactions were still expected to occur as originally forecasted resulting in the realized gain or loss being deferred in other comprehensive income until the hedged transactions occur and affect earnings. At September 30, 2021, the Company removed some derivative instruments from hedge accounting due to the hedged transactions no longer being expected to occur. This was the result of the Company reducing its forecasted sales for the quarter ending December 31, 2021 due to anticipated customer reaction to plateauing and declining steel prices. Since these hedged sales are no longer expected to occur, a loss of $9,930,720 associated with these instruments was immediately recognized into earnings and is reported as a component of “Other income (loss), net” on the Condensed Consolidated Statement of Operations. During the three and six month periods ended September 30, 2021, the Company also entered into hot-rolled coil futures contracts that were not designated as hedging instruments for accounting purposes. Accordingly, the change in fair value related to these instruments was immediately recognized in earnings.</w:t>
      </w:r>
    </w:p>
    <w:p>
      <w:pPr>
        <w:spacing w:after="0" w:line="16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following table summarizes the fair value of the Company’s derivative financial instruments and the respective line in which they were recorded in the Consolidated Balance Sheet as of September 30,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342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Asset Derivatives</w:t>
            </w:r>
          </w:p>
        </w:tc>
        <w:tc>
          <w:tcPr>
            <w:tcW w:w="29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Liability Derivatives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600" w:type="dxa"/>
            <w:vAlign w:val="bottom"/>
          </w:tcPr>
          <w:p>
            <w:pPr>
              <w:spacing w:after="0"/>
              <w:rPr>
                <w:sz w:val="16"/>
                <w:szCs w:val="16"/>
                <w:color w:val="auto"/>
              </w:rPr>
            </w:pPr>
          </w:p>
        </w:tc>
        <w:tc>
          <w:tcPr>
            <w:tcW w:w="1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Balance Sheet</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Balance Sheet</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w w:val="93"/>
              </w:rPr>
              <w:t>Derivatives designated as cash flow hedges:</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Fair Value</w:t>
            </w: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195"/>
        </w:trPr>
        <w:tc>
          <w:tcPr>
            <w:tcW w:w="3600" w:type="dxa"/>
            <w:vAlign w:val="bottom"/>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Current portion of</w:t>
            </w: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Current portion of derivative</w:t>
            </w:r>
          </w:p>
        </w:tc>
        <w:tc>
          <w:tcPr>
            <w:tcW w:w="1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Hot-rolled coil steel contracts hedging sales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derivative assets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1,282,600</w:t>
            </w: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4,549,120</w:t>
            </w:r>
          </w:p>
        </w:tc>
      </w:tr>
      <w:tr>
        <w:trPr>
          <w:trHeight w:val="216"/>
        </w:trPr>
        <w:tc>
          <w:tcPr>
            <w:tcW w:w="3600" w:type="dxa"/>
            <w:vAlign w:val="bottom"/>
          </w:tcPr>
          <w:p>
            <w:pPr>
              <w:ind w:left="180"/>
              <w:spacing w:after="0"/>
              <w:rPr>
                <w:sz w:val="20"/>
                <w:szCs w:val="20"/>
                <w:color w:val="auto"/>
              </w:rPr>
            </w:pPr>
            <w:r>
              <w:rPr>
                <w:rFonts w:ascii="Arial" w:cs="Arial" w:eastAsia="Arial" w:hAnsi="Arial"/>
                <w:sz w:val="18"/>
                <w:szCs w:val="18"/>
                <w:color w:val="auto"/>
                <w:w w:val="97"/>
              </w:rPr>
              <w:t>Hot-rolled coil steel contracts hedging sales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2"/>
              </w:rPr>
              <w:t>Other non-current liabilities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67,800</w:t>
            </w:r>
          </w:p>
        </w:tc>
      </w:tr>
      <w:tr>
        <w:trPr>
          <w:trHeight w:val="216"/>
        </w:trPr>
        <w:tc>
          <w:tcPr>
            <w:tcW w:w="36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3600" w:type="dxa"/>
            <w:vAlign w:val="bottom"/>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60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Current portion of</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Current portion of derivative</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derivative assets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550,240</w:t>
            </w: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51,320</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derivatives are presented on a gross basis on the Consolidated Balance Sheet.</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fair value of the Company’s derivative financial instruments and the respective line in which they were recorded in the Consolidated Balance Sheet as of March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2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Asset Derivatives</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Liability Derivatives</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w w:val="97"/>
              </w:rPr>
              <w:t>Derivatives designated as cash flow</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Sheet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040" w:type="dxa"/>
            <w:vAlign w:val="bottom"/>
            <w:vMerge w:val="continue"/>
          </w:tcPr>
          <w:p>
            <w:pPr>
              <w:spacing w:after="0"/>
              <w:rPr>
                <w:sz w:val="15"/>
                <w:szCs w:val="15"/>
                <w:color w:val="auto"/>
              </w:rPr>
            </w:pPr>
          </w:p>
        </w:tc>
        <w:tc>
          <w:tcPr>
            <w:tcW w:w="2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2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1"/>
        </w:trPr>
        <w:tc>
          <w:tcPr>
            <w:tcW w:w="3040" w:type="dxa"/>
            <w:vAlign w:val="bottom"/>
          </w:tcPr>
          <w:p>
            <w:pPr>
              <w:spacing w:after="0"/>
              <w:rPr>
                <w:sz w:val="20"/>
                <w:szCs w:val="20"/>
                <w:color w:val="auto"/>
              </w:rPr>
            </w:pPr>
            <w:r>
              <w:rPr>
                <w:rFonts w:ascii="Arial" w:cs="Arial" w:eastAsia="Arial" w:hAnsi="Arial"/>
                <w:sz w:val="18"/>
                <w:szCs w:val="18"/>
                <w:b w:val="1"/>
                <w:bCs w:val="1"/>
                <w:color w:val="auto"/>
              </w:rPr>
              <w:t>hedges:</w:t>
            </w: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04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4"/>
              </w:rPr>
              <w:t>Hot-rolled coil steel contracts hedging</w:t>
            </w:r>
          </w:p>
        </w:tc>
        <w:tc>
          <w:tcPr>
            <w:tcW w:w="22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Current portion of derivative</w:t>
            </w: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530,640</w:t>
            </w:r>
          </w:p>
        </w:tc>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tcPr>
          <w:p>
            <w:pPr>
              <w:ind w:left="180"/>
              <w:spacing w:after="0" w:line="201" w:lineRule="exact"/>
              <w:rPr>
                <w:sz w:val="20"/>
                <w:szCs w:val="20"/>
                <w:color w:val="auto"/>
              </w:rPr>
            </w:pPr>
            <w:r>
              <w:rPr>
                <w:rFonts w:ascii="Arial" w:cs="Arial" w:eastAsia="Arial" w:hAnsi="Arial"/>
                <w:sz w:val="18"/>
                <w:szCs w:val="18"/>
                <w:color w:val="auto"/>
                <w:w w:val="94"/>
              </w:rPr>
              <w:t>Hot-rolled coil steel contracts hedging</w:t>
            </w:r>
          </w:p>
        </w:tc>
        <w:tc>
          <w:tcPr>
            <w:tcW w:w="2260" w:type="dxa"/>
            <w:vAlign w:val="bottom"/>
          </w:tcPr>
          <w:p>
            <w:pPr>
              <w:jc w:val="center"/>
              <w:spacing w:after="0" w:line="201" w:lineRule="exact"/>
              <w:rPr>
                <w:sz w:val="20"/>
                <w:szCs w:val="20"/>
                <w:color w:val="auto"/>
              </w:rPr>
            </w:pPr>
            <w:r>
              <w:rPr>
                <w:rFonts w:ascii="Arial" w:cs="Arial" w:eastAsia="Arial" w:hAnsi="Arial"/>
                <w:sz w:val="18"/>
                <w:szCs w:val="18"/>
                <w:color w:val="auto"/>
                <w:w w:val="92"/>
              </w:rPr>
              <w:t>Current portion of derivative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jc w:val="center"/>
              <w:spacing w:after="0" w:line="201" w:lineRule="exact"/>
              <w:rPr>
                <w:sz w:val="20"/>
                <w:szCs w:val="20"/>
                <w:color w:val="auto"/>
              </w:rPr>
            </w:pPr>
            <w:r>
              <w:rPr>
                <w:rFonts w:ascii="Arial" w:cs="Arial" w:eastAsia="Arial" w:hAnsi="Arial"/>
                <w:sz w:val="18"/>
                <w:szCs w:val="18"/>
                <w:color w:val="auto"/>
                <w:w w:val="92"/>
              </w:rPr>
              <w:t>Current portion of derivative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sales</w:t>
            </w:r>
          </w:p>
        </w:tc>
        <w:tc>
          <w:tcPr>
            <w:tcW w:w="226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c>
          <w:tcPr>
            <w:tcW w:w="2580" w:type="dxa"/>
            <w:vAlign w:val="bottom"/>
          </w:tcPr>
          <w:p>
            <w:pPr>
              <w:jc w:val="center"/>
              <w:spacing w:after="0"/>
              <w:rPr>
                <w:sz w:val="20"/>
                <w:szCs w:val="20"/>
                <w:color w:val="auto"/>
              </w:rPr>
            </w:pPr>
            <w:r>
              <w:rPr>
                <w:rFonts w:ascii="Arial" w:cs="Arial" w:eastAsia="Arial" w:hAnsi="Arial"/>
                <w:sz w:val="18"/>
                <w:szCs w:val="18"/>
                <w:color w:val="auto"/>
              </w:rPr>
              <w:t>liability</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7,890,700</w:t>
            </w:r>
          </w:p>
        </w:tc>
        <w:tc>
          <w:tcPr>
            <w:tcW w:w="0" w:type="dxa"/>
            <w:vAlign w:val="bottom"/>
          </w:tcPr>
          <w:p>
            <w:pPr>
              <w:spacing w:after="0"/>
              <w:rPr>
                <w:sz w:val="1"/>
                <w:szCs w:val="1"/>
                <w:color w:val="auto"/>
              </w:rPr>
            </w:pPr>
          </w:p>
        </w:tc>
      </w:tr>
      <w:tr>
        <w:trPr>
          <w:trHeight w:val="202"/>
        </w:trPr>
        <w:tc>
          <w:tcPr>
            <w:tcW w:w="30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Hot-rolled coil steel contracts hedging</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w:t>
            </w:r>
          </w:p>
        </w:tc>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Other non-current liabilities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50,420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Derivatives not designated as hedging</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instruments:</w:t>
            </w:r>
          </w:p>
        </w:tc>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jc w:val="center"/>
              <w:spacing w:after="0" w:line="201" w:lineRule="exact"/>
              <w:rPr>
                <w:sz w:val="20"/>
                <w:szCs w:val="20"/>
                <w:color w:val="auto"/>
              </w:rPr>
            </w:pPr>
            <w:r>
              <w:rPr>
                <w:rFonts w:ascii="Arial" w:cs="Arial" w:eastAsia="Arial" w:hAnsi="Arial"/>
                <w:sz w:val="18"/>
                <w:szCs w:val="18"/>
                <w:color w:val="auto"/>
                <w:w w:val="92"/>
              </w:rPr>
              <w:t>Current portion of derivative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Hot-rolled coil steel contracts</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rPr>
              <w:t>liability</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88,680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derivatives are presented on a gross basis on the Consolidated Balance Sheet.</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September 30, 2021, the Company reported $1,049,320 in "Other current assets" on its Consolidated Balance Sheet related to futures contracts for the month of September 2021 that reached expiration but were pending cash settlement. At March 31, 2021, the Company reported $501,360 in "Accounts payable and accrued expenses" on its Consolidated Balance Sheet related to futures contracts for the month of March 2021 that had reached expiration but were pending cash settlement.</w:t>
      </w:r>
    </w:p>
    <w:p>
      <w:pPr>
        <w:spacing w:after="0" w:line="18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notional amounts (quantities) of our cash flow hedges outstanding at September 30, 2021 consisted of 22,500 tons hedging sales with maturity dates ranging from January 2022 to December 2022.</w:t>
      </w:r>
    </w:p>
    <w:p>
      <w:pPr>
        <w:sectPr>
          <w:pgSz w:w="11900" w:h="16838" w:orient="portrait"/>
          <w:cols w:equalWidth="0" w:num="1">
            <w:col w:w="11240"/>
          </w:cols>
          <w:pgMar w:left="320" w:top="125" w:right="339" w:bottom="0" w:gutter="0" w:footer="0" w:header="0"/>
        </w:sectPr>
      </w:pPr>
    </w:p>
    <w:bookmarkStart w:id="10" w:name="page11"/>
    <w:bookmarkEnd w:id="10"/>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The following table summarizes the pre-tax loss recognized in other comprehensive income and the gain (loss) reclassified from accumulated other comprehensive loss into earnings for derivative financial instruments designated as cash flow hedges for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Pre- Tax Gain (Loss)</w:t>
            </w:r>
          </w:p>
        </w:tc>
      </w:tr>
      <w:tr>
        <w:trPr>
          <w:trHeight w:val="216"/>
        </w:trPr>
        <w:tc>
          <w:tcPr>
            <w:tcW w:w="4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Pre-Tax Gain (Loss)</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7"/>
              </w:rPr>
              <w:t>Reclassified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Reclassified from</w:t>
            </w:r>
          </w:p>
        </w:tc>
      </w:tr>
      <w:tr>
        <w:trPr>
          <w:trHeight w:val="216"/>
        </w:trPr>
        <w:tc>
          <w:tcPr>
            <w:tcW w:w="4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6"/>
              </w:rPr>
              <w:t>from AOCI into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Recognized in OCI</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20"/>
                <w:szCs w:val="20"/>
                <w:color w:val="auto"/>
              </w:rPr>
            </w:pPr>
          </w:p>
        </w:tc>
        <w:tc>
          <w:tcPr>
            <w:tcW w:w="20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AOCI into Net Earnings</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September 30, 2021:</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Hot-rolled coil steel contracts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1,557,820</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4"/>
              </w:rPr>
              <w:t>Sales</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(3,086,780</w:t>
            </w:r>
            <w:r>
              <w:rPr>
                <w:rFonts w:ascii="Arial" w:cs="Arial" w:eastAsia="Arial" w:hAnsi="Arial"/>
                <w:sz w:val="29"/>
                <w:szCs w:val="29"/>
                <w:color w:val="auto"/>
                <w:vertAlign w:val="superscript"/>
              </w:rPr>
              <w:t>)</w:t>
            </w:r>
          </w:p>
        </w:tc>
      </w:tr>
      <w:tr>
        <w:trPr>
          <w:trHeight w:val="236"/>
        </w:trPr>
        <w:tc>
          <w:tcPr>
            <w:tcW w:w="4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3"/>
              </w:rPr>
              <w:t>Costs of goods sold</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9,001,500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4180" w:type="dxa"/>
            <w:vAlign w:val="bottom"/>
          </w:tcPr>
          <w:p>
            <w:pPr>
              <w:spacing w:after="0" w:line="203" w:lineRule="exact"/>
              <w:rPr>
                <w:sz w:val="20"/>
                <w:szCs w:val="20"/>
                <w:color w:val="auto"/>
              </w:rPr>
            </w:pPr>
            <w:r>
              <w:rPr>
                <w:rFonts w:ascii="Arial" w:cs="Arial" w:eastAsia="Arial" w:hAnsi="Arial"/>
                <w:sz w:val="18"/>
                <w:szCs w:val="18"/>
                <w:color w:val="auto"/>
              </w:rPr>
              <w:t>Total</w:t>
            </w:r>
          </w:p>
        </w:tc>
        <w:tc>
          <w:tcPr>
            <w:tcW w:w="6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1,557,820</w:t>
            </w: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5,914,720</w:t>
            </w:r>
          </w:p>
        </w:tc>
      </w:tr>
      <w:tr>
        <w:trPr>
          <w:trHeight w:val="20"/>
        </w:trPr>
        <w:tc>
          <w:tcPr>
            <w:tcW w:w="4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For the six months ended September 30, 2021: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(20,013,560)</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Sales</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(8,184,800)</w:t>
            </w:r>
          </w:p>
        </w:tc>
      </w:tr>
      <w:tr>
        <w:trPr>
          <w:trHeight w:val="216"/>
        </w:trPr>
        <w:tc>
          <w:tcPr>
            <w:tcW w:w="4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3"/>
              </w:rPr>
              <w:t>Costs of goods sold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10,583,700</w:t>
            </w:r>
          </w:p>
        </w:tc>
        <w:tc>
          <w:tcPr>
            <w:tcW w:w="100" w:type="dxa"/>
            <w:vAlign w:val="bottom"/>
          </w:tcPr>
          <w:p>
            <w:pPr>
              <w:spacing w:after="0"/>
              <w:rPr>
                <w:sz w:val="18"/>
                <w:szCs w:val="18"/>
                <w:color w:val="auto"/>
              </w:rPr>
            </w:pPr>
          </w:p>
        </w:tc>
      </w:tr>
      <w:tr>
        <w:trPr>
          <w:trHeight w:val="22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40"/>
              <w:spacing w:after="0" w:line="210" w:lineRule="exact"/>
              <w:rPr>
                <w:sz w:val="20"/>
                <w:szCs w:val="20"/>
                <w:color w:val="auto"/>
              </w:rPr>
            </w:pPr>
            <w:r>
              <w:rPr>
                <w:rFonts w:ascii="Arial" w:cs="Arial" w:eastAsia="Arial" w:hAnsi="Arial"/>
                <w:sz w:val="14"/>
                <w:szCs w:val="14"/>
                <w:color w:val="auto"/>
              </w:rPr>
              <w:t>(20,013,560</w:t>
            </w:r>
            <w:r>
              <w:rPr>
                <w:rFonts w:ascii="Arial" w:cs="Arial" w:eastAsia="Arial" w:hAnsi="Arial"/>
                <w:sz w:val="24"/>
                <w:szCs w:val="24"/>
                <w:color w:val="auto"/>
                <w:vertAlign w:val="subscript"/>
              </w:rPr>
              <w:t>)</w:t>
            </w:r>
          </w:p>
        </w:tc>
        <w:tc>
          <w:tcPr>
            <w:tcW w:w="22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2,398,900</w:t>
            </w: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estimated amount of losses recognized in AOCI at September 30, 2021 expected to be reclassified into net earnings (loss) within the succeeding twelve months is $26,353,840. This amount consists of $23,467,120 in realized losses associated with closed hedges and $2,886,720 associated with open hedges that was computed using the fair value of the cash flow hedges as of September 30, 2021 and is subject to change before actual reclassification from AOCI to net earnings (loss).</w:t>
      </w:r>
    </w:p>
    <w:p>
      <w:pPr>
        <w:spacing w:after="0" w:line="18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following table summarizes the loss recognized in earnings for derivative instruments not designated as hedging instruments during the three and six month periods ended September 30, 2021:</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Loss Recognized in 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Location of Loss</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September 30, 2021</w:t>
            </w:r>
          </w:p>
        </w:tc>
        <w:tc>
          <w:tcPr>
            <w:tcW w:w="80" w:type="dxa"/>
            <w:vAlign w:val="bottom"/>
          </w:tcPr>
          <w:p>
            <w:pPr>
              <w:spacing w:after="0"/>
              <w:rPr>
                <w:sz w:val="20"/>
                <w:szCs w:val="20"/>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Other income (loss), net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(6,830,780)</w:t>
            </w:r>
          </w:p>
        </w:tc>
      </w:tr>
      <w:tr>
        <w:trPr>
          <w:trHeight w:val="414"/>
        </w:trPr>
        <w:tc>
          <w:tcPr>
            <w:tcW w:w="4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Loss Recognized in 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Location of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for the Six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September 30, 2021</w:t>
            </w:r>
          </w:p>
        </w:tc>
        <w:tc>
          <w:tcPr>
            <w:tcW w:w="80" w:type="dxa"/>
            <w:vAlign w:val="bottom"/>
          </w:tcPr>
          <w:p>
            <w:pPr>
              <w:spacing w:after="0"/>
              <w:rPr>
                <w:sz w:val="20"/>
                <w:szCs w:val="20"/>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Other income (loss), net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(8,219,740)</w:t>
            </w:r>
          </w:p>
        </w:tc>
      </w:tr>
    </w:tbl>
    <w:p>
      <w:pPr>
        <w:spacing w:after="0" w:line="200" w:lineRule="exact"/>
        <w:rPr>
          <w:sz w:val="20"/>
          <w:szCs w:val="20"/>
          <w:color w:val="auto"/>
        </w:rPr>
      </w:pPr>
    </w:p>
    <w:p>
      <w:pPr>
        <w:spacing w:after="0" w:line="21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notional amount (quantity) of our derivative instruments not designated as hedging instruments at September 30, 2021 consisted of 9,160 tons of long positions with maturity dates ranging from October 2021 to January 2022 and 3,440 tons of short positions with maturity dates ranging from October 2021 to December 2022.</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reflects the change in accumulated other comprehensive income (loss), net of tax, for the six months ended September 30, 2021:</w:t>
      </w:r>
    </w:p>
    <w:p>
      <w:pPr>
        <w:spacing w:after="0" w:line="244"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Gain (Loss) on</w:t>
            </w:r>
          </w:p>
        </w:tc>
      </w:tr>
      <w:tr>
        <w:trPr>
          <w:trHeight w:val="234"/>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Derivatives</w:t>
            </w:r>
          </w:p>
        </w:tc>
        <w:tc>
          <w:tcPr>
            <w:tcW w:w="80" w:type="dxa"/>
            <w:vAlign w:val="bottom"/>
          </w:tcPr>
          <w:p>
            <w:pPr>
              <w:spacing w:after="0"/>
              <w:rPr>
                <w:sz w:val="20"/>
                <w:szCs w:val="20"/>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(11,187,841)</w:t>
            </w:r>
          </w:p>
        </w:tc>
      </w:tr>
      <w:tr>
        <w:trPr>
          <w:trHeight w:val="216"/>
        </w:trPr>
        <w:tc>
          <w:tcPr>
            <w:tcW w:w="7380" w:type="dxa"/>
            <w:vAlign w:val="bottom"/>
          </w:tcPr>
          <w:p>
            <w:pPr>
              <w:ind w:left="160"/>
              <w:spacing w:after="0"/>
              <w:rPr>
                <w:sz w:val="20"/>
                <w:szCs w:val="20"/>
                <w:color w:val="auto"/>
              </w:rPr>
            </w:pPr>
            <w:r>
              <w:rPr>
                <w:rFonts w:ascii="Arial" w:cs="Arial" w:eastAsia="Arial" w:hAnsi="Arial"/>
                <w:sz w:val="18"/>
                <w:szCs w:val="18"/>
                <w:color w:val="auto"/>
              </w:rPr>
              <w:t>Other comprehensive loss, net of income,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(15,178,284)</w:t>
            </w:r>
          </w:p>
        </w:tc>
      </w:tr>
      <w:tr>
        <w:trPr>
          <w:trHeight w:val="216"/>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5,712,132</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380" w:type="dxa"/>
            <w:vAlign w:val="bottom"/>
          </w:tcPr>
          <w:p>
            <w:pPr>
              <w:spacing w:after="0"/>
              <w:rPr>
                <w:sz w:val="20"/>
                <w:szCs w:val="20"/>
                <w:color w:val="auto"/>
              </w:rPr>
            </w:pPr>
            <w:r>
              <w:rPr>
                <w:rFonts w:ascii="Arial" w:cs="Arial" w:eastAsia="Arial" w:hAnsi="Arial"/>
                <w:sz w:val="18"/>
                <w:szCs w:val="18"/>
                <w:color w:val="auto"/>
              </w:rPr>
              <w:t>Net current period other comprehensive loss</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(9,466,152)</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(20,653,993)</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656"/>
        <w:spacing w:after="0" w:line="277" w:lineRule="auto"/>
        <w:tabs>
          <w:tab w:leader="none" w:pos="90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reclassified from AOCI is presented net of taxes of $1,819,688 which are included in provision for (benefit from) income taxes on the Company's Consolidated Statement of Operations for the six month period ended September 30, 2021.</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September 30, 2021 and March 31, 2021, cash of $4,158,248 and $12,001,485, respectively, was held by our clearing agent to collateralize our open derivative positions. These cash requirements are included in "Other current assets" on the Company's Consolidated Balance Sheets at September 30, 2021 and March 31, 2021. At September 30, 2021, the Company had a margin call position of $422,877 to further collateralize open derivative positions. This margin requirement was funded subsequent to quarter end.</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had no cash flow hedges during the three and six months ended September 30, 2020, thus no AOCI or other comprehensive income or loss related to hedges.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MEASUREMENTS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84"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for identical assets and liabilities in active markets.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observable for the assets and liabilities, either directly or indirectly.</w:t>
      </w:r>
    </w:p>
    <w:p>
      <w:pPr>
        <w:spacing w:after="0" w:line="32" w:lineRule="exact"/>
        <w:rPr>
          <w:rFonts w:ascii="Arial" w:cs="Arial" w:eastAsia="Arial" w:hAnsi="Arial"/>
          <w:sz w:val="16"/>
          <w:szCs w:val="16"/>
          <w:color w:val="auto"/>
        </w:rPr>
      </w:pPr>
    </w:p>
    <w:p>
      <w:pPr>
        <w:ind w:left="980" w:right="20" w:hanging="324"/>
        <w:spacing w:after="0" w:line="26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and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2021, our financial liabilities, net,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(2,835,400)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(2,835,400)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(2,835,400)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(2,835,400)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2021, our financial liabilities, net,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(7,407,400)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(7,407,400)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(7,407,400)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(7,407,400)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1560" w:hanging="5042"/>
        <w:spacing w:after="0" w:line="527" w:lineRule="auto"/>
        <w:rPr>
          <w:sz w:val="20"/>
          <w:szCs w:val="20"/>
          <w:color w:val="auto"/>
        </w:rPr>
      </w:pPr>
      <w:r>
        <w:rPr>
          <w:rFonts w:ascii="Arial" w:cs="Arial" w:eastAsia="Arial" w:hAnsi="Arial"/>
          <w:sz w:val="18"/>
          <w:szCs w:val="18"/>
          <w:color w:val="auto"/>
        </w:rPr>
        <w:t>At September 30, 2021 and March 31, 2021, the Company did not have any fair value measurements on a non-recurring basis.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47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96"/>
        </w:trPr>
        <w:tc>
          <w:tcPr>
            <w:tcW w:w="4780" w:type="dxa"/>
            <w:vAlign w:val="bottom"/>
            <w:gridSpan w:val="3"/>
          </w:tcPr>
          <w:p>
            <w:pPr>
              <w:spacing w:after="0"/>
              <w:rPr>
                <w:sz w:val="20"/>
                <w:szCs w:val="20"/>
                <w:color w:val="auto"/>
              </w:rPr>
            </w:pPr>
            <w:r>
              <w:rPr>
                <w:rFonts w:ascii="Arial" w:cs="Arial" w:eastAsia="Arial" w:hAnsi="Arial"/>
                <w:sz w:val="18"/>
                <w:szCs w:val="18"/>
                <w:color w:val="auto"/>
              </w:rPr>
              <w:t>NOTE J — SEGMENT INFORMATION (in thousands)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186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Six Months Ended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4"/>
              </w:rPr>
              <w:t>2020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Coil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78,324</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18,456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131,019</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33,889</w:t>
            </w: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Tubular</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14,247</w:t>
            </w:r>
          </w:p>
        </w:tc>
        <w:tc>
          <w:tcPr>
            <w:tcW w:w="4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6,406</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27,468</w:t>
            </w:r>
          </w:p>
        </w:tc>
        <w:tc>
          <w:tcPr>
            <w:tcW w:w="18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14,497</w:t>
            </w: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Total net sales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92,571</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24,862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158,487</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48,386</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Operating profit (loss)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Coil</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24,273</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37,529</w:t>
            </w:r>
          </w:p>
        </w:tc>
        <w:tc>
          <w:tcPr>
            <w:tcW w:w="860" w:type="dxa"/>
            <w:vAlign w:val="bottom"/>
            <w:tcBorders>
              <w:lef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w:t>
            </w: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Tubular</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1,997</w:t>
            </w:r>
          </w:p>
        </w:tc>
        <w:tc>
          <w:tcPr>
            <w:tcW w:w="44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4,598</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profit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26,270</w:t>
            </w:r>
          </w:p>
        </w:tc>
        <w:tc>
          <w:tcPr>
            <w:tcW w:w="4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42,127</w:t>
            </w:r>
          </w:p>
        </w:tc>
        <w:tc>
          <w:tcPr>
            <w:tcW w:w="18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1,866</w:t>
            </w:r>
          </w:p>
        </w:tc>
        <w:tc>
          <w:tcPr>
            <w:tcW w:w="44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718</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3,742</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1,452</w:t>
            </w: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4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(6,840)</w:t>
            </w:r>
          </w:p>
        </w:tc>
        <w:tc>
          <w:tcPr>
            <w:tcW w:w="44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(6,528)</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84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Total earnings (loss) before income taxes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17,492</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31,761</w:t>
            </w:r>
          </w:p>
        </w:tc>
        <w:tc>
          <w:tcPr>
            <w:tcW w:w="860" w:type="dxa"/>
            <w:vAlign w:val="bottom"/>
            <w:tcBorders>
              <w:lef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(1,449)</w:t>
            </w:r>
          </w:p>
        </w:tc>
      </w:tr>
      <w:tr>
        <w:trPr>
          <w:trHeight w:val="20"/>
        </w:trPr>
        <w:tc>
          <w:tcPr>
            <w:tcW w:w="840" w:type="dxa"/>
            <w:vAlign w:val="bottom"/>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628"/>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gridSpan w:val="4"/>
          </w:tcPr>
          <w:p>
            <w:pPr>
              <w:ind w:left="20"/>
              <w:spacing w:after="0"/>
              <w:rPr>
                <w:sz w:val="20"/>
                <w:szCs w:val="20"/>
                <w:color w:val="auto"/>
              </w:rPr>
            </w:pPr>
            <w:r>
              <w:rPr>
                <w:rFonts w:ascii="Arial" w:cs="Arial" w:eastAsia="Arial" w:hAnsi="Arial"/>
                <w:sz w:val="18"/>
                <w:szCs w:val="18"/>
                <w:b w:val="1"/>
                <w:bCs w:val="1"/>
                <w:color w:val="auto"/>
                <w:w w:val="90"/>
              </w:rPr>
              <w:t>September 30, 2021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6"/>
              </w:rPr>
              <w:t>March 31, 2021</w:t>
            </w:r>
          </w:p>
        </w:tc>
      </w:tr>
      <w:tr>
        <w:trPr>
          <w:trHeight w:val="210"/>
        </w:trPr>
        <w:tc>
          <w:tcPr>
            <w:tcW w:w="840" w:type="dxa"/>
            <w:vAlign w:val="bottom"/>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Coil</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112,826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56,670</w:t>
            </w: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Tubular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17,884</w:t>
            </w: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130,225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74,554</w:t>
            </w: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Corporate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20,455</w:t>
            </w: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137,823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95,009</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Operating profit is total net sales less operating expenses, excluding general corporate expenses, interest expense and other income (loss). General corporate expenses reflect general and administrative expenses not directly associated with segment operations and consist primarily of corporate and accounting salaries, professional fees and services, bad debts, retirement plan contribution expense, corporate insurance expenses, restricted stock plan compensation expense and office supplies. Other income (loss) for the three months ended September 30, 2021 consisted primarily of a $6,830,780 loss related to derivatives not designated for hedge accounting. Other income (loss) for the six months ended September 30, 2021 consisted primarily of a $8,219,740 loss related to derivatives not designated for hedge accounting partially offset by a $1,706,614 gain from the PPP Loan forgiveness. Corporate assets consist primarily of cash, restricted cash and the cash value of officers’ life insurance. Although inventory is transferred at cost between product groups, there are no sales between product groups.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NOTE K — REVENUE</w:t>
      </w:r>
    </w:p>
    <w:p>
      <w:pPr>
        <w:spacing w:after="0" w:line="225"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Revenue is generated primarily from contracts to manufacture or process steel products. Most of the Company’s revenue is generated by sales of material out of the Company’s inventory, but a portion of the Company’s revenue is derived from processing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81"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The Company has two reportable segments: Coil and Tubular. Coil primarily generates revenue from cutting to length hot-rolled steel coils. Coil segment revenue consists of three main product types: Prime Coil, Non-Standard Coil and Customer Owned Coil. Tubular primarily generates revenue from the manufacture, distribution and processing of steel pipe. Tubular segment revenue consists of three main product or service types: Manufactured Pipe, Mill Reject Pipe and Pipe Finishing Services. The Company did not generate any revenue from pipe finishing services during either of the three month or six month periods ended September 30, 2021 or September 30, 2020. The pipe finishing facility is currently idled due to market conditions. The following table disaggregates our revenue by product for each of our reportable business segments for the three and six month periods ended September 30, 2021 and 2020, respectively:</w:t>
      </w:r>
    </w:p>
    <w:p>
      <w:pPr>
        <w:spacing w:after="0" w:line="19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9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27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3320" w:type="dxa"/>
            <w:vAlign w:val="bottom"/>
          </w:tcPr>
          <w:p>
            <w:pPr>
              <w:spacing w:after="0"/>
              <w:rPr>
                <w:sz w:val="20"/>
                <w:szCs w:val="20"/>
                <w:color w:val="auto"/>
              </w:rPr>
            </w:pPr>
          </w:p>
        </w:tc>
        <w:tc>
          <w:tcPr>
            <w:tcW w:w="192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33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2020</w:t>
            </w:r>
          </w:p>
        </w:tc>
        <w:tc>
          <w:tcPr>
            <w:tcW w:w="1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Coil Segment:</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Prime Coil</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74,928,149</w:t>
            </w:r>
          </w:p>
        </w:tc>
        <w:tc>
          <w:tcPr>
            <w:tcW w:w="4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17,049,230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124,507,742</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30,356,698</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Non-standard Coil</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3,028,787</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1,201,135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5,851,990</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3,142,138</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Customer Owned Coil</w:t>
            </w:r>
          </w:p>
        </w:tc>
        <w:tc>
          <w:tcPr>
            <w:tcW w:w="1280" w:type="dxa"/>
            <w:vAlign w:val="bottom"/>
          </w:tcPr>
          <w:p>
            <w:pPr>
              <w:jc w:val="right"/>
              <w:spacing w:after="0"/>
              <w:rPr>
                <w:sz w:val="20"/>
                <w:szCs w:val="20"/>
                <w:color w:val="auto"/>
              </w:rPr>
            </w:pPr>
            <w:r>
              <w:rPr>
                <w:rFonts w:ascii="Arial" w:cs="Arial" w:eastAsia="Arial" w:hAnsi="Arial"/>
                <w:sz w:val="18"/>
                <w:szCs w:val="18"/>
                <w:color w:val="auto"/>
              </w:rPr>
              <w:t>366,991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205,721</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658,925</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390,034</w:t>
            </w:r>
          </w:p>
        </w:tc>
      </w:tr>
      <w:tr>
        <w:trPr>
          <w:trHeight w:val="20"/>
        </w:trPr>
        <w:tc>
          <w:tcPr>
            <w:tcW w:w="3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78,323,927</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18,456,086</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131,018,657</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33,888,870</w:t>
            </w:r>
          </w:p>
        </w:tc>
      </w:tr>
      <w:tr>
        <w:trPr>
          <w:trHeight w:val="197"/>
        </w:trPr>
        <w:tc>
          <w:tcPr>
            <w:tcW w:w="33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Tubular Segment:</w:t>
            </w:r>
          </w:p>
        </w:tc>
        <w:tc>
          <w:tcPr>
            <w:tcW w:w="12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Manufactured Pipe</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11,376,626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5,296,334</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20,983,436</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12,458,184</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Mill Reject Pipe</w:t>
            </w:r>
          </w:p>
        </w:tc>
        <w:tc>
          <w:tcPr>
            <w:tcW w:w="1280" w:type="dxa"/>
            <w:vAlign w:val="bottom"/>
          </w:tcPr>
          <w:p>
            <w:pPr>
              <w:jc w:val="right"/>
              <w:spacing w:after="0"/>
              <w:rPr>
                <w:sz w:val="20"/>
                <w:szCs w:val="20"/>
                <w:color w:val="auto"/>
              </w:rPr>
            </w:pPr>
            <w:r>
              <w:rPr>
                <w:rFonts w:ascii="Arial" w:cs="Arial" w:eastAsia="Arial" w:hAnsi="Arial"/>
                <w:sz w:val="18"/>
                <w:szCs w:val="18"/>
                <w:color w:val="auto"/>
              </w:rPr>
              <w:t>2,870,342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1,109,260</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6,485,241</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2,039,226</w:t>
            </w:r>
          </w:p>
        </w:tc>
      </w:tr>
      <w:tr>
        <w:trPr>
          <w:trHeight w:val="20"/>
        </w:trPr>
        <w:tc>
          <w:tcPr>
            <w:tcW w:w="3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14,246,968</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6,405,594</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27,468,677</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14,497,410</w:t>
            </w: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L — STOCKHOLDERS’ 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reflect the changes in stockholders’ equity for each of the six month periods ended September 30, 2021 and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Comprehensive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Loss,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Stock</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Net of Tax</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AT MARCH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8,334,785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(11,187,841)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30,003,462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(7,203,342)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45,392,912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65,339,976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11,311,797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11,311,797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(13,693,337)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(13,693,337)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Paid in capital – restricted stock awards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121,704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121,704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(137,865)</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ind w:left="280"/>
              <w:spacing w:after="0"/>
              <w:rPr>
                <w:sz w:val="20"/>
                <w:szCs w:val="20"/>
                <w:color w:val="auto"/>
              </w:rPr>
            </w:pPr>
            <w:r>
              <w:rPr>
                <w:rFonts w:ascii="Arial" w:cs="Arial" w:eastAsia="Arial" w:hAnsi="Arial"/>
                <w:sz w:val="18"/>
                <w:szCs w:val="18"/>
                <w:color w:val="auto"/>
              </w:rPr>
              <w:t>BALANCE AT JUNE 30, 2021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8,334,785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(24,881,178)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30,125,166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(7,203,342)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56,566,844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62,942,275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13,177,614</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13,177,614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4,227,185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4,227,185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Paid in capital – restricted stock awards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126,037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126,037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(138,110)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(138,110)</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tcPr>
          <w:p>
            <w:pPr>
              <w:ind w:left="500"/>
              <w:spacing w:after="0" w:line="195" w:lineRule="exact"/>
              <w:rPr>
                <w:sz w:val="20"/>
                <w:szCs w:val="20"/>
                <w:color w:val="auto"/>
              </w:rPr>
            </w:pPr>
            <w:r>
              <w:rPr>
                <w:rFonts w:ascii="Arial" w:cs="Arial" w:eastAsia="Arial" w:hAnsi="Arial"/>
                <w:sz w:val="18"/>
                <w:szCs w:val="18"/>
                <w:color w:val="auto"/>
              </w:rPr>
              <w:t>BALANCE AT SEPTEMBER 30,</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8,340,785</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(20,653,993)</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30,245,203</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(7,203,342)</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69,606,348</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80,335,001</w:t>
            </w:r>
          </w:p>
        </w:tc>
        <w:tc>
          <w:tcPr>
            <w:tcW w:w="0" w:type="dxa"/>
            <w:vAlign w:val="bottom"/>
          </w:tcPr>
          <w:p>
            <w:pPr>
              <w:spacing w:after="0"/>
              <w:rPr>
                <w:sz w:val="1"/>
                <w:szCs w:val="1"/>
                <w:color w:val="auto"/>
              </w:rPr>
            </w:pPr>
          </w:p>
        </w:tc>
      </w:tr>
      <w:tr>
        <w:trPr>
          <w:trHeight w:val="190"/>
        </w:trPr>
        <w:tc>
          <w:tcPr>
            <w:tcW w:w="3280" w:type="dxa"/>
            <w:vAlign w:val="bottom"/>
          </w:tcPr>
          <w:p>
            <w:pPr>
              <w:ind w:left="1400"/>
              <w:spacing w:after="0" w:line="190" w:lineRule="exact"/>
              <w:rPr>
                <w:sz w:val="20"/>
                <w:szCs w:val="20"/>
                <w:color w:val="auto"/>
              </w:rPr>
            </w:pPr>
            <w:r>
              <w:rPr>
                <w:rFonts w:ascii="Arial" w:cs="Arial" w:eastAsia="Arial" w:hAnsi="Arial"/>
                <w:sz w:val="18"/>
                <w:szCs w:val="18"/>
                <w:color w:val="auto"/>
              </w:rPr>
              <w:t>2021</w:t>
            </w:r>
          </w:p>
        </w:tc>
        <w:tc>
          <w:tcPr>
            <w:tcW w:w="14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Comprehensive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Net of Tax</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MARCH 31,</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8,295,160</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29,565,416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(5,525,964)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34,530,755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66,865,367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(858,862)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(858,862)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Paid in capital – restricted stock awards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110,814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110,814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(143,229)</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ind w:left="820"/>
              <w:spacing w:after="0"/>
              <w:rPr>
                <w:sz w:val="20"/>
                <w:szCs w:val="20"/>
                <w:color w:val="auto"/>
              </w:rPr>
            </w:pPr>
            <w:r>
              <w:rPr>
                <w:rFonts w:ascii="Arial" w:cs="Arial" w:eastAsia="Arial" w:hAnsi="Arial"/>
                <w:sz w:val="18"/>
                <w:szCs w:val="18"/>
                <w:color w:val="auto"/>
              </w:rPr>
              <w:t>BALANCE AT JUNE 30, 2020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8,306,160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29,665,230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(5,525,964)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33,528,664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65,974,090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(250,005)</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(250,005)</w:t>
            </w:r>
          </w:p>
        </w:tc>
        <w:tc>
          <w:tcPr>
            <w:tcW w:w="0" w:type="dxa"/>
            <w:vAlign w:val="bottom"/>
          </w:tcPr>
          <w:p>
            <w:pPr>
              <w:spacing w:after="0"/>
              <w:rPr>
                <w:sz w:val="1"/>
                <w:szCs w:val="1"/>
                <w:color w:val="auto"/>
              </w:rPr>
            </w:pPr>
          </w:p>
        </w:tc>
      </w:tr>
      <w:tr>
        <w:trPr>
          <w:trHeight w:val="218"/>
        </w:trPr>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Paid in capital – restricted stock awards</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110,813</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110,813</w:t>
            </w: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(410,221)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(410,221)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Cash dividends ($0.02 per share)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(143,181)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(143,181)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shd w:val="clear" w:color="auto" w:fill="CCEEFF"/>
          </w:tcPr>
          <w:p>
            <w:pPr>
              <w:ind w:left="500"/>
              <w:spacing w:after="0" w:line="195" w:lineRule="exact"/>
              <w:rPr>
                <w:sz w:val="20"/>
                <w:szCs w:val="20"/>
                <w:color w:val="auto"/>
              </w:rPr>
            </w:pPr>
            <w:r>
              <w:rPr>
                <w:rFonts w:ascii="Arial" w:cs="Arial" w:eastAsia="Arial" w:hAnsi="Arial"/>
                <w:sz w:val="18"/>
                <w:szCs w:val="18"/>
                <w:color w:val="auto"/>
              </w:rPr>
              <w:t>BALANCE AT SEPTEMBER 30,</w:t>
            </w:r>
          </w:p>
        </w:tc>
        <w:tc>
          <w:tcPr>
            <w:tcW w:w="13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w w:val="99"/>
              </w:rPr>
              <w:t>$    8,306,160</w:t>
            </w:r>
          </w:p>
        </w:tc>
        <w:tc>
          <w:tcPr>
            <w:tcW w:w="480" w:type="dxa"/>
            <w:vAlign w:val="bottom"/>
            <w:vMerge w:val="restart"/>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8"/>
              </w:rPr>
              <w:t>$  29,776,043</w:t>
            </w: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(5,936,185)  $</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7"/>
              </w:rPr>
              <w:t>33,135,478</w:t>
            </w: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  65,281,496</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jc w:val="right"/>
              <w:ind w:right="1430"/>
              <w:spacing w:after="0" w:line="190" w:lineRule="exact"/>
              <w:rPr>
                <w:sz w:val="20"/>
                <w:szCs w:val="20"/>
                <w:color w:val="auto"/>
              </w:rPr>
            </w:pPr>
            <w:r>
              <w:rPr>
                <w:rFonts w:ascii="Arial" w:cs="Arial" w:eastAsia="Arial" w:hAnsi="Arial"/>
                <w:sz w:val="18"/>
                <w:szCs w:val="18"/>
                <w:color w:val="auto"/>
              </w:rPr>
              <w:t>2020</w:t>
            </w:r>
          </w:p>
        </w:tc>
        <w:tc>
          <w:tcPr>
            <w:tcW w:w="138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320" w:type="dxa"/>
            <w:vAlign w:val="bottom"/>
            <w:gridSpan w:val="3"/>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28"/>
        </w:trPr>
        <w:tc>
          <w:tcPr>
            <w:tcW w:w="328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M — OTHER COMPREHENSIVE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tax effects on each component of Other Comprehensive Income (Loss)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2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w w:val="90"/>
              </w:rPr>
              <w:t>Three Months Ended September 30,</w:t>
            </w:r>
          </w:p>
        </w:tc>
      </w:tr>
      <w:tr>
        <w:trPr>
          <w:trHeight w:val="234"/>
        </w:trPr>
        <w:tc>
          <w:tcPr>
            <w:tcW w:w="6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Before-Tax</w:t>
            </w:r>
          </w:p>
        </w:tc>
        <w:tc>
          <w:tcPr>
            <w:tcW w:w="2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Tax</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r>
      <w:tr>
        <w:trPr>
          <w:trHeight w:val="209"/>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5,573,820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(1,346,635)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4,227,185</w:t>
            </w:r>
          </w:p>
        </w:tc>
      </w:tr>
      <w:tr>
        <w:trPr>
          <w:trHeight w:val="20"/>
        </w:trPr>
        <w:tc>
          <w:tcPr>
            <w:tcW w:w="6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5,573,820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(1,346,635)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4,227,185</w:t>
            </w:r>
          </w:p>
        </w:tc>
      </w:tr>
      <w:tr>
        <w:trPr>
          <w:trHeight w:val="20"/>
        </w:trPr>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0"/>
              </w:rPr>
              <w:t>Six Months Ended September 30,</w:t>
            </w:r>
          </w:p>
        </w:tc>
      </w:tr>
      <w:tr>
        <w:trPr>
          <w:trHeight w:val="234"/>
        </w:trPr>
        <w:tc>
          <w:tcPr>
            <w:tcW w:w="6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Before-Tax</w:t>
            </w:r>
          </w:p>
        </w:tc>
        <w:tc>
          <w:tcPr>
            <w:tcW w:w="20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Tax Benefit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(12,481,740)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3,015,588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(9,466,152)</w:t>
            </w:r>
          </w:p>
        </w:tc>
      </w:tr>
      <w:tr>
        <w:trPr>
          <w:trHeight w:val="20"/>
        </w:trPr>
        <w:tc>
          <w:tcPr>
            <w:tcW w:w="6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(12,481,740)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3,015,588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(9,466,152)</w:t>
            </w:r>
          </w:p>
        </w:tc>
      </w:tr>
      <w:tr>
        <w:trPr>
          <w:trHeight w:val="20"/>
        </w:trPr>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six month period ended September 30, 2020, the Company did not have transactions to report in comprehensive income.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NOTE N — SUPPLEMENTAL CASH FLOW INFORMATION</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Company paid interest of approximately $96,000 during the six months ended September 30, 2021 and $12,000 during the six months ended September 30, 2020. The Company paid income taxes of approximately $5,645,000 and $10,000 during the six months ended September 30, 2021 and September 30, 2020, respectively. At September 30, 2021, the “Construction in process” balance of $5,994,357 consisted of $3,234,068 of accrued capital expenditures for which cash outlay had not occurred.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NOTE O — INCOME TAXES</w:t>
      </w:r>
    </w:p>
    <w:p>
      <w:pPr>
        <w:spacing w:after="0" w:line="225"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For the six months ended September 30, 2021, the Company recorded an income tax provision of $7,271,580, or 22.9% of earnings before income taxes, compared to a tax benefit of $340,484, or 23.5% of loss before income taxes for the six months ended September 30, 2020. Typically, the Company’s effective tax rate differs from the federal statutory rate due to the inclusion of state tax expenses or benefits in the provision. However, for the six months ended September 30, 2021, the Company’s effective tax rate differed from the federal statutory rate due to a combination of the inclusion of state tax expenses in the provision and the exclusion of the non-taxable gain associated with forgiveness of the Company’s PPP Loan from the provision. For the six months ended September 30, 2020, the effective tax rate differed from the federal statutory rate due primarily to the inclusion of state tax benefits in the provision.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Friedman Industries, Incorporated is a manufacturer and processor of steel products and operates in two reportable segments; coil products and tubular products.</w:t>
      </w:r>
    </w:p>
    <w:p>
      <w:pPr>
        <w:spacing w:after="0" w:line="170"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The coil product segment includes the operation of two hot-rolled coil processing facilities; one in Hickman, Arkansas and the other in Decatur, Alabama. The Hickman facility operates a temper mill and a cut-to-length line. The temper mill improves the flatness and surface qualities of the coils and the cut-to-length line levels the steel and cuts the coils into sheet and plate of prescribed lengths. The Hickman facility is capable of cutting sheet and plate with thicknesses ranging from 14 gauge to ½” thick in widths ranging from 36” wide to 72” wide. The Decatur facility underwent an equipment replacement project during our fiscal year ended March 31, 2021 and now operates a stretcher leveler cut-to-length line that was placed into service in March 2021. This new equipment expands the coil segment’s processing capabilities to include material up to 96” wide and material of higher grades and allows the Decatur facility to cut material that is up to ½” thick compared to the previous equipment’s capability of 5/16” thick. In addition, sheet and plate that has been stretcher leveled is preferable to some customers and applications compared to material that has been leveled through the temper mill process. The coil product segment sells its prime grade inventory under the Friedman Industries name but also maintains an inventory of non-standard coil products, consisting primarily of mill secondary and excess prime coils, which are sold through the Company’s XSCP division. The coil product segment also processes customer-owned coils on a fee basis.</w:t>
      </w:r>
    </w:p>
    <w:p>
      <w:pPr>
        <w:spacing w:after="0" w:line="18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May 25, 2021, the Company announced plans for the construction of a new facility in Sinton, Texas that will be part of the coil product segment. The new facility will be on the campus of Steel Dynamics, Inc.'s ("SDI") new flat roll steel mill currently under construction in Sinton, Texas. The Company's new location will consist of an approximately 70,000 square foot building located on approximately 26.5 acres leased from SDI under a 99-year agreement. The lease agreement calls for an annual rental payment of $1. The Company has selected Red Bud Industries to build one of the world’s largest stretcher leveler cut-to-length lines, capable of handling material up to 1” thick, widths up to 96” and yields exceeding 100,000 psi. The Company expects the location to commence operations in April 2022 and estimates the total cost of the project to be $21 million. At September 30, 2021, the Company's construction in process related to the Sinton project was $5,994,357 consisting of $2,760,289 in cash payments and $3,234,068 of accrued capital expenditures. The Company expects to fund the remainder of the Sinton capital expenditure through a combination of cash generated from operations and funds drawn under the ABL Facility. After an initial ramp up period during calendar 2022, the Company expects the facility’s annual shipments could be in the range of 110,000 tons to 140,000 tons for calendar 2023.</w:t>
      </w:r>
    </w:p>
    <w:p>
      <w:pPr>
        <w:spacing w:after="0" w:line="18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TTP has an API licensed pipe finishing facility that threads and couples oil country tubular goods and performs other services that are customary in the pipe finishing process. The pipe finishing facility is currently idled due to market conditions. TTP’s inventory consists of raw materials and finished goods. Raw material inventory consists of hot-rolled steel coils that TTP will manufacture into pipe. Finished goods inventory consists of pipe TTP has manufactured and new mill reject pipe that TTP purchased from U.S. Steel Tubular Products,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Six Months Ended September 30, 2021 Compared to Six Months Ended September 30, 2020</w:t>
      </w:r>
    </w:p>
    <w:p>
      <w:pPr>
        <w:spacing w:after="0" w:line="25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During the six months ended September 30, 2021 (the “ 2021 period”), sales, costs of goods sold and gross profit increased $110,101,054, $64,423,988 and $45,677,066, respectively, compared to the amounts recorded during the six months ended September 30, 2020 (the “ 2020 period”). The increase in sales was related to both an increase in the average per ton selling price and an increase in tons sold. Tons sold increased from approximately 81,500 tons for the 2020 period to approximately 108,500 tons for the 2021 period. Sales volume for the 2020 period was negatively impacted by both the initial effects of the COVID-19 pandemic and the removal of the processing equipment at the Decatur, AL facility for an equipment replacement project. For the 2021 period, sales volume recovered well from the initial pandemic decline and because the new Decatur equipment was operational. Discussion of the change in sales is expanded upon at the segment level in the following paragraphs. Gross profit increased from $1,347,851 for the 2020 period to $47,024,917 for the 2021 period. Gross profit as a percentage of sales increased from approximately 2.8% for the 2020 period to approximately 29.7% for the 2021 period. Gross profit for the 2021 period included $2,398,900 of recognized net gains associated with hedging activities while the 2020 period did not have any significant recognized hedging related gains or losses. Excluding the effect of hedging activities, gross profit related to physical material as a percentage of sales was approximately 26.8% for the 2021 period. Our operating results are significantly impacted by the market price of hot-rolled steel coil. The improved results for the 2021 period were driven by a historic rise in steel prices with prices for the 2021 period being approximately 245% higher than prices for the 2020 period. The impact of this rise in steel prices on each of our segments is discussed further in the following paragraphs.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Coil Segment</w:t>
      </w:r>
    </w:p>
    <w:p>
      <w:pPr>
        <w:spacing w:after="0" w:line="252"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Coil product segment sales for the 2021 period totaled $131,018,657 compared to $33,888,870 for the 2020 period. For a more complete understanding of the average selling prices of goods sold, it is helpful to exclude any hedging related gains or losses that are captured in sales and any sales generated from processing of customer owned material. Coil segment sales for the 2021 period were reduced by $7,751,460 for the recognition of hedging related losses. Coil segment sales for the 2020 period were not impacted by any hedging related gains or losses. Sales generated from processing of customer owned material totaled $658,925 for the 2021 period compared to $390,034 for the 2020 period. Sales generated from coil segment inventory, excluding the impact of any hedging related gains or losses, totaled $138,111,192 for the 2021 period compared to $33,498,836 for the 2020 period. The average per ton selling price related to these shipments increased from approximately $556 per ton for the 2020 period to approximately $1,681 per ton for the 2021 period. Inventory tons sold increased from approximately 60,000 tons in the 2020 period to approximately 82,000 tons in the 2021 period. Sales volume for the 2020 period was significantly impacted by the onset of the COVID-19 pandemic with volume for the 2020 period being down approximately 21% compared to pre-pandemic average volumes for the fiscal year ended March 31, 2020 ("fiscal 2020"). Volume for the 2021 period was approximately 8% higher than pre-pandemic average volumes for fiscal 2020. Volume for the 2021 period benefitted from the new equipment at the Decatur facility being placed into service in March 2021. The prior equipment at the Decatur facility was removed during the 2020 period for the equipment replacement project. We have been pleased with the initial customer response to Decatur's new capabilities. Sales volume for the Decatur plant averaged approximately 2,800 tons per month for the 2021 period. Based on prior years with the prior equipment in place, the Decatur plant's average monthly sales volume was approximately 1,700 tons. The Decatur plant is currently staffed to operate a single shift with a monthly processing capability of approximately 5,500 tons based on operating a single shift. Coil segment operations recorded an operating profit of approximately $37,529,000 for the 2021 period compared to an operating profit of approximately $291,000 for the 2020 period. Operating results for the 2021 period benefitted from a significant increase in steel prices and associated improvement in our margins. Operating profit for the 2021 period includes recognized net profit on hedging activities of approximately $2,609,000 while the Company did not have any significant hedging related gains or losses affecting operating results for the 2020 period. The 2020 period was negatively impacted by low margins associated with declines in hot-rolled steel prices.</w:t>
      </w:r>
    </w:p>
    <w:p>
      <w:pPr>
        <w:spacing w:after="0" w:line="20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coil segment purchases its inventory from a limited number of suppliers. Loss of any of these suppliers could have a material adverse effect on the Company’s business.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Tubular Segment</w:t>
      </w:r>
    </w:p>
    <w:p>
      <w:pPr>
        <w:spacing w:after="0" w:line="25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Tubular product segment sales for the 2021 period totaled $27,468,677 compared to $14,497,410 for the 2020 period. Sales increased due to both an increase in the volume sold and an increase in the average selling price per ton. For a more complete understanding of the average selling prices of goods sold, it is helpful to exclude any hedging related gains or losses that are captured in sales. Tubular segment sales for the 2021 period were reduced by $433,340 for the recognition of hedging related losses. Tubular segment sales for the 2020 period were not impacted by any hedging related gains or losses. Sales generated from tubular segment inventory, excluding the impact of any hedging related gains or losses, totaled $27,902,017 for the 2021 period compared to $14,497,410 for the 2020 period. The average per ton selling price related to these shipments increased from approximately $680 per ton in the 2020 period to approximately $1,060 per ton in the 2021 period. Tons sold increased from approximately 21,000 tons in the 2020 period to approximately 26,500 tons in the 2021 period. Sales volume for the 2020 period was significantly impacted by the onset of the COVID-19 pandemic with volume for the 2020 period being down approximately 26% compared to pre-pandemic average volumes for fiscal 2020. Volume for the 2021 period was approximately 4% lower than pre-pandemic average volumes for fiscal 2020. The tubular segment operations recorded operating profit of approximately $4,598,000 for the 2021 period compared to an operating loss of approximately $285,000 for the 2020 period. Operating results for the 2021 period benefitted from a significant increase in steel prices and associated improvement in our margins. Operating profit for the 2021 period includes recognized net losses on hedging activities of approximately $210,000 while the Company did not have any significant hedging related gains or losses affecting operating results for the 2020 period. The 2020 period was negatively impacted by low margins associated with declines in hot-rolled steel prices and weak energy industry conditions.</w:t>
      </w:r>
    </w:p>
    <w:p>
      <w:pPr>
        <w:spacing w:after="0" w:line="20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tubular segment purchases its inventory from a limited number of suppliers. Loss of any of these suppliers could have a material adverse effect on the Company’s business. In March 2020, U.S. Steel announced the idling of their Lone Star Tubular Operations which was our sole supplier of mill reject pipe. U.S. Steel's facility was idled as announced and the Company's receipts of mill reject pipe ceased in August 2020. At September 30, 2021 , we had approximately 8,900 tons of mill reject inventory which we believe to be slightly less than one year of inventory. We expect the idling to have a negative impact on our operations as we eventually sell out of mill reject pipe inventory. For the 2021 period, sales of mill reject pipe totaled approximately $6,485,000 and accounted for approximately $2,393,000 of the tubular segment's operating profit for the period with approximately $805,000 of allocated operating, administrative and selling expenses included in the calculation of operating profit related to mill reject pipe. For the fiscal year ended March 31, 2021, sales of mill reject pipe totaled approximately $5,283,645 and accounted for approximately $1,313,000 of the tubular segment's operating profit for the period with approximately $802,000 of allocated operating, administrative and selling expenses included in the calculation of operating profit related to mill reject pipe.</w:t>
      </w:r>
    </w:p>
    <w:p>
      <w:pPr>
        <w:sectPr>
          <w:pgSz w:w="11900" w:h="16838" w:orient="portrait"/>
          <w:cols w:equalWidth="0" w:num="1">
            <w:col w:w="11240"/>
          </w:cols>
          <w:pgMar w:left="320" w:top="125" w:right="339" w:bottom="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Selling and Administrative Costs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2021 period, general, selling and administrative costs increased $5,846,523 compared to the 2020 period. The increase was related primarily to incentive compensation associated with increased earnings and professional fees.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2021 period, the Company reported other loss of $6,528,255. This loss consists primarily of a loss of $8,219,740 on derivative instruments not designated for hedge accounting partially offset by a $1,706,614 gain associated with the forgiveness of the Company's Paycheck Protection Program loan.</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Income taxes increased from a benefit for the 2020 period of $340,484 to a provision for the 2021 period of $7,271,580. This increase was related primarily to the shift from a loss before taxes for the 2020 period to having earnings before tax for the 2021 period.</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2021 Compared to Three Months Ended September 30, 2020</w:t>
      </w:r>
    </w:p>
    <w:p>
      <w:pPr>
        <w:spacing w:after="0" w:line="225"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During the three months ended September 30, 2021 (the “2021 quarter”), sales, costs of goods sold and gross profit increased $67,709,215, $39,105,330 and $28,603,885, respectively, compared to the amounts recorded during the three months ended September 30, 2020 (the “2020 quarter”). The increase in sales was related to both an increase in the average per ton selling price and an increase in tons sold. Tons sold increased from approximately 43,000 tons in the 2020 quarter to approximately 54,500 tons in the 2021 quarter. Sales volume for the 2020 quarter was negatively impacted by both the initial effects of the COVID-19 pandemic and the removal of the processing equipment at the Decatur, AL facility for an equipment replacement project. For the 2021 quarter, sales volume had recovered well from the initial pandemic decline and because the new Decatur equipment was operational. Discussion of the change in sales is expanded upon at the segment level in the following paragraphs. Gross profit increased from $1,091,097 for the 2020 quarter to $29,694,982 for the 2021 quarter. Gross profit as a percentage of sales increased from approximately 4.4% in the 2020 quarter to approximately 32.1% in the 2021 quarter. Gross profit for the 2021 quarter included $5,914,720 in recognized net gains associated with hedging activities while the 2020 quarter did not have any significant recognized hedging related gains or losses. Excluding the impact of hedging activities, gross profit related to physical material as a percentage of sales was approximately 24.9% for the 2021 quarter. Our operating results are significantly impacted by the market price of hot-rolled steel coil. The improved results for the 2021 quarter were driven by a historic rise in steel prices with prices for the 2021 quarter being approximately 280% higher than prices for the 2020 quarter. The impact of this rise in steel prices on each of our segments is discussed further in the following paragraphs.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Coil Segment</w:t>
      </w:r>
    </w:p>
    <w:p>
      <w:pPr>
        <w:spacing w:after="0" w:line="225" w:lineRule="exact"/>
        <w:rPr>
          <w:sz w:val="20"/>
          <w:szCs w:val="20"/>
          <w:color w:val="auto"/>
        </w:rPr>
      </w:pPr>
    </w:p>
    <w:p>
      <w:pPr>
        <w:jc w:val="both"/>
        <w:ind w:firstLine="441"/>
        <w:spacing w:after="0" w:line="285" w:lineRule="auto"/>
        <w:rPr>
          <w:sz w:val="20"/>
          <w:szCs w:val="20"/>
          <w:color w:val="auto"/>
        </w:rPr>
      </w:pPr>
      <w:r>
        <w:rPr>
          <w:rFonts w:ascii="Arial" w:cs="Arial" w:eastAsia="Arial" w:hAnsi="Arial"/>
          <w:sz w:val="16"/>
          <w:szCs w:val="16"/>
          <w:color w:val="auto"/>
        </w:rPr>
        <w:t>Coil product segment sales for the 2021 quarter totaled $78,323,927 compared to $18,456,086 for the 2020 quarter. For a more complete understanding of the average selling prices of goods sold, it is helpful to exclude any hedging related gains or losses that are captured in sales and any sales generated from processing of customer owned material. Coil segment sales for the 2021 quarter were reduced by $3,065,780 for the recognition of hedging related losses. Coil segment sales for the 2020 quarter were not impacted by any hedging related gains or losses. Sales generated from processing of customer owned material totaled $366,991 for the 2021 quarter compared to $205,721 for the 2020 quarter. Sales generated from coil segment inventory, excluding the impact of any hedging related gains or losses, totaled $81,022,716 for the 2021 quarter compared to $18,250,365 for the 2020 quarter. The average per ton selling price related to these shipments increased from approximately $548 per ton in the 2020 quarter to approximately $1,884 per ton in the 2021 quarter. Inventory tons sold increased from approximately 33,000 tons in the 2020 quarter to approximately 43,000 tons in the 2021 quarter. Sales volume for the 2020 quarter was impacted by the onset of the COVID-19 pandemic with volume for the 2020 quarter being down approximately 13% compared to pre-pandemic average volumes for the fiscal year ended March 31, 2020 ("fiscal 2020"). Volume for the 2021 quarter was approximately 13% higher than pre-pandemic average volumes for fiscal 2020.Volume for the 2021 quarter benefitted from the new equipment at the Decatur facility being placed into service in March 2021. Coil segment operations recorded an operating profit of approximately $24,273,000 for the 2021 quarter compared to an operating profit of approximately $751,000 for the 2020 quarter. Operating results for the 2021 quarter benefitted from a significant increase in steel prices and associated improvement in our margins. Operating profit for the 2021 quarter includes recognized net gains on hedging activities of approximately $5,712,000 while the Company did not have any significant hedging related gains or losses affecting operating results for the 2020 quarter. The 2020 quarter was negatively impacted by low margins associated with declines in hot-rolled steel prices.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Company’s coil segment purchases its inventory from a limited number of suppliers. Loss of any of these suppliers could have a material adverse effect on the Company’s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Tubular Segment</w:t>
      </w:r>
    </w:p>
    <w:p>
      <w:pPr>
        <w:spacing w:after="0" w:line="225"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Tubular product segment sales for the 2021 quarter totaled $14,246,968 compared to $6,405,594 for the 2020 quarter. Sales increased due to both an increase in the volume sold and an increase in the average selling price per ton. For a more complete understanding of the average selling prices of goods sold, it is helpful to exclude any hedging related gains or losses that are captured in sales. Tubular segment sales for the 2021 quarter were reduced by $21,000 for the recognition of hedging related losses. Tubular segment sales for the 2020 quarter were not impacted by any hedging related gains or losses. Sales generated from tubular segment inventory, excluding the impact of any hedging related gains or losses, totaled $14,267,968 for the 2021 quarter compared to $6,405,594 for the 2020 quarter. The average per ton selling price related to these shipments increased from approximately $634 per ton in the 2020 quarter to approximately $1,223 per ton in the 2021 quarter. Tons sold increased from approximately 10,000 tons in the 2020 quarter to approximately 11,500 tons in the 2021 quarter. Sales volume for the 2020 quarter was significantly impacted by the onset of the COVID-19 pandemic with volume for the 2020 quarter being down approximately 29% compared to pre-pandemic average volumes for fiscal 2020. Volume for the 2021 quarter was approximately 15% lower than pre-pandemic average volumes for fiscal 2020. The tubular segment recorded operating profit of approximately $1,997,000 for the 2021 quarter compared to an operating loss of approximately $344,000 for the 2020 quarter. Operating results for the 2021 quarter benefitted from a significant increase in steel prices and associated improvement in our margins. Operating profit for the 2021 quarter includes recognized net gains on hedging activities of approximately $203,000 while the Company did not have any significant hedging related gains or losses affecting operating results for the 2020 quarter. The 2020 quarter was negatively impacted by low margins associated with declines in hot-rolled steel prices and weak energy industry conditions.</w:t>
      </w:r>
    </w:p>
    <w:p>
      <w:pPr>
        <w:spacing w:after="0" w:line="182"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tubular segment purchases its inventory from a limited number of suppliers. Loss of any of these suppliers could have a material adverse effect on the Company’s business. As disclosed previously, the Company is no longer supplied with mill reject pipe from U.S. Steel's Lone Star Tubular Operations due to the idling of that facility. At September 30, 2021, we had approximately 8,900 tons of mill reject inventory which we believe to be slightly less than one year of inventory. We expect the idling to have a negative impact on our operations as we eventually sell out of mill reject pipe inventory.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Selling and Administrative Costs</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During the 2021 quarter, general, selling and administrative costs increased $3,888,167 compared to the 2020 quarter. The increase was related primarily to incentive compensation associated with increased earnings and professional fees.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During the 2021 quarter, the Company reported other loss of $6,840,317. This loss consists primarily of a $6,830,780 loss on derivative instruments not designated for hedge accounting.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Income taxes increased from a benefit for the 2020 quarter of $62,716 to a provision for the 2021 quarter of $4,314,700. This increase was related primarily to the shift from a loss before taxes for the 2020 quarter to having earnings before tax for the 2021 quarter.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Company’s current ratio was 2.8 at September 30, 2021 and 2.7 at March 31, 2021. Working capital was $72,227,764 at September 30, 2021 and $48,462,364 at March 31, 2021.</w:t>
      </w:r>
    </w:p>
    <w:p>
      <w:pPr>
        <w:spacing w:after="0" w:line="170"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During the six months ended September 30, 2021, the Company maintained assets and liabilities at levels it believed were commensurate with operations. Changes in balance sheet amounts occurred in the ordinary course of business. Accounts receivable, inventories and accounts payable increased significantly due primarily to the significant increase in steel prices. Inventories and accounts payable were also impacted by the timing of inventory receipts. Derivative liabilities are primarily associated with short positions on hot-rolled coil futures. Cash decreased primarily from the Company's operating activities and from the purchase of property, plant and equipment partially offset by cash provided from the Company's credit facility. The Company expects to continue to monitor, evaluate and manage balance sheet components depending on changes in market conditions and the Company’s operations.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June 2021, the Small Business Administration authorized full forgiveness of the Company's Paycheck Protection Program loan.</w:t>
      </w:r>
    </w:p>
    <w:p>
      <w:pPr>
        <w:spacing w:after="0" w:line="225"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On March 8, 2021, the Company entered into a Credit Agreement providing for a $10 million revolving line of credit facility (the "Interim Credit Facility) with JPMorgan Chase Bank, N.A. (the "Bank"). The term of the Interim Credit Facility had an expiration date of July 15, 2021 because the Company was evaluating options for longer term credit arrangements. On April 12, 2021, the Company executed a first amendment to the Interim Credit Facility that increased the size of the facility from $10 million to $20 million. On May 19, 2021, the Company entered into an Amended and Restated Credit Agreement with the Bank that amends and restates the Interim Credit Facility and provides for asset-based revolving loans in an aggregate principal amount up to $40 million (the "ABL Facility"). The ABL Facility matures on May 19, 2026 and replaced the Interim Credit Facility. The ABL Facility is secured by substantially all of the assets of the Company and interest shall accrue on outstanding borrowings at a rate equal to LIBOR plus 1.7% per annum. More details regarding the ABL Facility may be found in Note D. As of the filing date of this Form 10-Q, the Company had borrowings of $11,758,879 outstanding under the ABL Facility and the Company had full access to the ABL Facility.</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 believes that its current cash position along with cash flows from operations and borrowing capability due to its financial position are adequate to fund its expected cash requirements for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CONTRACTS</w:t>
      </w:r>
    </w:p>
    <w:p>
      <w:pPr>
        <w:spacing w:after="0" w:line="2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From time to time, the Company may use futures contracts to partially manage exposure to commodity price risk. The Company elects hedge accounting for some of its derivatives and classifies the transactions as either cash flow hedges or fair value hedges. All of the derivatives designated for hedge accounting during the three month and six month periods ended September 30, 2021 were classified as cash flow hedges. From time to time, the Company may also transact futures contracts where hedge accounting is not elected. The Company recognized gains related to derivatives designated for hedge accounting of $5,914,720 and $2,398,900 for the three month and six month periods ended September 30, 2021, respectively. The Company recognized losses related to derivatives not designated for hedge accounting of $6,830,780 and $8,219,740 for the three month and six month periods ended September 30, 2021, respectively. See Note H for further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expects margins to decline slightly during its fiscal third quarter ending December 31, 2021 but to remain at a level well above historical average margins. A modest decline in sales volume is expected due to a combination of typical demand seasonality around the holidays and customer hesitancy with steel prices showing decline in the third quarter. The Company also expects to reclassify a loss of approximately $14,717,000 into earnings during the third quarter related to derivatives designated for hedge accounting.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amounts reported in the consolidated financial statements and accompanying notes. The more significant estimates and judgements include forecasted purchases of hot-rolled coil and forecasted sales of prime coil inventory and manufactured pipe inventory in relation to hedging activities and the fair value of the pipe-finishing facility, when impaired. From time to time, the Company hedges these forecasted purchases and sales and may designate those transactions for hedge accounting. If the actual volume of these purchases and sales differs from the forecasted volumes, it may impact the application of hedge accounting related to those transactions and may disallow the use of hedge accounting on a go forward basis. Determination of forecasted purchases of hot-rolled coil and forecasted sales of prime coil inventory and manufactured pipe inventory require the Company to make assumptions related to customer demand and the volume and timing of inventory purchases. The pipe-finishing facility impairment analysis requires assumptions related to future operations of the facility and estimates related to the replacement cost and value in exchange for the assets. Actual results could differ from these estimates.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41"/>
        <w:spacing w:after="0" w:line="267" w:lineRule="auto"/>
        <w:rPr>
          <w:sz w:val="20"/>
          <w:szCs w:val="20"/>
          <w:color w:val="auto"/>
        </w:rPr>
      </w:pPr>
      <w:r>
        <w:rPr>
          <w:rFonts w:ascii="Arial" w:cs="Arial" w:eastAsia="Arial" w:hAnsi="Arial"/>
          <w:sz w:val="17"/>
          <w:szCs w:val="17"/>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and our expectations for the construction and performance of our new Sinton, TX facility.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and trends in the oil and natural gas industry.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15(d)-15(f) promulgated under the Securities Exchange Act of 1934, as amended). We have established disclosure controls and procedures designed to ensure that material information required to be disclosed in our reports filed under the Exchange Act is recorded, processed, summarized and reported within the time periods specified by the Securities and Exchange Commission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w:t>
      </w:r>
    </w:p>
    <w:p>
      <w:pPr>
        <w:spacing w:after="0" w:line="19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quarterly report. Based upon our evaluation, the Chief Executive Officer and Chief Financial Officer have concluded that the Company’s internal control over financial reporting was not effective as of the end of the period covered by this Quarterly Report on Form 10-Q because the Company has not yet completed its remediation of the material weakness previously identified and disclosed in the Company’s Annual Report on Form 10-K for the fiscal year ended March 31, 2021.</w:t>
      </w:r>
    </w:p>
    <w:p>
      <w:pPr>
        <w:spacing w:after="0" w:line="1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Notwithstanding the identified material weakness, the Company's management, including our Chief Executive Officer and Chief Financial Officer, believes that the consolidated financial statements included in this Quarterly Report on Form 10-Q fairly present in all material respects our financial condition and results of operations for the three month and six month periods ended September 30, 2021 and 2020 in accordance with U.S. Generally Accepted Accounting Principles.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in Internal Control Over Financial Reporting</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6"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During the audit process related to our fiscal year ended March 31, 2021, management, in connection with our independent auditors, identified a material weakness in our controls related to the review of the annual income tax provision prepared by a third-party firm. Specifically, we did not maintain effective controls to sufficiently review the completeness and accuracy of the annual tax provision.</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for Remediation of Material Weakness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Company is relatively small with106 employees as of the filing date of this Quarter Report on Form 10-Q. Our accounting and finance team consisted of two degreed accountants as of March 31, 2021. Leading up to, and during the financial statement audit period, considerable time was expended by our accounting and finance team to finalize the ABL facility and to select our general contractor and equipment manufacturer related to our planned new facility in Sinton, Texas and to finalize contracts with such parties. This resulted in the Company falling behind in the timeline necessary to complete the audit process and regulatory filings in a timely manner. In an effort to meet regulatory deadlines, the Company did not perform a sufficient review of third-party materials. The Company concludes that the best remediation of the material weakness is an investment in human capital that will allow it to meet its regulatory requirements and growth objectives. On May 24, 2021, the Company hired an additional degreed accountant. The timing of this hire in relation to the audit process made it difficult for the hire to have a beneficial impact on the process related to our fiscal year end March 31, 2021. However, the Company believes the investment in human capital will provide sufficient remediation in future periods and the Company will continue to evaluate the appropriate level of staffing to ensure the controls over financial reporting are adhered to and the Company can meet its regulatory requirements in a timely manner.</w:t>
      </w:r>
    </w:p>
    <w:p>
      <w:pPr>
        <w:spacing w:after="0" w:line="1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will continue to monitor the design and effectiveness of these procedures and controls and make any further changes the Company determines appropriate. We believe the additional investment in human capital described above will remediate the material weakness the Company has identified. However, this material weakness will not be considered remediated until the applicable remedial actions operate effectively for a sufficient period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Except as discussed above, there were no changes in the Company's internal control over financial reporting that occurred during the fiscal quarter ended September 30, 2021 that have materially affected, or are reasonably likely to materially affect, the Company's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FRIEDMAN INDUSTRIES,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020" w:type="dxa"/>
            <w:vAlign w:val="bottom"/>
          </w:tcPr>
          <w:p>
            <w:pPr>
              <w:ind w:left="100"/>
              <w:spacing w:after="0"/>
              <w:rPr>
                <w:sz w:val="20"/>
                <w:szCs w:val="20"/>
                <w:color w:val="auto"/>
              </w:rPr>
            </w:pPr>
            <w:r>
              <w:rPr>
                <w:rFonts w:ascii="Arial" w:cs="Arial" w:eastAsia="Arial" w:hAnsi="Arial"/>
                <w:sz w:val="18"/>
                <w:szCs w:val="18"/>
                <w:color w:val="auto"/>
              </w:rPr>
              <w:t>3.1</w:t>
            </w:r>
          </w:p>
        </w:tc>
        <w:tc>
          <w:tcPr>
            <w:tcW w:w="10220" w:type="dxa"/>
            <w:vAlign w:val="bottom"/>
            <w:gridSpan w:val="10"/>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39">
              <w:r>
                <w:rPr>
                  <w:rFonts w:ascii="Arial" w:cs="Arial" w:eastAsia="Arial" w:hAnsi="Arial"/>
                  <w:sz w:val="18"/>
                  <w:szCs w:val="18"/>
                  <w:color w:val="0000EE"/>
                  <w:w w:val="93"/>
                </w:rPr>
                <w:t>Articles of Incorporation of the Company, as amended (incorporated by reference from Exhibit 3.1 to the Company’s Form S-8 filed</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39">
              <w:r>
                <w:rPr>
                  <w:rFonts w:ascii="Arial" w:cs="Arial" w:eastAsia="Arial" w:hAnsi="Arial"/>
                  <w:sz w:val="18"/>
                  <w:szCs w:val="18"/>
                  <w:color w:val="0000EE"/>
                  <w:w w:val="89"/>
                </w:rPr>
                <w:t>on December 21, 2016).</w:t>
              </w:r>
            </w:hyperlink>
          </w:p>
        </w:tc>
        <w:tc>
          <w:tcPr>
            <w:tcW w:w="7900" w:type="dxa"/>
            <w:vAlign w:val="bottom"/>
            <w:tcBorders>
              <w:top w:val="single" w:sz="8" w:color="0000EE"/>
            </w:tcBorders>
            <w:gridSpan w:val="6"/>
          </w:tcPr>
          <w:p>
            <w:pPr>
              <w:spacing w:after="0"/>
              <w:rPr>
                <w:sz w:val="17"/>
                <w:szCs w:val="17"/>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w:t>
            </w:r>
          </w:p>
        </w:tc>
        <w:tc>
          <w:tcPr>
            <w:tcW w:w="10220" w:type="dxa"/>
            <w:vAlign w:val="bottom"/>
            <w:gridSpan w:val="10"/>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39">
              <w:r>
                <w:rPr>
                  <w:rFonts w:ascii="Arial" w:cs="Arial" w:eastAsia="Arial" w:hAnsi="Arial"/>
                  <w:sz w:val="18"/>
                  <w:szCs w:val="18"/>
                  <w:color w:val="0000EE"/>
                  <w:w w:val="93"/>
                </w:rPr>
                <w:t>Articles of Amendment to the Articles of Incorporation of the Company, as filed with the Texas Secretary of State on September 22,</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1987 (incorporated by reference from Exhibit 3.1 to the Company’s Form S-8 filed on December 21, 2016).</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7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3.3</w:t>
            </w:r>
          </w:p>
        </w:tc>
        <w:tc>
          <w:tcPr>
            <w:tcW w:w="10220" w:type="dxa"/>
            <w:vAlign w:val="bottom"/>
            <w:gridSpan w:val="10"/>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40">
              <w:r>
                <w:rPr>
                  <w:rFonts w:ascii="Arial" w:cs="Arial" w:eastAsia="Arial" w:hAnsi="Arial"/>
                  <w:sz w:val="18"/>
                  <w:szCs w:val="18"/>
                  <w:color w:val="0000EE"/>
                </w:rPr>
                <w:t>Amended and Restated Bylaws of the Company, as amended on November 8, 2021.</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74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220" w:type="dxa"/>
            <w:vAlign w:val="bottom"/>
            <w:gridSpan w:val="10"/>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3">
              <w:r>
                <w:rPr>
                  <w:rFonts w:ascii="Arial" w:cs="Arial" w:eastAsia="Arial" w:hAnsi="Arial"/>
                  <w:sz w:val="18"/>
                  <w:szCs w:val="18"/>
                  <w:color w:val="0000EE"/>
                </w:rPr>
                <w:t>Certification Pursuant to Section 302 of the Sarbanes-Oxley Act of 2002, signed by Michael J. Taylor.</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220" w:type="dxa"/>
            <w:vAlign w:val="bottom"/>
            <w:gridSpan w:val="10"/>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4">
              <w:r>
                <w:rPr>
                  <w:rFonts w:ascii="Arial" w:cs="Arial" w:eastAsia="Arial" w:hAnsi="Arial"/>
                  <w:sz w:val="18"/>
                  <w:szCs w:val="18"/>
                  <w:color w:val="0000EE"/>
                </w:rPr>
                <w:t>Certification Pursuant to Section 302 of the Sarbanes-Oxley Act of 2002, signed by Alex LaRue.</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220" w:type="dxa"/>
            <w:vAlign w:val="bottom"/>
            <w:gridSpan w:val="10"/>
          </w:tcPr>
          <w:p>
            <w:pPr>
              <w:ind w:left="1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w:anchor="page45">
              <w:r>
                <w:rPr>
                  <w:rFonts w:ascii="Arial" w:cs="Arial" w:eastAsia="Arial" w:hAnsi="Arial"/>
                  <w:sz w:val="18"/>
                  <w:szCs w:val="18"/>
                  <w:color w:val="0000EE"/>
                  <w:w w:val="92"/>
                </w:rPr>
                <w:t>Certification Pursuant to 18 U.S.C. Section 1350, as Adopted Pursuant to Section 906 of the Sarbanes-Oxley Act of 2002, signed by</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Michael J. Taylor.</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360" w:type="dxa"/>
            <w:vAlign w:val="bottom"/>
            <w:gridSpan w:val="7"/>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0220" w:type="dxa"/>
            <w:vAlign w:val="bottom"/>
            <w:gridSpan w:val="10"/>
          </w:tcPr>
          <w:p>
            <w:pPr>
              <w:ind w:left="1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w:anchor="page46">
              <w:r>
                <w:rPr>
                  <w:rFonts w:ascii="Arial" w:cs="Arial" w:eastAsia="Arial" w:hAnsi="Arial"/>
                  <w:sz w:val="18"/>
                  <w:szCs w:val="18"/>
                  <w:color w:val="0000EE"/>
                  <w:w w:val="92"/>
                </w:rPr>
                <w:t>Certification Pursuant to 18 U.S.C. Section 1350, as Adopted Pursuant to Section 906 of the Sarbanes-Oxley Act of 2002, signed by</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Alex LaRue.</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740" w:type="dxa"/>
            <w:vAlign w:val="bottom"/>
            <w:gridSpan w:val="8"/>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Instance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Taxonomy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Label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Presentation Linkbase Document.</w:t>
            </w:r>
          </w:p>
        </w:tc>
      </w:tr>
    </w:tbl>
    <w:p>
      <w:pPr>
        <w:spacing w:after="0" w:line="202" w:lineRule="exact"/>
        <w:rPr>
          <w:sz w:val="20"/>
          <w:szCs w:val="20"/>
          <w:color w:val="auto"/>
        </w:rPr>
      </w:pPr>
    </w:p>
    <w:p>
      <w:pPr>
        <w:ind w:left="5540" w:right="3500" w:hanging="5532"/>
        <w:spacing w:after="0" w:line="527" w:lineRule="auto"/>
        <w:tabs>
          <w:tab w:leader="none" w:pos="1134" w:val="left"/>
        </w:tabs>
        <w:numPr>
          <w:ilvl w:val="0"/>
          <w:numId w:val="5"/>
        </w:numPr>
        <w:rPr>
          <w:rFonts w:ascii="Arial" w:cs="Arial" w:eastAsia="Arial" w:hAnsi="Arial"/>
          <w:sz w:val="18"/>
          <w:szCs w:val="18"/>
          <w:color w:val="auto"/>
        </w:rPr>
      </w:pPr>
      <w:r>
        <w:rPr>
          <w:rFonts w:ascii="Arial" w:cs="Arial" w:eastAsia="Arial" w:hAnsi="Arial"/>
          <w:sz w:val="18"/>
          <w:szCs w:val="18"/>
          <w:color w:val="auto"/>
        </w:rPr>
        <w:t>— Cover Page Interactive File (formatted as Inline XBRL and contained in Exhibit 101)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FRIEDMAN INDUSTRIES, INCORPORATED</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19, 2021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180"/>
        <w:spacing w:after="0"/>
        <w:tabs>
          <w:tab w:leader="none" w:pos="140" w:val="left"/>
        </w:tabs>
        <w:rPr>
          <w:sz w:val="20"/>
          <w:szCs w:val="20"/>
          <w:color w:val="auto"/>
        </w:rPr>
      </w:pPr>
      <w:r>
        <w:rPr>
          <w:rFonts w:ascii="Arial" w:cs="Arial" w:eastAsia="Arial" w:hAnsi="Arial"/>
          <w:sz w:val="18"/>
          <w:szCs w:val="18"/>
          <w:color w:val="auto"/>
        </w:rPr>
        <w:t>/s/</w:t>
        <w:tab/>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14605</wp:posOffset>
            </wp:positionV>
            <wp:extent cx="3463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3">
            <w:col w:w="4640" w:space="720"/>
            <w:col w:w="1520" w:space="720"/>
            <w:col w:w="3640"/>
          </w:cols>
          <w:pgMar w:left="320" w:top="125" w:right="339" w:bottom="1440" w:gutter="0" w:footer="0" w:header="0"/>
          <w:type w:val="continuous"/>
        </w:sectPr>
      </w:pPr>
    </w:p>
    <w:p>
      <w:pPr>
        <w:jc w:val="center"/>
        <w:ind w:left="5780"/>
        <w:spacing w:after="0"/>
        <w:rPr>
          <w:sz w:val="20"/>
          <w:szCs w:val="20"/>
          <w:color w:val="auto"/>
        </w:rPr>
      </w:pPr>
      <w:r>
        <w:rPr>
          <w:rFonts w:ascii="Arial" w:cs="Arial" w:eastAsia="Arial" w:hAnsi="Arial"/>
          <w:sz w:val="16"/>
          <w:szCs w:val="16"/>
          <w:color w:val="auto"/>
        </w:rPr>
        <w:t>Alex LaRue, Chief Financial Officer – Secretary and</w:t>
      </w:r>
    </w:p>
    <w:p>
      <w:pPr>
        <w:spacing w:after="0" w:line="46"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Treasurer (Principal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25" w:right="33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FRIEDMAN INDUSTRIES,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ON FEBRUARY 8,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ON NOVEMBER 8, 2021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i w:val="1"/>
          <w:iCs w:val="1"/>
          <w:color w:val="auto"/>
        </w:rPr>
        <w:t>Principal Place of Business</w:t>
      </w:r>
      <w:r>
        <w:rPr>
          <w:rFonts w:ascii="Arial" w:cs="Arial" w:eastAsia="Arial" w:hAnsi="Arial"/>
          <w:sz w:val="18"/>
          <w:szCs w:val="18"/>
          <w:color w:val="auto"/>
        </w:rPr>
        <w:t>. The principal place of business of the corporation and the office of its transfer agent or registrar may</w:t>
      </w:r>
      <w:r>
        <w:rPr>
          <w:rFonts w:ascii="Arial" w:cs="Arial" w:eastAsia="Arial" w:hAnsi="Arial"/>
          <w:sz w:val="18"/>
          <w:szCs w:val="18"/>
          <w:b w:val="1"/>
          <w:bCs w:val="1"/>
          <w:color w:val="auto"/>
        </w:rPr>
        <w:t xml:space="preserve"> </w:t>
      </w:r>
      <w:r>
        <w:rPr>
          <w:rFonts w:ascii="Arial" w:cs="Arial" w:eastAsia="Arial" w:hAnsi="Arial"/>
          <w:sz w:val="18"/>
          <w:szCs w:val="18"/>
          <w:color w:val="auto"/>
        </w:rPr>
        <w:t>be located outside the State of Texas.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i w:val="1"/>
          <w:iCs w:val="1"/>
          <w:color w:val="auto"/>
        </w:rPr>
        <w:t>Other Offices</w:t>
      </w:r>
      <w:r>
        <w:rPr>
          <w:rFonts w:ascii="Arial" w:cs="Arial" w:eastAsia="Arial" w:hAnsi="Arial"/>
          <w:sz w:val="18"/>
          <w:szCs w:val="18"/>
          <w:color w:val="auto"/>
        </w:rPr>
        <w:t>. The corporation may also have offices at such other places both within and without the State of Texas as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may from time to time determine or the business of the corporation may require.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SHAREHOLDERS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i w:val="1"/>
          <w:iCs w:val="1"/>
          <w:color w:val="auto"/>
        </w:rPr>
        <w:t>Time and Place of Meetings</w:t>
      </w:r>
      <w:r>
        <w:rPr>
          <w:rFonts w:ascii="Arial" w:cs="Arial" w:eastAsia="Arial" w:hAnsi="Arial"/>
          <w:sz w:val="18"/>
          <w:szCs w:val="18"/>
          <w:color w:val="auto"/>
        </w:rPr>
        <w:t>. Meetings of shareholders for any purpose may be held at such time and place within or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Texas as shall be stated in the notice of the meeting or in a duly executed waiver of notice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The annual meeting of shareholders shall be held annually at such date and time as shall be designated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by the board of directors and stated in the notice of meeting.</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2.03 </w:t>
      </w:r>
      <w:r>
        <w:rPr>
          <w:rFonts w:ascii="Arial" w:cs="Arial" w:eastAsia="Arial" w:hAnsi="Arial"/>
          <w:sz w:val="17"/>
          <w:szCs w:val="17"/>
          <w:b w:val="1"/>
          <w:bCs w:val="1"/>
          <w:i w:val="1"/>
          <w:iCs w:val="1"/>
          <w:color w:val="auto"/>
        </w:rPr>
        <w:t>Special Meetings</w:t>
      </w:r>
      <w:r>
        <w:rPr>
          <w:rFonts w:ascii="Arial" w:cs="Arial" w:eastAsia="Arial" w:hAnsi="Arial"/>
          <w:sz w:val="17"/>
          <w:szCs w:val="17"/>
          <w:color w:val="auto"/>
        </w:rPr>
        <w:t>. Special meetings of the shareholders for any purpose or purposes may be called by the president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called by the president or secretary at the request in writing of a majority of the board of directors, or at the request in writing of shareholders owning at least ten percent of all the shares entitled to vote at the meetings. A request for a special meeting shall state the purpose or purposes of the proposed meeting, and business transacted at any special meeting of shareholders shall be limited to the purposes stated in the notice.</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2.04 </w:t>
      </w:r>
      <w:r>
        <w:rPr>
          <w:rFonts w:ascii="Arial" w:cs="Arial" w:eastAsia="Arial" w:hAnsi="Arial"/>
          <w:sz w:val="18"/>
          <w:szCs w:val="18"/>
          <w:b w:val="1"/>
          <w:bCs w:val="1"/>
          <w:i w:val="1"/>
          <w:iCs w:val="1"/>
          <w:color w:val="auto"/>
        </w:rPr>
        <w:t>Notice of Meeting</w:t>
      </w:r>
      <w:r>
        <w:rPr>
          <w:rFonts w:ascii="Arial" w:cs="Arial" w:eastAsia="Arial" w:hAnsi="Arial"/>
          <w:sz w:val="18"/>
          <w:szCs w:val="18"/>
          <w:color w:val="auto"/>
        </w:rPr>
        <w:t>. Written notice stating the place, day and hour of the meeting and, in the case of a special meeting, the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or purposes for which the meeting is called, shall be delivered not less than ten nor more than sixty days before the date of the meeting, either personally or by mail, by or at the direction of the president, the secretary, or the officer or persons calling the meeting, to each shareholder entitled to vote at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Section 2.05 </w:t>
      </w:r>
      <w:r>
        <w:rPr>
          <w:rFonts w:ascii="Arial" w:cs="Arial" w:eastAsia="Arial" w:hAnsi="Arial"/>
          <w:sz w:val="16"/>
          <w:szCs w:val="16"/>
          <w:b w:val="1"/>
          <w:bCs w:val="1"/>
          <w:i w:val="1"/>
          <w:iCs w:val="1"/>
          <w:color w:val="auto"/>
        </w:rPr>
        <w:t>Quorum</w:t>
      </w:r>
      <w:r>
        <w:rPr>
          <w:rFonts w:ascii="Arial" w:cs="Arial" w:eastAsia="Arial" w:hAnsi="Arial"/>
          <w:sz w:val="16"/>
          <w:szCs w:val="16"/>
          <w:color w:val="auto"/>
        </w:rPr>
        <w:t>. The holders of a majority of the shares issued and outstanding and entitled to vote thereat, present in person or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represented by proxy, shall constitute a quorum at all meetings of the shareholders for the transaction of business except as otherwise provided by statute or by the articles of incorporation. If, however, a quorum shall not be present or represented at any meeting of the shareholders, the shareholders entitled to vote thereat, present in person or represented by proxy, shall have power to adjourn the meeting from time to time, without notice other than announcement at the meeting, until a quorum shall be present or represented. After an adjournment, at any reconvened meeting any business may be transacted that might have been transacted if the meeting had been held in accordance with the original notice thereof, provided a quorum shall be present or represented thereat.</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2.06 </w:t>
      </w:r>
      <w:r>
        <w:rPr>
          <w:rFonts w:ascii="Arial" w:cs="Arial" w:eastAsia="Arial" w:hAnsi="Arial"/>
          <w:sz w:val="18"/>
          <w:szCs w:val="18"/>
          <w:b w:val="1"/>
          <w:bCs w:val="1"/>
          <w:i w:val="1"/>
          <w:iCs w:val="1"/>
          <w:color w:val="auto"/>
        </w:rPr>
        <w:t>Vote Required</w:t>
      </w:r>
      <w:r>
        <w:rPr>
          <w:rFonts w:ascii="Arial" w:cs="Arial" w:eastAsia="Arial" w:hAnsi="Arial"/>
          <w:sz w:val="18"/>
          <w:szCs w:val="18"/>
          <w:color w:val="auto"/>
        </w:rPr>
        <w:t>. With respect to any matter, other than the election of directors, the affirmative vote of the holders of a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entitled to vote on that matter and represented in person or by proxy at a meeting of shareholders at which a quorum is present, shall decide such matter, unless the matter is one upon which a different vote is required by law or by the articles of incorporation. Unless otherwise required by law or by the articles of incorporation, directors shall be elected by a plurality of the votes cast by the holders of shares entitled to vote in the election of directors at a meeting of shareholders at which a quorum is present.</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2.07 </w:t>
      </w:r>
      <w:r>
        <w:rPr>
          <w:rFonts w:ascii="Arial" w:cs="Arial" w:eastAsia="Arial" w:hAnsi="Arial"/>
          <w:sz w:val="18"/>
          <w:szCs w:val="18"/>
          <w:b w:val="1"/>
          <w:bCs w:val="1"/>
          <w:i w:val="1"/>
          <w:iCs w:val="1"/>
          <w:color w:val="auto"/>
        </w:rPr>
        <w:t>Voting; Proxies</w:t>
      </w:r>
      <w:r>
        <w:rPr>
          <w:rFonts w:ascii="Arial" w:cs="Arial" w:eastAsia="Arial" w:hAnsi="Arial"/>
          <w:sz w:val="18"/>
          <w:szCs w:val="18"/>
          <w:color w:val="auto"/>
        </w:rPr>
        <w:t>. Each outstanding share having voting power shall be entitled to one vote on each matter submitted to a vote at a</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Any shareholder may vote either in person or by proxy executed in writing by the shareholder. A telegram, telex, cablegram or similar transmission by the shareholder, or a photographic, photostatic, facsimile or similar reproduction of a writing executed by the shareholder shall be treated as an execution in writing for purposes of this Section 2.07.</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2.08 </w:t>
      </w:r>
      <w:r>
        <w:rPr>
          <w:rFonts w:ascii="Arial" w:cs="Arial" w:eastAsia="Arial" w:hAnsi="Arial"/>
          <w:sz w:val="18"/>
          <w:szCs w:val="18"/>
          <w:b w:val="1"/>
          <w:bCs w:val="1"/>
          <w:i w:val="1"/>
          <w:iCs w:val="1"/>
          <w:color w:val="auto"/>
        </w:rPr>
        <w:t>Action Without Meeting</w:t>
      </w:r>
      <w:r>
        <w:rPr>
          <w:rFonts w:ascii="Arial" w:cs="Arial" w:eastAsia="Arial" w:hAnsi="Arial"/>
          <w:sz w:val="18"/>
          <w:szCs w:val="18"/>
          <w:color w:val="auto"/>
        </w:rPr>
        <w:t>. Any action required to, or which may, be taken at any annual or special meeting of shareholders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without a meeting, without prior notice and without a vote, if a consent or consents in writing, setting forth the action so taken shall be signed by the holder or holders of all the shares entitled to vote with respect to the action that is the subject of the consent. A telegram, telex, cablegram or similar transmission by a shareholder, or a photographic, photostatic, facsimile or similar reproduction of a writing signed by a shareholder, shall be regarded as signed by a shareholder for purposes of this Section 2.08.</w:t>
      </w:r>
    </w:p>
    <w:p>
      <w:pPr>
        <w:spacing w:after="0" w:line="18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2.09</w:t>
      </w:r>
      <w:r>
        <w:rPr>
          <w:sz w:val="20"/>
          <w:szCs w:val="20"/>
          <w:color w:val="auto"/>
        </w:rPr>
        <w:tab/>
      </w:r>
      <w:r>
        <w:rPr>
          <w:rFonts w:ascii="Arial" w:cs="Arial" w:eastAsia="Arial" w:hAnsi="Arial"/>
          <w:sz w:val="15"/>
          <w:szCs w:val="15"/>
          <w:b w:val="1"/>
          <w:bCs w:val="1"/>
          <w:i w:val="1"/>
          <w:iCs w:val="1"/>
          <w:color w:val="auto"/>
        </w:rPr>
        <w:t>Notice of Shareholder Business and Nominations</w:t>
      </w:r>
    </w:p>
    <w:p>
      <w:pPr>
        <w:spacing w:after="0" w:line="229" w:lineRule="exact"/>
        <w:rPr>
          <w:sz w:val="20"/>
          <w:szCs w:val="20"/>
          <w:color w:val="auto"/>
        </w:rPr>
      </w:pPr>
    </w:p>
    <w:p>
      <w:pPr>
        <w:ind w:left="1540" w:hanging="236"/>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Annual Meetings of Shareholders.</w:t>
      </w:r>
    </w:p>
    <w:p>
      <w:pPr>
        <w:spacing w:after="0" w:line="225" w:lineRule="exact"/>
        <w:rPr>
          <w:rFonts w:ascii="Arial" w:cs="Arial" w:eastAsia="Arial" w:hAnsi="Arial"/>
          <w:sz w:val="18"/>
          <w:szCs w:val="18"/>
          <w:color w:val="auto"/>
        </w:rPr>
      </w:pPr>
    </w:p>
    <w:p>
      <w:pPr>
        <w:jc w:val="both"/>
        <w:ind w:firstLine="1952"/>
        <w:spacing w:after="0" w:line="254" w:lineRule="auto"/>
        <w:tabs>
          <w:tab w:leader="none" w:pos="2204" w:val="left"/>
        </w:tabs>
        <w:numPr>
          <w:ilvl w:val="1"/>
          <w:numId w:val="6"/>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and the proposal of business to be considered by the shareholders may be made at an annual meeting of shareholders only (A) pursuant to the corporation’s notice of meeting (or any supplement thereto), (B) by or at the direction of the board of directors, or (C) by any shareholder of the corporation who (1) was a shareholder of record of the corporation at the time the notice provided for in this Section 2.09 is delivered to the secretary of the corporation and at the time of the annual meeting, (2) shall be entitled to vote at such meeting, and (3) complies with the notice procedures set forth in this Section 2.09 as to such nomination or business. Clause (C) above shall be the exclusive means for a shareholder to make nominations or submit business (other than matters properly brought under Rule 14a-8 (or any successor thereto) under the Securities Exchange Act of 1934, as amended (the “Exchange Act”), and indicated in the corporation’s notice of meeting) before an annual meeting of shareholders.</w:t>
      </w:r>
    </w:p>
    <w:p>
      <w:pPr>
        <w:spacing w:after="0" w:line="191" w:lineRule="exact"/>
        <w:rPr>
          <w:rFonts w:ascii="Arial" w:cs="Arial" w:eastAsia="Arial" w:hAnsi="Arial"/>
          <w:sz w:val="18"/>
          <w:szCs w:val="18"/>
          <w:color w:val="auto"/>
        </w:rPr>
      </w:pPr>
    </w:p>
    <w:p>
      <w:pPr>
        <w:ind w:left="5580" w:hanging="106"/>
        <w:spacing w:after="0"/>
        <w:tabs>
          <w:tab w:leader="none" w:pos="5580" w:val="left"/>
        </w:tabs>
        <w:numPr>
          <w:ilvl w:val="2"/>
          <w:numId w:val="6"/>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9" w:name="page30"/>
    <w:bookmarkEnd w:id="29"/>
    <w:p>
      <w:pPr>
        <w:jc w:val="both"/>
        <w:ind w:firstLine="1304"/>
        <w:spacing w:after="0" w:line="283" w:lineRule="auto"/>
        <w:tabs>
          <w:tab w:leader="none" w:pos="1591" w:val="left"/>
        </w:tabs>
        <w:numPr>
          <w:ilvl w:val="0"/>
          <w:numId w:val="7"/>
        </w:numPr>
        <w:rPr>
          <w:rFonts w:ascii="Arial" w:cs="Arial" w:eastAsia="Arial" w:hAnsi="Arial"/>
          <w:sz w:val="16"/>
          <w:szCs w:val="16"/>
          <w:color w:val="auto"/>
        </w:rPr>
      </w:pPr>
      <w:r>
        <w:rPr>
          <w:rFonts w:ascii="Arial" w:cs="Arial" w:eastAsia="Arial" w:hAnsi="Arial"/>
          <w:sz w:val="16"/>
          <w:szCs w:val="16"/>
          <w:color w:val="auto"/>
        </w:rPr>
        <w:t>Without qualification, for nominations or any other business to be properly brought before an annual meeting by a shareholder pursuant to Section 2.09(a)(i)(C), the shareholder, in addition to any other applicable requirements, must have given timely notice thereof in writing to the secretary of the corporation and any such proposed business must constitute a proper matter for shareholder action. To be timely, a shareholder’s notice must be delivered to the secretary of the corporation at the principal executive offices of the corporation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more than thirty days before or more than sixty (60) days after such anniversary date, notice by the shareholder must be so delivered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by the corporation). In no event shall the public announcement of an adjournment or postponement of the annual meeting of shareholders commence a new time period (or extend any time period) for the giving of a shareholder’s notice as described above. To be in proper form, a shareholder’s notice to the secretary (whether pursuant to this Section 2.09(a) or Section</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2.09(b)) shall set forth:</w:t>
      </w:r>
    </w:p>
    <w:p>
      <w:pPr>
        <w:spacing w:after="0" w:line="210" w:lineRule="exact"/>
        <w:rPr>
          <w:rFonts w:ascii="Arial" w:cs="Arial" w:eastAsia="Arial" w:hAnsi="Arial"/>
          <w:sz w:val="16"/>
          <w:szCs w:val="16"/>
          <w:color w:val="auto"/>
        </w:rPr>
      </w:pPr>
    </w:p>
    <w:p>
      <w:pPr>
        <w:jc w:val="both"/>
        <w:ind w:firstLine="2600"/>
        <w:spacing w:after="0" w:line="269" w:lineRule="auto"/>
        <w:tabs>
          <w:tab w:leader="none" w:pos="2896" w:val="left"/>
        </w:tabs>
        <w:numPr>
          <w:ilvl w:val="1"/>
          <w:numId w:val="7"/>
        </w:numPr>
        <w:rPr>
          <w:rFonts w:ascii="Arial" w:cs="Arial" w:eastAsia="Arial" w:hAnsi="Arial"/>
          <w:sz w:val="17"/>
          <w:szCs w:val="17"/>
          <w:color w:val="auto"/>
        </w:rPr>
      </w:pPr>
      <w:r>
        <w:rPr>
          <w:rFonts w:ascii="Arial" w:cs="Arial" w:eastAsia="Arial" w:hAnsi="Arial"/>
          <w:sz w:val="17"/>
          <w:szCs w:val="17"/>
          <w:color w:val="auto"/>
        </w:rPr>
        <w:t>as to each person, if any, whom the shareholder proposes to nominate for election as a director (1) all information relating to such person that is required to be disclosed in solicitations of proxies for election of directors in an election contest, or is otherwise required, in each case pursuant to and in accordance with Section 14 of the Exchange Act and the rules and regulations promulgated thereunder, (2) such person’s written consent to being named in the proxy statement as a nominee and to serving as a director if elected, (3) a description of all direct and indirect compensation and other material monetary agreements, arrangements and understandings during the past three years, and any other material relationships, between or among such shareholder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shareholder making the nomination and any beneficial owner on whose behalf the nomination is made, if any, or any affiliate or associate thereof or person acting in concert therewith, were the “registrant “ for purposes of such rule and the nominee were a director or executive officer of such registrant; and (4) with respect to each nominee for election or reelection to the board of directors, include a completed and signed questionnaire, representation and agreement required by Section 2.09(d);</w:t>
      </w:r>
    </w:p>
    <w:p>
      <w:pPr>
        <w:spacing w:after="0" w:line="178" w:lineRule="exact"/>
        <w:rPr>
          <w:rFonts w:ascii="Arial" w:cs="Arial" w:eastAsia="Arial" w:hAnsi="Arial"/>
          <w:sz w:val="17"/>
          <w:szCs w:val="17"/>
          <w:color w:val="auto"/>
        </w:rPr>
      </w:pPr>
    </w:p>
    <w:p>
      <w:pPr>
        <w:jc w:val="both"/>
        <w:ind w:firstLine="2600"/>
        <w:spacing w:after="0" w:line="272" w:lineRule="auto"/>
        <w:tabs>
          <w:tab w:leader="none" w:pos="2914" w:val="left"/>
        </w:tabs>
        <w:numPr>
          <w:ilvl w:val="1"/>
          <w:numId w:val="7"/>
        </w:numPr>
        <w:rPr>
          <w:rFonts w:ascii="Arial" w:cs="Arial" w:eastAsia="Arial" w:hAnsi="Arial"/>
          <w:sz w:val="17"/>
          <w:szCs w:val="17"/>
          <w:color w:val="auto"/>
        </w:rPr>
      </w:pPr>
      <w:r>
        <w:rPr>
          <w:rFonts w:ascii="Arial" w:cs="Arial" w:eastAsia="Arial" w:hAnsi="Arial"/>
          <w:sz w:val="17"/>
          <w:szCs w:val="17"/>
          <w:color w:val="auto"/>
        </w:rPr>
        <w:t>if the notice relates to any business (other than the nomination of persons for election as directors) that the shareholder proposes to bring before the meeting, (1) a brief description of the business desired to be brought before the annual meeting, (2) the reasons for conducting such business at the annual meeting, (3) the text of the proposal or business (including the text of any resolutions proposed for consideration and in the event that such business includes a proposal to amend these bylaws of the corporation, the language of the proposed amendment), (4) any material interest in such business of such shareholder and the beneficial owner, if any, on whose behalf the proposal is made, and (5) a description of all agreements, arrangements and understandings between such shareholder and beneficial owner, if any, and any other person or persons (including their names) in connection with the proposal of such business by such shareholder;</w:t>
      </w:r>
    </w:p>
    <w:p>
      <w:pPr>
        <w:spacing w:after="0" w:line="177" w:lineRule="exact"/>
        <w:rPr>
          <w:rFonts w:ascii="Arial" w:cs="Arial" w:eastAsia="Arial" w:hAnsi="Arial"/>
          <w:sz w:val="17"/>
          <w:szCs w:val="17"/>
          <w:color w:val="auto"/>
        </w:rPr>
      </w:pPr>
    </w:p>
    <w:p>
      <w:pPr>
        <w:ind w:left="5580" w:hanging="106"/>
        <w:spacing w:after="0"/>
        <w:tabs>
          <w:tab w:leader="none" w:pos="5580" w:val="left"/>
        </w:tabs>
        <w:numPr>
          <w:ilvl w:val="2"/>
          <w:numId w:val="7"/>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jc w:val="both"/>
        <w:ind w:left="-8" w:firstLine="2600"/>
        <w:spacing w:after="0" w:line="282" w:lineRule="auto"/>
        <w:tabs>
          <w:tab w:leader="none" w:pos="2872" w:val="left"/>
        </w:tabs>
        <w:numPr>
          <w:ilvl w:val="1"/>
          <w:numId w:val="8"/>
        </w:numPr>
        <w:rPr>
          <w:rFonts w:ascii="Arial" w:cs="Arial" w:eastAsia="Arial" w:hAnsi="Arial"/>
          <w:sz w:val="16"/>
          <w:szCs w:val="16"/>
          <w:color w:val="auto"/>
        </w:rPr>
      </w:pPr>
      <w:r>
        <w:rPr>
          <w:rFonts w:ascii="Arial" w:cs="Arial" w:eastAsia="Arial" w:hAnsi="Arial"/>
          <w:sz w:val="16"/>
          <w:szCs w:val="16"/>
          <w:color w:val="auto"/>
        </w:rPr>
        <w:t>as to the shareholder giving the notice and the beneficial owner, if any, on whose behalf the nomination or proposal is made (1) the name and address of such shareholder, as they appear on the corporation’s books, and of such beneficial owner, if any, (2)(a) the class or series and number of shares of capital stock of the corporation that are, directly or indirectly, owned beneficially and of record by such shareholder and by such beneficial owner, (b) any option, warrant, convertible security, stock appreciation right, or similar right with an exercise or conversion privilege or a settlement payment or mechanism at a price related to any class or series of capital stock of the corporation, whether or not such instrument or right shall be subject to settlement in the underlying class or series of capital stock of the corporation or otherwise (a “Derivative Instrument”) directly or indirectly owned beneficially by such shareholder and by such beneficial owner, if any, and any other direct or indirect opportunity held or owned beneficially by such shareholder and by such beneficial owner, if any, to profit or share in any profit derived from any increase or decrease in the value of shares of the corporation, (c) any proxy, contract, arrangement, understanding, or relationship pursuant to which such shareholder or beneficial owner, if any, has a right to vote any shares of any security of the corporation, (d) any short interest in any security of the corporation (for purposes of this Section 2.09, a person shall be deemed to have a short interest in a security if such person directly or indirectly, through a contract, arrangement, understanding, relationship or otherwise, has the opportunity to profit or share in any profit derived from any decrease in the value of the subject security), (e) any right to dividends on the shares of capital stock of the corporation owned beneficially by such shareholder or such beneficial owner, if any, which right is separated or separable from the underlying shares, (f) any proportionate interest in shares of capital stock of the corporation or Derivative Instrument held, directly or indirectly, by a general or limited partnership in which such shareholder or such beneficial owner, if any, is a general partner or with respect to which such shareholder or such beneficial owner, if any, directly or indirectly, beneficially owns an interest in a general partner, and (g) any performance-related fees (other than an asset-based fee) to which such shareholder or such beneficial owner, if any, is entitled to based on any increase or decrease in the value of shares of the corporation or Derivative Instruments, if any, in each case with respect to the information required to be included in the notice pursuant to clauses (a) through (g) above, as of the date of such notice and including, without limitation, any such interests held by members of such shareholder’s or such beneficial owner’s immediate family sharing the same household (which information shall be supplemented by such shareholder and such beneficial owner, if any, (i) not later than 10 days after the record date for the annual meeting to disclose such ownership as of the record date, (ii) 10 days before the annual meeting date, and (iii) immediately prior to the commencement of the annual meeting, by delivery to the Secretary of the corporation of such supplemented information), (3) any other information relating to such shareholder and beneficial owner, if any, that would be required to be disclosed in a proxy statement or other filings required to be made in connection with solicitation of proxies for election of directors in a contested election pursuant to Section 14 of the Exchange Act and the rules and regulations promulgated thereunder, (4) a representation that the shareholder is a holder of record of stock of the corporation entitled to vote at such meeting and intends to appear in person or by proxy at the meeting to propose such business or nomination, and (5) a representation whether the shareholder or the beneficial owner, if any, intends or is part of a group that intends (i) to deliver a proxy statement and/or form of proxy to holders of at least the percentage of the corporation’s outstanding capital stock required to approve or adopt the proposal or elect the nominee or</w:t>
      </w:r>
    </w:p>
    <w:p>
      <w:pPr>
        <w:spacing w:after="0" w:line="9" w:lineRule="exact"/>
        <w:rPr>
          <w:rFonts w:ascii="Arial" w:cs="Arial" w:eastAsia="Arial" w:hAnsi="Arial"/>
          <w:sz w:val="16"/>
          <w:szCs w:val="16"/>
          <w:color w:val="auto"/>
        </w:rPr>
      </w:pPr>
    </w:p>
    <w:p>
      <w:pPr>
        <w:ind w:left="272" w:hanging="272"/>
        <w:spacing w:after="0"/>
        <w:tabs>
          <w:tab w:leader="none" w:pos="272"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otherwise to solicit proxies from shareholders in support of such proposal or nomination; and</w:t>
      </w:r>
    </w:p>
    <w:p>
      <w:pPr>
        <w:spacing w:after="0" w:line="210" w:lineRule="exact"/>
        <w:rPr>
          <w:rFonts w:ascii="Arial" w:cs="Arial" w:eastAsia="Arial" w:hAnsi="Arial"/>
          <w:sz w:val="18"/>
          <w:szCs w:val="18"/>
          <w:color w:val="auto"/>
        </w:rPr>
      </w:pPr>
    </w:p>
    <w:p>
      <w:pPr>
        <w:ind w:left="5572" w:hanging="106"/>
        <w:spacing w:after="0"/>
        <w:tabs>
          <w:tab w:leader="none" w:pos="5572" w:val="left"/>
        </w:tabs>
        <w:numPr>
          <w:ilvl w:val="2"/>
          <w:numId w:val="9"/>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31" w:name="page32"/>
    <w:bookmarkEnd w:id="31"/>
    <w:p>
      <w:pPr>
        <w:jc w:val="both"/>
        <w:ind w:left="-1120" w:firstLine="2600"/>
        <w:spacing w:after="0" w:line="257" w:lineRule="auto"/>
        <w:tabs>
          <w:tab w:leader="none" w:pos="1779" w:val="left"/>
        </w:tabs>
        <w:numPr>
          <w:ilvl w:val="2"/>
          <w:numId w:val="10"/>
        </w:numPr>
        <w:rPr>
          <w:rFonts w:ascii="Arial" w:cs="Arial" w:eastAsia="Arial" w:hAnsi="Arial"/>
          <w:sz w:val="18"/>
          <w:szCs w:val="18"/>
          <w:color w:val="auto"/>
        </w:rPr>
      </w:pPr>
      <w:r>
        <w:rPr>
          <w:rFonts w:ascii="Arial" w:cs="Arial" w:eastAsia="Arial" w:hAnsi="Arial"/>
          <w:sz w:val="18"/>
          <w:szCs w:val="18"/>
          <w:color w:val="auto"/>
        </w:rPr>
        <w:t>such other information as the corporation may reasonably require or that is otherwise reasonably necessary (1) to determine the eligibility of such proposed nominee to serve as a director of the corporation, (2) to determine whether such nominee qualifies as an “independent director” or “audit committee financial expert” under applicable law, securities exchange rule or regulation, or any publicly-disclosed corporate governance guideline or committee charter of the corporation; and (3) that could be material to a reasonable shareholder’s understanding of the independence and qualifications, or lack thereof, of such nominee.</w:t>
      </w:r>
    </w:p>
    <w:p>
      <w:pPr>
        <w:spacing w:after="0" w:line="187" w:lineRule="exact"/>
        <w:rPr>
          <w:rFonts w:ascii="Arial" w:cs="Arial" w:eastAsia="Arial" w:hAnsi="Arial"/>
          <w:sz w:val="18"/>
          <w:szCs w:val="18"/>
          <w:color w:val="auto"/>
        </w:rPr>
      </w:pPr>
    </w:p>
    <w:p>
      <w:pPr>
        <w:jc w:val="both"/>
        <w:ind w:left="-1120" w:firstLine="1952"/>
        <w:spacing w:after="0" w:line="254" w:lineRule="auto"/>
        <w:tabs>
          <w:tab w:leader="none" w:pos="1165"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Section 2.09(a)(ii) to the contrary, in the event that the number of directors to be elected to the board of directors of the corporation at an annual meeting is increased and there is no public announcement by the corporation naming all of the nominees for director or specifying the size of the increased board of directors at least one hundred (100) days prior to the first anniversary of the preceding year’s annual meeting, a shareholder’s notice required by this Section 2.09 shall also be considered timely, but only with respect to nominees for any new positions created by such increase, if it shall be delivered to the secretary of the corporation at the principal executive offices of the corporation not later than the close of business on the tenth (10th) day following the day on which such public announcement is first made by the corporation.</w:t>
      </w:r>
    </w:p>
    <w:p>
      <w:pPr>
        <w:spacing w:after="0" w:line="194" w:lineRule="exact"/>
        <w:rPr>
          <w:rFonts w:ascii="Arial" w:cs="Arial" w:eastAsia="Arial" w:hAnsi="Arial"/>
          <w:sz w:val="18"/>
          <w:szCs w:val="18"/>
          <w:color w:val="auto"/>
        </w:rPr>
      </w:pPr>
    </w:p>
    <w:p>
      <w:pPr>
        <w:jc w:val="both"/>
        <w:ind w:left="-1120" w:firstLine="1304"/>
        <w:spacing w:after="0" w:line="286" w:lineRule="auto"/>
        <w:tabs>
          <w:tab w:leader="none" w:pos="444"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Special Meetings of Shareholders. </w:t>
      </w:r>
      <w:r>
        <w:rPr>
          <w:rFonts w:ascii="Arial" w:cs="Arial" w:eastAsia="Arial" w:hAnsi="Arial"/>
          <w:sz w:val="16"/>
          <w:szCs w:val="16"/>
          <w:color w:val="auto"/>
        </w:rPr>
        <w:t>Only such business shall be conducted at a special meeting of shareholders as shall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brought before the meeting pursuant to the corporation’s notice of meeting. Nominations of persons for election to the board of directors may be made at a special meeting of shareholders at which directors are to be elected pursuant to the corporation’s notice of meeting (i) by or at the direction of the board of directors or (ii) provided that the board of directors has determined that the directors shall be elected at such meeting, by any shareholder of the corporation who is a shareholder of record at the time the notice provided for in this Section 2.09 is delivered to the secretary of the corporation and at the time of the special meeting, who is entitled to vote at the meeting and upon such election, and who complies with the notice procedures set forth in this Section 2.09. In the event the corporation calls a special meeting of shareholders for the purpose of electing one or more directors to the board of directors, any such shareholder entitled to vote in such election of directors may nominate a person or persons (as the case may be) for election to such position(s) as specified in the corporation’s notice of meeting, if the shareholder’s notice in the same form as required by paragraph (a)(ii) of this Section 2.09 with respect to any nomination (including the completed and signed questionnaire, representation and agreement required by Section 2.09(d)) shall be delivered to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shareholder’s notice as described above.</w:t>
      </w:r>
    </w:p>
    <w:p>
      <w:pPr>
        <w:spacing w:after="0" w:line="167" w:lineRule="exact"/>
        <w:rPr>
          <w:rFonts w:ascii="Arial" w:cs="Arial" w:eastAsia="Arial" w:hAnsi="Arial"/>
          <w:sz w:val="16"/>
          <w:szCs w:val="16"/>
          <w:color w:val="auto"/>
        </w:rPr>
      </w:pPr>
    </w:p>
    <w:p>
      <w:pPr>
        <w:ind w:left="4460" w:hanging="106"/>
        <w:spacing w:after="0"/>
        <w:tabs>
          <w:tab w:leader="none" w:pos="4460" w:val="left"/>
        </w:tabs>
        <w:numPr>
          <w:ilvl w:val="3"/>
          <w:numId w:val="12"/>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32" w:name="page33"/>
    <w:bookmarkEnd w:id="32"/>
    <w:p>
      <w:pPr>
        <w:ind w:left="1532" w:hanging="236"/>
        <w:spacing w:after="0"/>
        <w:tabs>
          <w:tab w:leader="none" w:pos="1532"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General.</w:t>
      </w:r>
    </w:p>
    <w:p>
      <w:pPr>
        <w:spacing w:after="0" w:line="225" w:lineRule="exact"/>
        <w:rPr>
          <w:rFonts w:ascii="Arial" w:cs="Arial" w:eastAsia="Arial" w:hAnsi="Arial"/>
          <w:sz w:val="18"/>
          <w:szCs w:val="18"/>
          <w:color w:val="auto"/>
        </w:rPr>
      </w:pPr>
    </w:p>
    <w:p>
      <w:pPr>
        <w:jc w:val="both"/>
        <w:ind w:left="-8" w:firstLine="1952"/>
        <w:spacing w:after="0" w:line="285" w:lineRule="auto"/>
        <w:tabs>
          <w:tab w:leader="none" w:pos="2151" w:val="left"/>
        </w:tabs>
        <w:numPr>
          <w:ilvl w:val="2"/>
          <w:numId w:val="13"/>
        </w:numPr>
        <w:rPr>
          <w:rFonts w:ascii="Arial" w:cs="Arial" w:eastAsia="Arial" w:hAnsi="Arial"/>
          <w:sz w:val="16"/>
          <w:szCs w:val="16"/>
          <w:color w:val="auto"/>
        </w:rPr>
      </w:pPr>
      <w:r>
        <w:rPr>
          <w:rFonts w:ascii="Arial" w:cs="Arial" w:eastAsia="Arial" w:hAnsi="Arial"/>
          <w:sz w:val="16"/>
          <w:szCs w:val="16"/>
          <w:color w:val="auto"/>
        </w:rPr>
        <w:t>Subject to Section 3.03, only such persons who are nominated in accordance with the procedures set forth in this Section 2.09 shall be eligible to be elected at an annual or special meeting of shareholders of the corporation to serve as directors and only such business shall be conducted at a meeting of shareholders as shall have been brought before the meeting in accordance with the procedures set forth in this Section 2.09. Except as otherwise provided by law, the chairman of the meeting shall have the power and duty (A) to determine whether a nomination or any business proposed to be brought before the meeting was made or proposed, as the case may be, in accordance with the procedures set forth in this Section 2.09 and</w:t>
      </w:r>
    </w:p>
    <w:p>
      <w:pPr>
        <w:spacing w:after="0" w:line="1" w:lineRule="exact"/>
        <w:rPr>
          <w:rFonts w:ascii="Arial" w:cs="Arial" w:eastAsia="Arial" w:hAnsi="Arial"/>
          <w:sz w:val="16"/>
          <w:szCs w:val="16"/>
          <w:color w:val="auto"/>
        </w:rPr>
      </w:pPr>
    </w:p>
    <w:p>
      <w:pPr>
        <w:jc w:val="both"/>
        <w:ind w:left="-8" w:firstLine="8"/>
        <w:spacing w:after="0" w:line="268" w:lineRule="auto"/>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any proposed nomination or business was not made or proposed in compliance with this Section 2.09, to declare that such nomination shall be disregarded or that such proposed business shall not be transacted. Notwithstanding the foregoing provisions of this Section 2.09, unless otherwise required by law, if the shareholder (or a qualified representative of the shareholder) does not appear at the annual or special meeting of shareholders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2.09, to be considered a qualified representative of the shareholder, a person must be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meeting of the shareholders.</w:t>
      </w:r>
    </w:p>
    <w:p>
      <w:pPr>
        <w:spacing w:after="0" w:line="183" w:lineRule="exact"/>
        <w:rPr>
          <w:rFonts w:ascii="Arial" w:cs="Arial" w:eastAsia="Arial" w:hAnsi="Arial"/>
          <w:sz w:val="17"/>
          <w:szCs w:val="17"/>
          <w:color w:val="auto"/>
        </w:rPr>
      </w:pPr>
    </w:p>
    <w:p>
      <w:pPr>
        <w:jc w:val="both"/>
        <w:ind w:left="-8" w:firstLine="1952"/>
        <w:spacing w:after="0" w:line="286" w:lineRule="auto"/>
        <w:tabs>
          <w:tab w:leader="none" w:pos="2221" w:val="left"/>
        </w:tabs>
        <w:numPr>
          <w:ilvl w:val="2"/>
          <w:numId w:val="14"/>
        </w:numPr>
        <w:rPr>
          <w:rFonts w:ascii="Arial" w:cs="Arial" w:eastAsia="Arial" w:hAnsi="Arial"/>
          <w:sz w:val="17"/>
          <w:szCs w:val="17"/>
          <w:color w:val="auto"/>
        </w:rPr>
      </w:pPr>
      <w:r>
        <w:rPr>
          <w:rFonts w:ascii="Arial" w:cs="Arial" w:eastAsia="Arial" w:hAnsi="Arial"/>
          <w:sz w:val="17"/>
          <w:szCs w:val="17"/>
          <w:color w:val="auto"/>
        </w:rPr>
        <w:t>For purpose of this Section 2.09, “public announcement”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 and the rules and regulations promulgated thereunder.</w:t>
      </w:r>
    </w:p>
    <w:p>
      <w:pPr>
        <w:spacing w:after="0" w:line="165" w:lineRule="exact"/>
        <w:rPr>
          <w:rFonts w:ascii="Arial" w:cs="Arial" w:eastAsia="Arial" w:hAnsi="Arial"/>
          <w:sz w:val="17"/>
          <w:szCs w:val="17"/>
          <w:color w:val="auto"/>
        </w:rPr>
      </w:pPr>
    </w:p>
    <w:p>
      <w:pPr>
        <w:jc w:val="both"/>
        <w:ind w:left="-8" w:firstLine="1952"/>
        <w:spacing w:after="0" w:line="259" w:lineRule="auto"/>
        <w:tabs>
          <w:tab w:leader="none" w:pos="2264" w:val="left"/>
        </w:tabs>
        <w:numPr>
          <w:ilvl w:val="2"/>
          <w:numId w:val="14"/>
        </w:numPr>
        <w:rPr>
          <w:rFonts w:ascii="Arial" w:cs="Arial" w:eastAsia="Arial" w:hAnsi="Arial"/>
          <w:sz w:val="18"/>
          <w:szCs w:val="18"/>
          <w:color w:val="auto"/>
        </w:rPr>
      </w:pPr>
      <w:r>
        <w:rPr>
          <w:rFonts w:ascii="Arial" w:cs="Arial" w:eastAsia="Arial" w:hAnsi="Arial"/>
          <w:sz w:val="18"/>
          <w:szCs w:val="18"/>
          <w:color w:val="auto"/>
        </w:rPr>
        <w:t>Nothing in this Section 2.09, shall be deemed to affect any rights (A) of shareholders to request inclusion of proposals or nominations in the corporation’s proxy statement pursuant to Rule 14a-8 (or any successor thereto) promulgated under the Exchange Act or (B) of the holders of any series of Preferred Stock to nominate and elect directors pursuant to and to the extent provided in any applicable provisions of the articles of incorporation.</w:t>
      </w:r>
    </w:p>
    <w:p>
      <w:pPr>
        <w:spacing w:after="0" w:line="186" w:lineRule="exact"/>
        <w:rPr>
          <w:rFonts w:ascii="Arial" w:cs="Arial" w:eastAsia="Arial" w:hAnsi="Arial"/>
          <w:sz w:val="18"/>
          <w:szCs w:val="18"/>
          <w:color w:val="auto"/>
        </w:rPr>
      </w:pPr>
    </w:p>
    <w:p>
      <w:pPr>
        <w:ind w:left="5572" w:hanging="106"/>
        <w:spacing w:after="0"/>
        <w:tabs>
          <w:tab w:leader="none" w:pos="5572" w:val="left"/>
        </w:tabs>
        <w:numPr>
          <w:ilvl w:val="3"/>
          <w:numId w:val="14"/>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33" w:name="page34"/>
    <w:bookmarkEnd w:id="33"/>
    <w:p>
      <w:pPr>
        <w:jc w:val="both"/>
        <w:ind w:firstLine="1304"/>
        <w:spacing w:after="0" w:line="286" w:lineRule="auto"/>
        <w:tabs>
          <w:tab w:leader="none" w:pos="1551"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Submission of Questionnaire, Representation and Agreement</w:t>
      </w:r>
      <w:r>
        <w:rPr>
          <w:rFonts w:ascii="Arial" w:cs="Arial" w:eastAsia="Arial" w:hAnsi="Arial"/>
          <w:sz w:val="16"/>
          <w:szCs w:val="16"/>
          <w:color w:val="auto"/>
        </w:rPr>
        <w:t>. To be eligible to be a nominee for election or reelection as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corporation, a person must deliver (in accordance with the time periods prescribed for delivery of notice under Section 2.09 of these bylaws)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trading policies and guidelines of the corporation.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i w:val="1"/>
          <w:iCs w:val="1"/>
          <w:color w:val="auto"/>
        </w:rPr>
        <w:t>Powers</w:t>
      </w:r>
      <w:r>
        <w:rPr>
          <w:rFonts w:ascii="Arial" w:cs="Arial" w:eastAsia="Arial" w:hAnsi="Arial"/>
          <w:sz w:val="18"/>
          <w:szCs w:val="18"/>
          <w:color w:val="auto"/>
        </w:rPr>
        <w:t>. The powers of the corporation shall be exercised by or under the authority of, and the business and affairs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be managed under the direction of, the board of directors.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b w:val="1"/>
          <w:bCs w:val="1"/>
          <w:i w:val="1"/>
          <w:iCs w:val="1"/>
          <w:color w:val="auto"/>
        </w:rPr>
        <w:t>Number, Election and Term</w:t>
      </w:r>
      <w:r>
        <w:rPr>
          <w:rFonts w:ascii="Arial" w:cs="Arial" w:eastAsia="Arial" w:hAnsi="Arial"/>
          <w:sz w:val="18"/>
          <w:szCs w:val="18"/>
          <w:color w:val="auto"/>
        </w:rPr>
        <w:t>. The number of directors that shall constitute the whole board of directors shall be not less than one.</w:t>
      </w:r>
      <w:r>
        <w:rPr>
          <w:rFonts w:ascii="Arial" w:cs="Arial" w:eastAsia="Arial" w:hAnsi="Arial"/>
          <w:sz w:val="18"/>
          <w:szCs w:val="18"/>
          <w:b w:val="1"/>
          <w:bCs w:val="1"/>
          <w:color w:val="auto"/>
        </w:rPr>
        <w:t xml:space="preserve"> </w:t>
      </w:r>
      <w:r>
        <w:rPr>
          <w:rFonts w:ascii="Arial" w:cs="Arial" w:eastAsia="Arial" w:hAnsi="Arial"/>
          <w:sz w:val="18"/>
          <w:szCs w:val="18"/>
          <w:color w:val="auto"/>
        </w:rPr>
        <w:t>Such number of directors shall from time to time be fixed and determined by the directors and shall be set forth in the notice of any meeting of shareholders held for the purpose of electing directors. The directors shall be elected at the annual meeting of shareholders, except as provided in Section 3.03 of these bylaws, and each director elected shall hold office until his successor shall be elected and qualify. Directors need not be residents of Texas or shareholders of the corporation.</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3.03 </w:t>
      </w:r>
      <w:r>
        <w:rPr>
          <w:rFonts w:ascii="Arial" w:cs="Arial" w:eastAsia="Arial" w:hAnsi="Arial"/>
          <w:sz w:val="18"/>
          <w:szCs w:val="18"/>
          <w:b w:val="1"/>
          <w:bCs w:val="1"/>
          <w:i w:val="1"/>
          <w:iCs w:val="1"/>
          <w:color w:val="auto"/>
        </w:rPr>
        <w:t>Vacancies</w:t>
      </w:r>
      <w:r>
        <w:rPr>
          <w:rFonts w:ascii="Arial" w:cs="Arial" w:eastAsia="Arial" w:hAnsi="Arial"/>
          <w:sz w:val="18"/>
          <w:szCs w:val="18"/>
          <w:color w:val="auto"/>
        </w:rPr>
        <w:t>. Any vacancy occurring in the board of directors may be filled by election at an annual meeting or special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called for that purpose or by a majority of the remaining directors though less than a quorum of the board of directors. A director elected to fill a vacancy shall be elected for the unexpired term of his predecessor in office.</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3.04 </w:t>
      </w:r>
      <w:r>
        <w:rPr>
          <w:rFonts w:ascii="Arial" w:cs="Arial" w:eastAsia="Arial" w:hAnsi="Arial"/>
          <w:sz w:val="18"/>
          <w:szCs w:val="18"/>
          <w:b w:val="1"/>
          <w:bCs w:val="1"/>
          <w:i w:val="1"/>
          <w:iCs w:val="1"/>
          <w:color w:val="auto"/>
        </w:rPr>
        <w:t>Change in Number</w:t>
      </w:r>
      <w:r>
        <w:rPr>
          <w:rFonts w:ascii="Arial" w:cs="Arial" w:eastAsia="Arial" w:hAnsi="Arial"/>
          <w:sz w:val="18"/>
          <w:szCs w:val="18"/>
          <w:color w:val="auto"/>
        </w:rPr>
        <w:t>. The number of directors may be increased or decreased from time to time as provided in these bylaws but no</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shall have the effect of shortening the term of any incumbent director. Any directorship to be filled by reason of an increase in the number of directors may be filled by election at an annual or special meeting of shareholders or may be filled by the board of directors for a term of office continuing only until the next election of one or more directors by the shareholders; provided that the board of directors may not fill more than two such directorships during the period between any two successive annual meetings of shareholders.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3.05 </w:t>
      </w:r>
      <w:r>
        <w:rPr>
          <w:rFonts w:ascii="Arial" w:cs="Arial" w:eastAsia="Arial" w:hAnsi="Arial"/>
          <w:sz w:val="18"/>
          <w:szCs w:val="18"/>
          <w:b w:val="1"/>
          <w:bCs w:val="1"/>
          <w:i w:val="1"/>
          <w:iCs w:val="1"/>
          <w:color w:val="auto"/>
        </w:rPr>
        <w:t>Removal</w:t>
      </w:r>
      <w:r>
        <w:rPr>
          <w:rFonts w:ascii="Arial" w:cs="Arial" w:eastAsia="Arial" w:hAnsi="Arial"/>
          <w:sz w:val="18"/>
          <w:szCs w:val="18"/>
          <w:color w:val="auto"/>
        </w:rPr>
        <w:t>. Any director may be removed either for or without cause at any special meeting of shareholders duly called and held for</w:t>
      </w:r>
      <w:r>
        <w:rPr>
          <w:rFonts w:ascii="Arial" w:cs="Arial" w:eastAsia="Arial" w:hAnsi="Arial"/>
          <w:sz w:val="18"/>
          <w:szCs w:val="18"/>
          <w:b w:val="1"/>
          <w:bCs w:val="1"/>
          <w:color w:val="auto"/>
        </w:rPr>
        <w:t xml:space="preserve"> </w:t>
      </w:r>
      <w:r>
        <w:rPr>
          <w:rFonts w:ascii="Arial" w:cs="Arial" w:eastAsia="Arial" w:hAnsi="Arial"/>
          <w:sz w:val="18"/>
          <w:szCs w:val="18"/>
          <w:color w:val="auto"/>
        </w:rPr>
        <w:t>such purpose.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left="660"/>
        <w:spacing w:after="0"/>
        <w:tabs>
          <w:tab w:leader="none" w:pos="1740" w:val="left"/>
        </w:tabs>
        <w:rPr>
          <w:sz w:val="20"/>
          <w:szCs w:val="20"/>
          <w:color w:val="auto"/>
        </w:rPr>
      </w:pPr>
      <w:r>
        <w:rPr>
          <w:rFonts w:ascii="Arial" w:cs="Arial" w:eastAsia="Arial" w:hAnsi="Arial"/>
          <w:sz w:val="18"/>
          <w:szCs w:val="18"/>
          <w:b w:val="1"/>
          <w:bCs w:val="1"/>
          <w:color w:val="auto"/>
        </w:rPr>
        <w:t>Section 3.06</w:t>
      </w:r>
      <w:r>
        <w:rPr>
          <w:sz w:val="20"/>
          <w:szCs w:val="20"/>
          <w:color w:val="auto"/>
        </w:rPr>
        <w:tab/>
      </w:r>
      <w:r>
        <w:rPr>
          <w:rFonts w:ascii="Arial" w:cs="Arial" w:eastAsia="Arial" w:hAnsi="Arial"/>
          <w:sz w:val="16"/>
          <w:szCs w:val="16"/>
          <w:b w:val="1"/>
          <w:bCs w:val="1"/>
          <w:i w:val="1"/>
          <w:iCs w:val="1"/>
          <w:color w:val="auto"/>
        </w:rPr>
        <w:t>Place of Meetings</w:t>
      </w:r>
      <w:r>
        <w:rPr>
          <w:rFonts w:ascii="Arial" w:cs="Arial" w:eastAsia="Arial" w:hAnsi="Arial"/>
          <w:sz w:val="16"/>
          <w:szCs w:val="16"/>
          <w:color w:val="auto"/>
        </w:rPr>
        <w:t>. Meetings of the board of directors, regular or special, may be held either within or without the State of Texas.</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3.07 </w:t>
      </w:r>
      <w:r>
        <w:rPr>
          <w:rFonts w:ascii="Arial" w:cs="Arial" w:eastAsia="Arial" w:hAnsi="Arial"/>
          <w:sz w:val="18"/>
          <w:szCs w:val="18"/>
          <w:b w:val="1"/>
          <w:bCs w:val="1"/>
          <w:i w:val="1"/>
          <w:iCs w:val="1"/>
          <w:color w:val="auto"/>
        </w:rPr>
        <w:t>Regular Meetings</w:t>
      </w:r>
      <w:r>
        <w:rPr>
          <w:rFonts w:ascii="Arial" w:cs="Arial" w:eastAsia="Arial" w:hAnsi="Arial"/>
          <w:sz w:val="18"/>
          <w:szCs w:val="18"/>
          <w:color w:val="auto"/>
        </w:rPr>
        <w:t>. The first meeting of each newly elected board of directors shall be held at such time and place as shall be fixed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vote of the shareholders at the annual meeting and no notice of such meeting shall be necessary to the newly elected directors in order legally to constitute the meeting, provided a quorum shall be present. In the event that the shareholders fail to fix the time and place of such first meeting, it shall be held without notice immediately following the annual meeting of shareholders, and at the same place, unless by the unanimous consent of the directors then elected and serving such time or place shall be changed.</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3.08 </w:t>
      </w:r>
      <w:r>
        <w:rPr>
          <w:rFonts w:ascii="Arial" w:cs="Arial" w:eastAsia="Arial" w:hAnsi="Arial"/>
          <w:sz w:val="18"/>
          <w:szCs w:val="18"/>
          <w:b w:val="1"/>
          <w:bCs w:val="1"/>
          <w:i w:val="1"/>
          <w:iCs w:val="1"/>
          <w:color w:val="auto"/>
        </w:rPr>
        <w:t>Notice of Regular Meetings</w:t>
      </w:r>
      <w:r>
        <w:rPr>
          <w:rFonts w:ascii="Arial" w:cs="Arial" w:eastAsia="Arial" w:hAnsi="Arial"/>
          <w:sz w:val="18"/>
          <w:szCs w:val="18"/>
          <w:color w:val="auto"/>
        </w:rPr>
        <w:t>. Regular meetings of the board of directors may be held upon such notice, or without notice, and at</w:t>
      </w:r>
      <w:r>
        <w:rPr>
          <w:rFonts w:ascii="Arial" w:cs="Arial" w:eastAsia="Arial" w:hAnsi="Arial"/>
          <w:sz w:val="18"/>
          <w:szCs w:val="18"/>
          <w:b w:val="1"/>
          <w:bCs w:val="1"/>
          <w:color w:val="auto"/>
        </w:rPr>
        <w:t xml:space="preserve"> </w:t>
      </w:r>
      <w:r>
        <w:rPr>
          <w:rFonts w:ascii="Arial" w:cs="Arial" w:eastAsia="Arial" w:hAnsi="Arial"/>
          <w:sz w:val="18"/>
          <w:szCs w:val="18"/>
          <w:color w:val="auto"/>
        </w:rPr>
        <w:t>such time and at such place as shall from time to time be determined by the board.</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Section 3.09 </w:t>
      </w:r>
      <w:r>
        <w:rPr>
          <w:rFonts w:ascii="Arial" w:cs="Arial" w:eastAsia="Arial" w:hAnsi="Arial"/>
          <w:sz w:val="18"/>
          <w:szCs w:val="18"/>
          <w:b w:val="1"/>
          <w:bCs w:val="1"/>
          <w:i w:val="1"/>
          <w:iCs w:val="1"/>
          <w:color w:val="auto"/>
        </w:rPr>
        <w:t>Special Meetings</w:t>
      </w:r>
      <w:r>
        <w:rPr>
          <w:rFonts w:ascii="Arial" w:cs="Arial" w:eastAsia="Arial" w:hAnsi="Arial"/>
          <w:sz w:val="18"/>
          <w:szCs w:val="18"/>
          <w:color w:val="auto"/>
        </w:rPr>
        <w:t>. Special meetings of the board of directors may be called by the chairman of the board of directors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shall be called by the secretary on the written request of two directors. Notice of each special meeting of the board of directors shall be given to each director at least two days before the date of the meeting.</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3.10 </w:t>
      </w:r>
      <w:r>
        <w:rPr>
          <w:rFonts w:ascii="Arial" w:cs="Arial" w:eastAsia="Arial" w:hAnsi="Arial"/>
          <w:sz w:val="16"/>
          <w:szCs w:val="16"/>
          <w:b w:val="1"/>
          <w:bCs w:val="1"/>
          <w:i w:val="1"/>
          <w:iCs w:val="1"/>
          <w:color w:val="auto"/>
        </w:rPr>
        <w:t>Waiver and Requirements of Notice</w:t>
      </w:r>
      <w:r>
        <w:rPr>
          <w:rFonts w:ascii="Arial" w:cs="Arial" w:eastAsia="Arial" w:hAnsi="Arial"/>
          <w:sz w:val="16"/>
          <w:szCs w:val="16"/>
          <w:color w:val="auto"/>
        </w:rPr>
        <w:t>. Attendance of a director at any meeting shall constitute a waiver of notice of such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except where a director attends for the express purpose of objecting to the transaction of any business on the ground that the meeting is not lawfully called or convened. Except as may be otherwise provided by law or by the articles of incorporation or by these bylaws, neither the business to be transacted at, nor the purpose of, any regular or special meeting of the board of directors need be specified in the notice or waiver of notice of such meeting.</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b w:val="1"/>
          <w:bCs w:val="1"/>
          <w:i w:val="1"/>
          <w:iCs w:val="1"/>
          <w:color w:val="auto"/>
        </w:rPr>
        <w:t>Quorum; Vote Required</w:t>
      </w:r>
      <w:r>
        <w:rPr>
          <w:rFonts w:ascii="Arial" w:cs="Arial" w:eastAsia="Arial" w:hAnsi="Arial"/>
          <w:sz w:val="18"/>
          <w:szCs w:val="18"/>
          <w:color w:val="auto"/>
        </w:rPr>
        <w:t>. At all meetings of the board of directors a majority of the directors shall constitute a quorum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of business and the act of a majority of the directors present at any meeting at which there is a quorum shall be the act of the board of directors, unless otherwise specifically provided by law, the articles of incorporation or these bylaws. If a quorum shall not be present at any meeting of directors, the directors present thereat may adjourn the meeting from time to time, without notice other than announcement at the meeting, until a quorum shall be present.</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3.12 </w:t>
      </w:r>
      <w:r>
        <w:rPr>
          <w:rFonts w:ascii="Arial" w:cs="Arial" w:eastAsia="Arial" w:hAnsi="Arial"/>
          <w:sz w:val="17"/>
          <w:szCs w:val="17"/>
          <w:b w:val="1"/>
          <w:bCs w:val="1"/>
          <w:i w:val="1"/>
          <w:iCs w:val="1"/>
          <w:color w:val="auto"/>
        </w:rPr>
        <w:t>Committees</w:t>
      </w:r>
      <w:r>
        <w:rPr>
          <w:rFonts w:ascii="Arial" w:cs="Arial" w:eastAsia="Arial" w:hAnsi="Arial"/>
          <w:sz w:val="17"/>
          <w:szCs w:val="17"/>
          <w:color w:val="auto"/>
        </w:rPr>
        <w:t>. The board of directors, by resolution passed by a majority of the full board, may from time to time designate a</w:t>
      </w:r>
      <w:r>
        <w:rPr>
          <w:rFonts w:ascii="Arial" w:cs="Arial" w:eastAsia="Arial" w:hAnsi="Arial"/>
          <w:sz w:val="17"/>
          <w:szCs w:val="17"/>
          <w:b w:val="1"/>
          <w:bCs w:val="1"/>
          <w:color w:val="auto"/>
        </w:rPr>
        <w:t xml:space="preserve"> </w:t>
      </w:r>
      <w:r>
        <w:rPr>
          <w:rFonts w:ascii="Arial" w:cs="Arial" w:eastAsia="Arial" w:hAnsi="Arial"/>
          <w:sz w:val="17"/>
          <w:szCs w:val="17"/>
          <w:color w:val="auto"/>
        </w:rPr>
        <w:t>member or members of the board to constitute committees that shall in each case consist of one or more directors and may designate one or more of its members as alternate members of any committee, who may, subject to any limitations imposed by the board of directors, replace absent or disqualified members at any meeting of that committee. Any such committee shall have and may exercise such powers, as the board may determine and specify in the respective resolutions appointing them. A majority of all the members of any such committee may determine its action and fix the time and place of its meetings, unless the board of directors shall otherwise provide. The board of directors shall have power at any time to change the number, subject as aforesaid, and members of any such committee, to fill vacancies and to discharge any such committee.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b w:val="1"/>
          <w:bCs w:val="1"/>
          <w:i w:val="1"/>
          <w:iCs w:val="1"/>
          <w:color w:val="auto"/>
        </w:rPr>
        <w:t>Action Without Meeting</w:t>
      </w:r>
      <w:r>
        <w:rPr>
          <w:rFonts w:ascii="Arial" w:cs="Arial" w:eastAsia="Arial" w:hAnsi="Arial"/>
          <w:sz w:val="18"/>
          <w:szCs w:val="18"/>
          <w:color w:val="auto"/>
        </w:rPr>
        <w:t>. Any action required or permitted to be taken at a meeting of the board of directors or any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be taken without a meeting if a consent in writing, setting forth the action so taken, is signed by all the members of the board of directors or committee, as the case may be.</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3.14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By resolution of the board of directors, the directors may be paid their expenses, if any, of attendance at each</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the board of directors, or a meeting of a committee thereof, and may be paid a fixed sum for attendance at each meeting of the board of directors, or a meeting of a committee thereof, or a stated salary as director. No such payment shall preclude any director from serving the corporation in any other capacity and receiving compensation therefor.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i w:val="1"/>
          <w:iCs w:val="1"/>
          <w:color w:val="auto"/>
        </w:rPr>
        <w:t>Form of Notice; Delivery</w:t>
      </w:r>
      <w:r>
        <w:rPr>
          <w:rFonts w:ascii="Arial" w:cs="Arial" w:eastAsia="Arial" w:hAnsi="Arial"/>
          <w:sz w:val="18"/>
          <w:szCs w:val="18"/>
          <w:color w:val="auto"/>
        </w:rPr>
        <w:t>. Any notice to directors or shareholders shall be in writing and shall be delivered personally or mailed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or shareholders at their respective addresses appearing on the books of the corporation. Notice by mail shall be deemed to be given at the time when the same shall be deposited in the United States mail, postage prepaid. Notice to directors may also be given by telegram, telex, cablegram, facsimile or other similar transmission.</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Whenever any notice is required to be given under the provisions of the statutes or of the articles of incorporation or of</w:t>
      </w:r>
      <w:r>
        <w:rPr>
          <w:rFonts w:ascii="Arial" w:cs="Arial" w:eastAsia="Arial" w:hAnsi="Arial"/>
          <w:sz w:val="18"/>
          <w:szCs w:val="18"/>
          <w:b w:val="1"/>
          <w:bCs w:val="1"/>
          <w:color w:val="auto"/>
        </w:rPr>
        <w:t xml:space="preserve"> </w:t>
      </w:r>
      <w:r>
        <w:rPr>
          <w:rFonts w:ascii="Arial" w:cs="Arial" w:eastAsia="Arial" w:hAnsi="Arial"/>
          <w:sz w:val="18"/>
          <w:szCs w:val="18"/>
          <w:color w:val="auto"/>
        </w:rPr>
        <w:t>these bylaws, a waiver thereof in writing signed by the person or persons entitled to such notice, whether before or after the time stated therein, shall be deemed equivalent to the giving of such notice.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5.01 </w:t>
      </w:r>
      <w:r>
        <w:rPr>
          <w:rFonts w:ascii="Arial" w:cs="Arial" w:eastAsia="Arial" w:hAnsi="Arial"/>
          <w:sz w:val="18"/>
          <w:szCs w:val="18"/>
          <w:b w:val="1"/>
          <w:bCs w:val="1"/>
          <w:i w:val="1"/>
          <w:iCs w:val="1"/>
          <w:color w:val="auto"/>
        </w:rPr>
        <w:t>Officers</w:t>
      </w:r>
      <w:r>
        <w:rPr>
          <w:rFonts w:ascii="Arial" w:cs="Arial" w:eastAsia="Arial" w:hAnsi="Arial"/>
          <w:sz w:val="18"/>
          <w:szCs w:val="18"/>
          <w:color w:val="auto"/>
        </w:rPr>
        <w:t>. The officers of the corporation shall be elected be the board of directors and shall consist of a president and a 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of whom need be a member of the board of directors. Two or more offices may be held by the same person.</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5.02 </w:t>
      </w:r>
      <w:r>
        <w:rPr>
          <w:rFonts w:ascii="Arial" w:cs="Arial" w:eastAsia="Arial" w:hAnsi="Arial"/>
          <w:sz w:val="17"/>
          <w:szCs w:val="17"/>
          <w:b w:val="1"/>
          <w:bCs w:val="1"/>
          <w:i w:val="1"/>
          <w:iCs w:val="1"/>
          <w:color w:val="auto"/>
        </w:rPr>
        <w:t>Additional Officers</w:t>
      </w:r>
      <w:r>
        <w:rPr>
          <w:rFonts w:ascii="Arial" w:cs="Arial" w:eastAsia="Arial" w:hAnsi="Arial"/>
          <w:sz w:val="17"/>
          <w:szCs w:val="17"/>
          <w:color w:val="auto"/>
        </w:rPr>
        <w:t>. The board of directors may also elect a chairman of the board, a vice chairman of the board, an assistant</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a treasurer, and one or more vice presidents, assistant secretaries and assistant treasurers. The board of directors may appoint such other officers and assistant officers and agents as it shall deem necessary, who shall hold their offices for such terms and shall have such authority and exercise such powers and perform such duties as shall be determined from time to time by the board by resolution not inconsistent with these bylaws.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5.03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The salaries of all officers and agents of the corporation shall be fixed by the board of directors or at its direction.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shall have the power to enter into contracts for the employment and compensation of officers for such terms as the board deems advisable.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5.04 </w:t>
      </w:r>
      <w:r>
        <w:rPr>
          <w:rFonts w:ascii="Arial" w:cs="Arial" w:eastAsia="Arial" w:hAnsi="Arial"/>
          <w:sz w:val="18"/>
          <w:szCs w:val="18"/>
          <w:b w:val="1"/>
          <w:bCs w:val="1"/>
          <w:i w:val="1"/>
          <w:iCs w:val="1"/>
          <w:color w:val="auto"/>
        </w:rPr>
        <w:t>Term; Removal; Vacancies</w:t>
      </w:r>
      <w:r>
        <w:rPr>
          <w:rFonts w:ascii="Arial" w:cs="Arial" w:eastAsia="Arial" w:hAnsi="Arial"/>
          <w:sz w:val="18"/>
          <w:szCs w:val="18"/>
          <w:color w:val="auto"/>
        </w:rPr>
        <w:t>. The officers of the corporation shall hold office until their successors are elected or appointed and</w:t>
      </w:r>
      <w:r>
        <w:rPr>
          <w:rFonts w:ascii="Arial" w:cs="Arial" w:eastAsia="Arial" w:hAnsi="Arial"/>
          <w:sz w:val="18"/>
          <w:szCs w:val="18"/>
          <w:b w:val="1"/>
          <w:bCs w:val="1"/>
          <w:color w:val="auto"/>
        </w:rPr>
        <w:t xml:space="preserve"> </w:t>
      </w:r>
      <w:r>
        <w:rPr>
          <w:rFonts w:ascii="Arial" w:cs="Arial" w:eastAsia="Arial" w:hAnsi="Arial"/>
          <w:sz w:val="18"/>
          <w:szCs w:val="18"/>
          <w:color w:val="auto"/>
        </w:rPr>
        <w:t>qualify, or until their death or until their resignation or removal from office. Any officer elected or appointed by the board of directors may be removed at any time by the board, but such removal shall be without prejudice to the contract rights, if any, of the person so removed. Election or appointment of an officer or agent shall not of itself create contract rights. Any vacancy occurring in any office of the corporation by death, resignation, removal or otherwise shall be filled by the board of directors.</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5.05 </w:t>
      </w:r>
      <w:r>
        <w:rPr>
          <w:rFonts w:ascii="Arial" w:cs="Arial" w:eastAsia="Arial" w:hAnsi="Arial"/>
          <w:sz w:val="18"/>
          <w:szCs w:val="18"/>
          <w:b w:val="1"/>
          <w:bCs w:val="1"/>
          <w:i w:val="1"/>
          <w:iCs w:val="1"/>
          <w:color w:val="auto"/>
        </w:rPr>
        <w:t>Chairman of the Board</w:t>
      </w:r>
      <w:r>
        <w:rPr>
          <w:rFonts w:ascii="Arial" w:cs="Arial" w:eastAsia="Arial" w:hAnsi="Arial"/>
          <w:sz w:val="18"/>
          <w:szCs w:val="18"/>
          <w:color w:val="auto"/>
        </w:rPr>
        <w:t>. The chairman of the board, if one is elected, may preside, or may direct that the president to preside, at all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shareholders and at all meetings of the directors. In the absence of the chairman of the board, or if no chairman of the board is elected, the president shall so preside. If the board of directors shall elect a person to be the chairman of the board and shall designate such person the chief executive officer of the corporation, the chairman of the board shall supervise and direct the operations of the business of the corporation in accordance with the policies determined by the board of directors.</w:t>
      </w:r>
    </w:p>
    <w:p>
      <w:pPr>
        <w:spacing w:after="0" w:line="18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5.06 </w:t>
      </w:r>
      <w:r>
        <w:rPr>
          <w:rFonts w:ascii="Arial" w:cs="Arial" w:eastAsia="Arial" w:hAnsi="Arial"/>
          <w:sz w:val="16"/>
          <w:szCs w:val="16"/>
          <w:b w:val="1"/>
          <w:bCs w:val="1"/>
          <w:i w:val="1"/>
          <w:iCs w:val="1"/>
          <w:color w:val="auto"/>
        </w:rPr>
        <w:t>Vice Chairman of the Board</w:t>
      </w:r>
      <w:r>
        <w:rPr>
          <w:rFonts w:ascii="Arial" w:cs="Arial" w:eastAsia="Arial" w:hAnsi="Arial"/>
          <w:sz w:val="16"/>
          <w:szCs w:val="16"/>
          <w:color w:val="auto"/>
        </w:rPr>
        <w:t>. The vice chairman of the board, if one is elected, shall, in the absence or disability of the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perform the duties and have the authority and exercise the powers of the chairman of the board. He shall perform such other duties and have such other authority and powers as the board of directors may from time to time prescribe or as the chairman of the board may from time to time delegate.</w:t>
      </w:r>
    </w:p>
    <w:p>
      <w:pPr>
        <w:spacing w:after="0" w:line="14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5.07 </w:t>
      </w:r>
      <w:r>
        <w:rPr>
          <w:rFonts w:ascii="Arial" w:cs="Arial" w:eastAsia="Arial" w:hAnsi="Arial"/>
          <w:sz w:val="16"/>
          <w:szCs w:val="16"/>
          <w:b w:val="1"/>
          <w:bCs w:val="1"/>
          <w:i w:val="1"/>
          <w:iCs w:val="1"/>
          <w:color w:val="auto"/>
        </w:rPr>
        <w:t>President</w:t>
      </w:r>
      <w:r>
        <w:rPr>
          <w:rFonts w:ascii="Arial" w:cs="Arial" w:eastAsia="Arial" w:hAnsi="Arial"/>
          <w:sz w:val="16"/>
          <w:szCs w:val="16"/>
          <w:color w:val="auto"/>
        </w:rPr>
        <w:t>. Unless the board of directors shall have elected a chairman of the board of directors and designated such person the</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of the corporation, the president shall be the chief executive officer of the corporation, supervising and directing the operations of the business of the corporation in accordance with the policies determined by the board of directors. If the board of directors shall have elected a person as chairman of the board and designated such person as a chief executive officer of the corporation, the president shall be responsible for the general supervision and control of the business and the affairs of the corporation subject to the directions of the chairman of the board and the board of directors. If the board of directors shall have elected a person chairman of the board and shall designate such person the chief executive officer of the corporation, the president, in the absence or incapacity of such chairman of the board, shall perform the duties of that office.</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5.08 </w:t>
      </w:r>
      <w:r>
        <w:rPr>
          <w:rFonts w:ascii="Arial" w:cs="Arial" w:eastAsia="Arial" w:hAnsi="Arial"/>
          <w:sz w:val="18"/>
          <w:szCs w:val="18"/>
          <w:b w:val="1"/>
          <w:bCs w:val="1"/>
          <w:i w:val="1"/>
          <w:iCs w:val="1"/>
          <w:color w:val="auto"/>
        </w:rPr>
        <w:t>Vice Presidents</w:t>
      </w:r>
      <w:r>
        <w:rPr>
          <w:rFonts w:ascii="Arial" w:cs="Arial" w:eastAsia="Arial" w:hAnsi="Arial"/>
          <w:sz w:val="18"/>
          <w:szCs w:val="18"/>
          <w:color w:val="auto"/>
        </w:rPr>
        <w:t>. The vice presidents in the order of their seniority, unless otherwise determined by the board of directors, shall,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absence or disability of the president, perform the duties and have the authority and exercise the powers of the president. They shall perform such other duties and have such other authority and powers as the board of directors may from time to time prescribe or as the president may from time to time delegate.</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5.09 </w:t>
      </w:r>
      <w:r>
        <w:rPr>
          <w:rFonts w:ascii="Arial" w:cs="Arial" w:eastAsia="Arial" w:hAnsi="Arial"/>
          <w:sz w:val="16"/>
          <w:szCs w:val="16"/>
          <w:b w:val="1"/>
          <w:bCs w:val="1"/>
          <w:i w:val="1"/>
          <w:iCs w:val="1"/>
          <w:color w:val="auto"/>
        </w:rPr>
        <w:t>Secretary</w:t>
      </w:r>
      <w:r>
        <w:rPr>
          <w:rFonts w:ascii="Arial" w:cs="Arial" w:eastAsia="Arial" w:hAnsi="Arial"/>
          <w:sz w:val="16"/>
          <w:szCs w:val="16"/>
          <w:color w:val="auto"/>
        </w:rPr>
        <w:t>. The secretary shall attend all meetings of the board of directors and all meetings of shareholders and record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proceedings of the meetings of the board of directors and of the shareholders in a minute book to be kept for that purpose and shall perform like duties for the standing committees when required. He shall give, or cause to be given, notice of all meetings of the shareholders and special meetings of the board of directors, and shall perform such other duties as may be prescribed by the board of directors or president, under whose supervision he shall be. He shall keep in safe custody the seal of the corporation and, when authorized by the board of directors, shall affix the same to any instrument requiring it and, when so affixed, it shall be attested by his signature or by the signature of an assistant secretary or of the treasurer. The secretary shall perform such other duties and have such other powers as the board of directors may from time to time prescribe or as the president may from time to time delegate.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5.10 </w:t>
      </w:r>
      <w:r>
        <w:rPr>
          <w:rFonts w:ascii="Arial" w:cs="Arial" w:eastAsia="Arial" w:hAnsi="Arial"/>
          <w:sz w:val="16"/>
          <w:szCs w:val="16"/>
          <w:b w:val="1"/>
          <w:bCs w:val="1"/>
          <w:i w:val="1"/>
          <w:iCs w:val="1"/>
          <w:color w:val="auto"/>
        </w:rPr>
        <w:t>Assistant Secretaries</w:t>
      </w:r>
      <w:r>
        <w:rPr>
          <w:rFonts w:ascii="Arial" w:cs="Arial" w:eastAsia="Arial" w:hAnsi="Arial"/>
          <w:sz w:val="16"/>
          <w:szCs w:val="16"/>
          <w:color w:val="auto"/>
        </w:rPr>
        <w:t>. The assistant secretaries in the order of their seniority, unless otherwise determined by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shall, in the absence or disability of the secretary, perform the duties and exercise the powers of the secretary. They shall perform such other duties and have such other powers as the board of directors may from time to time prescribe or as the president may from time to time delegate.</w:t>
      </w:r>
    </w:p>
    <w:p>
      <w:pPr>
        <w:spacing w:after="0" w:line="14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5.11 </w:t>
      </w:r>
      <w:r>
        <w:rPr>
          <w:rFonts w:ascii="Arial" w:cs="Arial" w:eastAsia="Arial" w:hAnsi="Arial"/>
          <w:sz w:val="17"/>
          <w:szCs w:val="17"/>
          <w:b w:val="1"/>
          <w:bCs w:val="1"/>
          <w:i w:val="1"/>
          <w:iCs w:val="1"/>
          <w:color w:val="auto"/>
        </w:rPr>
        <w:t>Treasurer</w:t>
      </w:r>
      <w:r>
        <w:rPr>
          <w:rFonts w:ascii="Arial" w:cs="Arial" w:eastAsia="Arial" w:hAnsi="Arial"/>
          <w:sz w:val="17"/>
          <w:szCs w:val="17"/>
          <w:color w:val="auto"/>
        </w:rPr>
        <w:t>. The treasurer, if one is elected, shall have custody of the corporate funds and securities and shall keep full and accurate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and records of receipts, disbursements and other transactions in books belonging to the corporation, and shall deposit all moneys and other valuable effects in the name and to the credit of the corporation in such depositories as may be designated from time to time by the board of directors. The treasurer shall disburse the funds of the corporation as may be ordered by the board of directors, taking proper vouchers for such disbursements, and shall render the president and the board of directors, when so directed, an account of all his transactions as treasurer and of the financial condition of the corporation. The treasurer shall perform such other duties and have such other powers as the board of directors may from time to time prescribe or as the president may from time to time delegate. If required by the board of directors, the treasurer shall give the corporation a bond of such type, character and amount as the board of directors may require.</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5.12 </w:t>
      </w:r>
      <w:r>
        <w:rPr>
          <w:rFonts w:ascii="Arial" w:cs="Arial" w:eastAsia="Arial" w:hAnsi="Arial"/>
          <w:sz w:val="17"/>
          <w:szCs w:val="17"/>
          <w:b w:val="1"/>
          <w:bCs w:val="1"/>
          <w:i w:val="1"/>
          <w:iCs w:val="1"/>
          <w:color w:val="auto"/>
        </w:rPr>
        <w:t>Assistant Treasurers</w:t>
      </w:r>
      <w:r>
        <w:rPr>
          <w:rFonts w:ascii="Arial" w:cs="Arial" w:eastAsia="Arial" w:hAnsi="Arial"/>
          <w:sz w:val="17"/>
          <w:szCs w:val="17"/>
          <w:color w:val="auto"/>
        </w:rPr>
        <w:t>. The assistant treasurers in the order of their seniority, unless otherwise determined by the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shall, in the absence or disability of the treasurer, perform the duties and exercise the powers of the treasurer. They shall perform such other duties and have such other powers as the board of directors may from time to time prescribe or the president may from time to time delegate.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CERTIFICATES REPRESENTING SHARES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Section 6.01 </w:t>
      </w:r>
      <w:r>
        <w:rPr>
          <w:rFonts w:ascii="Arial" w:cs="Arial" w:eastAsia="Arial" w:hAnsi="Arial"/>
          <w:sz w:val="17"/>
          <w:szCs w:val="17"/>
          <w:b w:val="1"/>
          <w:bCs w:val="1"/>
          <w:i w:val="1"/>
          <w:iCs w:val="1"/>
          <w:color w:val="auto"/>
        </w:rPr>
        <w:t>Certificates</w:t>
      </w:r>
      <w:r>
        <w:rPr>
          <w:rFonts w:ascii="Arial" w:cs="Arial" w:eastAsia="Arial" w:hAnsi="Arial"/>
          <w:sz w:val="17"/>
          <w:szCs w:val="17"/>
          <w:color w:val="auto"/>
        </w:rPr>
        <w:t>. The shares of the corporation shall be represented by certificates signed by the president or a vice president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secretary or an assistant secretary of the corporation, and may be sealed with the seal of the corporation or a facsimile thereof.</w:t>
      </w:r>
    </w:p>
    <w:p>
      <w:pPr>
        <w:spacing w:after="0" w:line="14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6.02 </w:t>
      </w:r>
      <w:r>
        <w:rPr>
          <w:rFonts w:ascii="Arial" w:cs="Arial" w:eastAsia="Arial" w:hAnsi="Arial"/>
          <w:sz w:val="16"/>
          <w:szCs w:val="16"/>
          <w:b w:val="1"/>
          <w:bCs w:val="1"/>
          <w:i w:val="1"/>
          <w:iCs w:val="1"/>
          <w:color w:val="auto"/>
        </w:rPr>
        <w:t>Facsimile Signatures</w:t>
      </w:r>
      <w:r>
        <w:rPr>
          <w:rFonts w:ascii="Arial" w:cs="Arial" w:eastAsia="Arial" w:hAnsi="Arial"/>
          <w:sz w:val="16"/>
          <w:szCs w:val="16"/>
          <w:color w:val="auto"/>
        </w:rPr>
        <w:t>. The signatures of the president or a vice president and the secretary or an assistant secretary upon a</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may be facsimiles. In case any officer who has signed or whose facsimile signature has been placed upon such certificate shall have ceased to be such officer before such certificate is issued, it may be issued by the corporation with the same effect as if he were such officer at the date of its issue.</w:t>
      </w:r>
    </w:p>
    <w:p>
      <w:pPr>
        <w:spacing w:after="0" w:line="14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6.03 </w:t>
      </w:r>
      <w:r>
        <w:rPr>
          <w:rFonts w:ascii="Arial" w:cs="Arial" w:eastAsia="Arial" w:hAnsi="Arial"/>
          <w:sz w:val="16"/>
          <w:szCs w:val="16"/>
          <w:b w:val="1"/>
          <w:bCs w:val="1"/>
          <w:i w:val="1"/>
          <w:iCs w:val="1"/>
          <w:color w:val="auto"/>
        </w:rPr>
        <w:t>Lost Certificates</w:t>
      </w:r>
      <w:r>
        <w:rPr>
          <w:rFonts w:ascii="Arial" w:cs="Arial" w:eastAsia="Arial" w:hAnsi="Arial"/>
          <w:sz w:val="16"/>
          <w:szCs w:val="16"/>
          <w:color w:val="auto"/>
        </w:rPr>
        <w:t>. The board of directors may direct a new certificate to be issued in place of any certificate theretofore issued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alleged to have been lost or destroyed. When authorizing such issue of a new certificate, the board of directors, in its discretion and as a condition precedent to the issuance thereof, may prescribe such terms and conditions as it deems expedient and may require such indemnities as it deems adequate to protect the corporation from any claim that may be made against it with respect to any such certificate alleged to have been lost or destroyed.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6.04 </w:t>
      </w:r>
      <w:r>
        <w:rPr>
          <w:rFonts w:ascii="Arial" w:cs="Arial" w:eastAsia="Arial" w:hAnsi="Arial"/>
          <w:sz w:val="17"/>
          <w:szCs w:val="17"/>
          <w:b w:val="1"/>
          <w:bCs w:val="1"/>
          <w:i w:val="1"/>
          <w:iCs w:val="1"/>
          <w:color w:val="auto"/>
        </w:rPr>
        <w:t>Transfers</w:t>
      </w:r>
      <w:r>
        <w:rPr>
          <w:rFonts w:ascii="Arial" w:cs="Arial" w:eastAsia="Arial" w:hAnsi="Arial"/>
          <w:sz w:val="17"/>
          <w:szCs w:val="17"/>
          <w:color w:val="auto"/>
        </w:rPr>
        <w:t>. Upon surrender to the corporation or the transfer agent of the corporation of a certificate representing shares duly</w:t>
      </w:r>
      <w:r>
        <w:rPr>
          <w:rFonts w:ascii="Arial" w:cs="Arial" w:eastAsia="Arial" w:hAnsi="Arial"/>
          <w:sz w:val="17"/>
          <w:szCs w:val="17"/>
          <w:b w:val="1"/>
          <w:bCs w:val="1"/>
          <w:color w:val="auto"/>
        </w:rPr>
        <w:t xml:space="preserve"> </w:t>
      </w:r>
      <w:r>
        <w:rPr>
          <w:rFonts w:ascii="Arial" w:cs="Arial" w:eastAsia="Arial" w:hAnsi="Arial"/>
          <w:sz w:val="17"/>
          <w:szCs w:val="17"/>
          <w:color w:val="auto"/>
        </w:rPr>
        <w:t>endorsed or accompanied by proper evidence of succession, assignment or authority to transfer, a new certificate shall be issued to the person entitled thereto and the old certificate canceled and the transaction recorded upon the transfer records of the corporation.</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6.05 </w:t>
      </w:r>
      <w:r>
        <w:rPr>
          <w:rFonts w:ascii="Arial" w:cs="Arial" w:eastAsia="Arial" w:hAnsi="Arial"/>
          <w:sz w:val="17"/>
          <w:szCs w:val="17"/>
          <w:b w:val="1"/>
          <w:bCs w:val="1"/>
          <w:i w:val="1"/>
          <w:iCs w:val="1"/>
          <w:color w:val="auto"/>
        </w:rPr>
        <w:t>Closing of Transfer Records</w:t>
      </w:r>
      <w:r>
        <w:rPr>
          <w:rFonts w:ascii="Arial" w:cs="Arial" w:eastAsia="Arial" w:hAnsi="Arial"/>
          <w:sz w:val="17"/>
          <w:szCs w:val="17"/>
          <w:color w:val="auto"/>
        </w:rPr>
        <w:t>. For the purpose of determining shareholders (i) entitled to notice of or to vote at any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or, after an adjournment thereof, at any reconvened meeting, (ii) entitled to receive a distribution (other than a distribution involving a purchase or redemption by the corporation of any of its own shares) or a share dividend or (iii) for any other proper purpose (other than determining shareholders entitled to consent to action by shareholders proposed to be taken without a meeting of shareholders), the board of directors may provide that the share transfer records shall be closed for a stated period but not to exceed, in any case, sixty days. If the share transfer records shall be closed for the purpose of determining shareholders entitled to notice of or to vote at a meeting of shareholders, such records shall be closed for at least ten days immediately preceding such meeting. In lieu of closing the share transfer records, the board of directors may fix in advance a date as the record date for any such determination of shareholders, such date in any case to be not more than sixty days and, in the case of a meeting of shareholders, not less than ten days, prior to the date on which the particular action requiring such determination of shareholders, is to be taken. If the share transfer records are not closed and no record date is fixed for the determination of shareholders entitled to notice of or to vote at a meeting of shareholders, or shareholders entitled to receive a distribution (other than a distribution involving a purchase or redemption by the corporation of any of its own shares) or a share dividend, the date on which notice of the meeting is mailed or the date on which the resolution of the board of directors declaring such distribution or share dividend is adopted, as the case may be, shall be the record date for such determination of shareholders. When a determination of shareholders entitled to vote at any meeting of shareholders has been made as provided in this Section 6.05, such determination shall be applied after an adjournment thereof to any reconvened meeting except where the determination has been made through the closing of the share transfer records and the stated period of closing has expired.</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6.06 </w:t>
      </w:r>
      <w:r>
        <w:rPr>
          <w:rFonts w:ascii="Arial" w:cs="Arial" w:eastAsia="Arial" w:hAnsi="Arial"/>
          <w:sz w:val="17"/>
          <w:szCs w:val="17"/>
          <w:b w:val="1"/>
          <w:bCs w:val="1"/>
          <w:i w:val="1"/>
          <w:iCs w:val="1"/>
          <w:color w:val="auto"/>
        </w:rPr>
        <w:t>Fixing Record Dates for Consents to Action</w:t>
      </w:r>
      <w:r>
        <w:rPr>
          <w:rFonts w:ascii="Arial" w:cs="Arial" w:eastAsia="Arial" w:hAnsi="Arial"/>
          <w:sz w:val="17"/>
          <w:szCs w:val="17"/>
          <w:color w:val="auto"/>
        </w:rPr>
        <w:t>. Unless a record date shall have previously been fixed or determined, whenever</w:t>
      </w:r>
      <w:r>
        <w:rPr>
          <w:rFonts w:ascii="Arial" w:cs="Arial" w:eastAsia="Arial" w:hAnsi="Arial"/>
          <w:sz w:val="17"/>
          <w:szCs w:val="17"/>
          <w:b w:val="1"/>
          <w:bCs w:val="1"/>
          <w:color w:val="auto"/>
        </w:rPr>
        <w:t xml:space="preserve"> </w:t>
      </w:r>
      <w:r>
        <w:rPr>
          <w:rFonts w:ascii="Arial" w:cs="Arial" w:eastAsia="Arial" w:hAnsi="Arial"/>
          <w:sz w:val="17"/>
          <w:szCs w:val="17"/>
          <w:color w:val="auto"/>
        </w:rPr>
        <w:t>action by shareholders is proposed to be taken by consent in writing without a meeting of shareholders, the board of directors may fix a record date for the purpose of determining shareholders entitled to consent to that action which record date shall not precede, and shall not be more than ten days after, the date upon which the resolution fixing the record date is adopted by the board of directors. If no record date has been fixed by the board of directors and prior action of the board of directors is not required by law, the record date for determining shareholders entitled to consent to action in writing without a meeting shall be the first date on which a signed written consent setting forth the action taken proposed to be taken is delivered to the corporation in the manner required by Section 2.08 of these bylaws. If no record date shall have been fixed by the board of directors and prior action of the board of directors is required by law, the record date for determining shareholders entitled to consent to action in writing without a meeting shall be at the close of business on the date on which the board of directors adopts a resolution taking such prior 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6.07 </w:t>
      </w:r>
      <w:r>
        <w:rPr>
          <w:rFonts w:ascii="Arial" w:cs="Arial" w:eastAsia="Arial" w:hAnsi="Arial"/>
          <w:sz w:val="18"/>
          <w:szCs w:val="18"/>
          <w:b w:val="1"/>
          <w:bCs w:val="1"/>
          <w:i w:val="1"/>
          <w:iCs w:val="1"/>
          <w:color w:val="auto"/>
        </w:rPr>
        <w:t>Registered Shareholders</w:t>
      </w:r>
      <w:r>
        <w:rPr>
          <w:rFonts w:ascii="Arial" w:cs="Arial" w:eastAsia="Arial" w:hAnsi="Arial"/>
          <w:sz w:val="18"/>
          <w:szCs w:val="18"/>
          <w:color w:val="auto"/>
        </w:rPr>
        <w:t>. Except as otherwise required by law, the corporation shall be entitled to regard the person in whose name</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are registered in the share transfer records at any particular time as the owner of those shares at that time for purposes of voting those shares, receiving distributions, share dividends or notices in respect thereof, transferring those shares, exercising rights of dissent with respect to those shares, exercising or waiving any preemptive right with respect to those shares, entering into agreements with respect to those shares or giving proxies with respect to those shares. Except as otherwise required by law, neither the corporation nor any of its officers, directors, employees or agents shall be liable for regarding that person as the owner of those shares at that time for those purposes, regardless of whether that person does not possess a certificate for those shares.</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6.08 </w:t>
      </w:r>
      <w:r>
        <w:rPr>
          <w:rFonts w:ascii="Arial" w:cs="Arial" w:eastAsia="Arial" w:hAnsi="Arial"/>
          <w:sz w:val="17"/>
          <w:szCs w:val="17"/>
          <w:b w:val="1"/>
          <w:bCs w:val="1"/>
          <w:i w:val="1"/>
          <w:iCs w:val="1"/>
          <w:color w:val="auto"/>
        </w:rPr>
        <w:t>List of Shareholders</w:t>
      </w:r>
      <w:r>
        <w:rPr>
          <w:rFonts w:ascii="Arial" w:cs="Arial" w:eastAsia="Arial" w:hAnsi="Arial"/>
          <w:sz w:val="17"/>
          <w:szCs w:val="17"/>
          <w:color w:val="auto"/>
        </w:rPr>
        <w:t>. The officer or agent having charge of the transfer books for shares shall make, at least ten days before each</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shareholders, a complete list of the shareholders entitled to vote at such meeting, arranged in alphabetical order, with the address of each and the number of shares held by each, which list, for a period of ten days prior to such meeting, shall be kept on file at the registered office or principal place of business of the corporation and shall be subject to inspection by any shareholder at any time during usual business hours. Such list shall also be produced and kept open at the time and place of the meeting and shall be subject to the inspection of any shareholder during the whole time of the meeting. The original share ledger or transfer book, or a duplicate thereof, shall be prima facie evidence as to who are the shareholders entitled to examine such list or share ledger or transfer book or to vote at any meeting of the shareholders.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7.01 </w:t>
      </w:r>
      <w:r>
        <w:rPr>
          <w:rFonts w:ascii="Arial" w:cs="Arial" w:eastAsia="Arial" w:hAnsi="Arial"/>
          <w:sz w:val="18"/>
          <w:szCs w:val="18"/>
          <w:b w:val="1"/>
          <w:bCs w:val="1"/>
          <w:i w:val="1"/>
          <w:iCs w:val="1"/>
          <w:color w:val="auto"/>
        </w:rPr>
        <w:t>Distributions and Share Dividends</w:t>
      </w:r>
      <w:r>
        <w:rPr>
          <w:rFonts w:ascii="Arial" w:cs="Arial" w:eastAsia="Arial" w:hAnsi="Arial"/>
          <w:sz w:val="18"/>
          <w:szCs w:val="18"/>
          <w:color w:val="auto"/>
        </w:rPr>
        <w:t>. Subject to the provisions of the articles of incorporation relating thereto, if any, distributions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share dividends may be declared by the board of directors, in its discretion, at any regular or special meeting, pursuant to law. Subject to any provisions of the articles of incorporation, distributions may be made by the transfer of money or other property (except the corporation’s own shares or rights to acquire such shares) or by the issuance of indebtedness of the corporation, and share dividends may be paid in the corporation’s own authorized but unissued shares or in treasury shares.</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7.02 </w:t>
      </w:r>
      <w:r>
        <w:rPr>
          <w:rFonts w:ascii="Arial" w:cs="Arial" w:eastAsia="Arial" w:hAnsi="Arial"/>
          <w:sz w:val="18"/>
          <w:szCs w:val="18"/>
          <w:b w:val="1"/>
          <w:bCs w:val="1"/>
          <w:i w:val="1"/>
          <w:iCs w:val="1"/>
          <w:color w:val="auto"/>
        </w:rPr>
        <w:t>Reserve Funds</w:t>
      </w:r>
      <w:r>
        <w:rPr>
          <w:rFonts w:ascii="Arial" w:cs="Arial" w:eastAsia="Arial" w:hAnsi="Arial"/>
          <w:sz w:val="18"/>
          <w:szCs w:val="18"/>
          <w:color w:val="auto"/>
        </w:rPr>
        <w:t>. Before payment of any distribution or share dividend, there may be set aside out of any funds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distributions or share dividends such sum or sums as the directors from time to time, in their absolute discretion, think proper as a reserve fund for meeting contingencies, or for equalizing distributions or share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7.03 </w:t>
      </w:r>
      <w:r>
        <w:rPr>
          <w:rFonts w:ascii="Arial" w:cs="Arial" w:eastAsia="Arial" w:hAnsi="Arial"/>
          <w:sz w:val="18"/>
          <w:szCs w:val="18"/>
          <w:b w:val="1"/>
          <w:bCs w:val="1"/>
          <w:i w:val="1"/>
          <w:iCs w:val="1"/>
          <w:color w:val="auto"/>
        </w:rPr>
        <w:t>Checks</w:t>
      </w:r>
      <w:r>
        <w:rPr>
          <w:rFonts w:ascii="Arial" w:cs="Arial" w:eastAsia="Arial" w:hAnsi="Arial"/>
          <w:sz w:val="18"/>
          <w:szCs w:val="18"/>
          <w:color w:val="auto"/>
        </w:rPr>
        <w:t>. All checks or demands for money and notes of the corporation shall be signed by such officer or officers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persons as the board of directors may from time to time designate.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7.04 </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The fiscal year of the corporation shall be fixed by resolution of the board of directors; provided, that if such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is not fixed by the board of directors it shall be the calendar year.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7.05 </w:t>
      </w:r>
      <w:r>
        <w:rPr>
          <w:rFonts w:ascii="Arial" w:cs="Arial" w:eastAsia="Arial" w:hAnsi="Arial"/>
          <w:sz w:val="18"/>
          <w:szCs w:val="18"/>
          <w:b w:val="1"/>
          <w:bCs w:val="1"/>
          <w:i w:val="1"/>
          <w:iCs w:val="1"/>
          <w:color w:val="auto"/>
        </w:rPr>
        <w:t>Seal</w:t>
      </w:r>
      <w:r>
        <w:rPr>
          <w:rFonts w:ascii="Arial" w:cs="Arial" w:eastAsia="Arial" w:hAnsi="Arial"/>
          <w:sz w:val="18"/>
          <w:szCs w:val="18"/>
          <w:color w:val="auto"/>
        </w:rPr>
        <w:t>. The corporate seal shall be in such form as may be prescribed by the board of directors. The seal may be used by causing it or</w:t>
      </w:r>
      <w:r>
        <w:rPr>
          <w:rFonts w:ascii="Arial" w:cs="Arial" w:eastAsia="Arial" w:hAnsi="Arial"/>
          <w:sz w:val="18"/>
          <w:szCs w:val="18"/>
          <w:b w:val="1"/>
          <w:bCs w:val="1"/>
          <w:color w:val="auto"/>
        </w:rPr>
        <w:t xml:space="preserve"> </w:t>
      </w:r>
      <w:r>
        <w:rPr>
          <w:rFonts w:ascii="Arial" w:cs="Arial" w:eastAsia="Arial" w:hAnsi="Arial"/>
          <w:sz w:val="18"/>
          <w:szCs w:val="18"/>
          <w:color w:val="auto"/>
        </w:rPr>
        <w:t>a facsimile thereof to be impressed or affixed or in any manner reproduced.</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7.06 </w:t>
      </w:r>
      <w:r>
        <w:rPr>
          <w:rFonts w:ascii="Arial" w:cs="Arial" w:eastAsia="Arial" w:hAnsi="Arial"/>
          <w:sz w:val="16"/>
          <w:szCs w:val="16"/>
          <w:b w:val="1"/>
          <w:bCs w:val="1"/>
          <w:i w:val="1"/>
          <w:iCs w:val="1"/>
          <w:color w:val="auto"/>
        </w:rPr>
        <w:t>Books and Records</w:t>
      </w:r>
      <w:r>
        <w:rPr>
          <w:rFonts w:ascii="Arial" w:cs="Arial" w:eastAsia="Arial" w:hAnsi="Arial"/>
          <w:sz w:val="16"/>
          <w:szCs w:val="16"/>
          <w:color w:val="auto"/>
        </w:rPr>
        <w:t>. The corporation shall keep books and records of account and shall keep minutes of the proceedings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its board of directors and each committee of its board of directors. The corporation shall keep at its registered office or principal place of business, or at the office of its transfer agent or registrar, a record of the original issuance of shares issued by the corporation and a record of each transfer of those shares that have been presented to the corporation for registration of transfer. Such records shall contain the names and addresses of all past and current shareholders of the corporation and the number and class or series of shares issued by the corporation held by each of them.</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7.07 </w:t>
      </w:r>
      <w:r>
        <w:rPr>
          <w:rFonts w:ascii="Arial" w:cs="Arial" w:eastAsia="Arial" w:hAnsi="Arial"/>
          <w:sz w:val="18"/>
          <w:szCs w:val="18"/>
          <w:b w:val="1"/>
          <w:bCs w:val="1"/>
          <w:i w:val="1"/>
          <w:iCs w:val="1"/>
          <w:color w:val="auto"/>
        </w:rPr>
        <w:t>Invalid Provisions</w:t>
      </w:r>
      <w:r>
        <w:rPr>
          <w:rFonts w:ascii="Arial" w:cs="Arial" w:eastAsia="Arial" w:hAnsi="Arial"/>
          <w:sz w:val="18"/>
          <w:szCs w:val="18"/>
          <w:color w:val="auto"/>
        </w:rPr>
        <w:t>. If any provision of these bylaws is held to be illegal, invalid, or unenforceable under present or future laws,</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provision shall be fully severable; these bylaws shall be construed and enforced as if such illegal, invalid, or unenforceable provision had never comprised a part hereof; and the remaining provisions hereof shall remain in full force and effect and shall not be affected by the illegal, invalid, or unenforceable provision or by its severance herefrom. Furthermore, in lieu of such illegal, invalid, or unenforceable provision there shall be added automatically as a part of these bylaws a provision as similar in terms to such illegal, invalid, or unenforceable provision as may be possible and be legal, valid, and enforceable.</w:t>
      </w:r>
    </w:p>
    <w:p>
      <w:pPr>
        <w:spacing w:after="0" w:line="18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7.08</w:t>
      </w:r>
      <w:r>
        <w:rPr>
          <w:sz w:val="20"/>
          <w:szCs w:val="20"/>
          <w:color w:val="auto"/>
        </w:rPr>
        <w:tab/>
      </w:r>
      <w:r>
        <w:rPr>
          <w:rFonts w:ascii="Arial" w:cs="Arial" w:eastAsia="Arial" w:hAnsi="Arial"/>
          <w:sz w:val="16"/>
          <w:szCs w:val="16"/>
          <w:b w:val="1"/>
          <w:bCs w:val="1"/>
          <w:i w:val="1"/>
          <w:iCs w:val="1"/>
          <w:color w:val="auto"/>
        </w:rPr>
        <w:t>Headings</w:t>
      </w:r>
      <w:r>
        <w:rPr>
          <w:rFonts w:ascii="Arial" w:cs="Arial" w:eastAsia="Arial" w:hAnsi="Arial"/>
          <w:sz w:val="16"/>
          <w:szCs w:val="16"/>
          <w:color w:val="auto"/>
        </w:rPr>
        <w:t>. The headings used in these bylaws are for reference purposes only and do not affect in any way the meaning of these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bylaws.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Article 2.02-1 of the Texas Business Corporation Act (the “Article”) permits the corporation to indemnify its present and former directors and officers to the extent and under the circumstances set forth therein. In addition, in some instances, indemnification is required by the Article. The corporation hereby elects to and does hereby indemnify all such persons to the fullest extent permitted or required by the Article promptly upon request of any such person making a request for indemnity hereunder. Such obligation to so indemnify and to so make such determinations may be specifically enforced by resort to any court of competent jurisdiction. Further, the corporation shall pay or reimburse the reasonable expenses of such persons covered hereby in advance of the final disposition of any proceeding to the fullest extent permitted by the Article and subject to the conditions thereof.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bylaws may be altered, amended, or repealed or new bylaws may be adopted by the affirmative vote of a majority of the whole board of directors at any regular or special meeting; provided, that these bylaws may not be altered, amended, or repealed so as to be inconsistent with law or any provision of the articles of incorporation.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240"/>
          </w:cols>
          <w:pgMar w:left="320" w:top="58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Taylor, certify that:</w:t>
      </w:r>
    </w:p>
    <w:p>
      <w:pPr>
        <w:spacing w:after="0" w:line="225" w:lineRule="exact"/>
        <w:rPr>
          <w:sz w:val="20"/>
          <w:szCs w:val="20"/>
          <w:color w:val="auto"/>
        </w:rPr>
      </w:pPr>
    </w:p>
    <w:p>
      <w:pPr>
        <w:ind w:left="680" w:hanging="186"/>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Friedman Industries, Incorporated;</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00" w:right="100" w:hanging="6"/>
        <w:spacing w:after="0" w:line="263"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60" w:firstLine="480"/>
        <w:spacing w:after="0" w:line="263" w:lineRule="auto"/>
        <w:tabs>
          <w:tab w:leader="none" w:pos="11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right="220" w:firstLine="480"/>
        <w:spacing w:after="0" w:line="263" w:lineRule="auto"/>
        <w:tabs>
          <w:tab w:leader="none" w:pos="118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right="380" w:firstLine="480"/>
        <w:spacing w:after="0" w:line="342" w:lineRule="auto"/>
        <w:tabs>
          <w:tab w:leader="none" w:pos="117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340" w:firstLine="480"/>
        <w:spacing w:after="0" w:line="263" w:lineRule="auto"/>
        <w:tabs>
          <w:tab w:leader="none" w:pos="118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600" w:firstLine="480"/>
        <w:spacing w:after="0" w:line="308" w:lineRule="auto"/>
        <w:tabs>
          <w:tab w:leader="none" w:pos="1171"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280" w:firstLine="480"/>
        <w:spacing w:after="0" w:line="277" w:lineRule="auto"/>
        <w:tabs>
          <w:tab w:leader="none" w:pos="118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Alex LaRue, certify that:</w:t>
      </w:r>
    </w:p>
    <w:p>
      <w:pPr>
        <w:spacing w:after="0" w:line="225" w:lineRule="exact"/>
        <w:rPr>
          <w:sz w:val="20"/>
          <w:szCs w:val="20"/>
          <w:color w:val="auto"/>
        </w:rPr>
      </w:pPr>
    </w:p>
    <w:p>
      <w:pPr>
        <w:ind w:left="680" w:hanging="186"/>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Friedman Industries, Incorporated;</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00" w:right="100" w:hanging="6"/>
        <w:spacing w:after="0" w:line="263"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60" w:firstLine="480"/>
        <w:spacing w:after="0" w:line="263" w:lineRule="auto"/>
        <w:tabs>
          <w:tab w:leader="none" w:pos="11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right="220" w:firstLine="480"/>
        <w:spacing w:after="0" w:line="263" w:lineRule="auto"/>
        <w:tabs>
          <w:tab w:leader="none" w:pos="118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380" w:firstLine="980"/>
        <w:spacing w:after="0" w:line="342" w:lineRule="auto"/>
        <w:tabs>
          <w:tab w:leader="none" w:pos="1157"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340" w:firstLine="480"/>
        <w:spacing w:after="0" w:line="263" w:lineRule="auto"/>
        <w:tabs>
          <w:tab w:leader="none" w:pos="118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600" w:firstLine="480"/>
        <w:spacing w:after="0" w:line="308" w:lineRule="auto"/>
        <w:tabs>
          <w:tab w:leader="none" w:pos="1171"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280" w:firstLine="480"/>
        <w:spacing w:after="0" w:line="277" w:lineRule="auto"/>
        <w:tabs>
          <w:tab w:leader="none" w:pos="118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19,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Financial Officer – Secretary and Treasurer</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Filed Pursuant to the Securities Exchange Act of 1934</w:t>
      </w:r>
    </w:p>
    <w:p>
      <w:pPr>
        <w:spacing w:after="0" w:line="229"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In connection with the Quarterly Report of Friedman Industries, Incorporated (the “Company”) on Form 10-Q for the period ended September 30, 2021,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87" w:lineRule="exact"/>
        <w:rPr>
          <w:sz w:val="20"/>
          <w:szCs w:val="20"/>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60" w:firstLine="494"/>
        <w:spacing w:after="0" w:line="559" w:lineRule="auto"/>
        <w:tabs>
          <w:tab w:leader="none" w:pos="73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November 19,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Taylor</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Michael J. Taylor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Filed Pursuant to the Securities Exchange Act of 1934</w:t>
      </w:r>
    </w:p>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connection with the Quarterly Report of Friedman Industries, Incorporated (the “Company”) on Form 10-Q for the period ended September 30, 2021, as filed with the U.S. Securities and Exchange Commission on the date hereof (the “Report”), I, Alex LaRue, Chief Financial Officer – Secretary and Treasurer of the Company, certify, pursuant to 18 U.S.C. Section 1350, as adopted pursuant to Section 906 of the Sarbanes-Oxley Act of 2002, as amended, that:</w:t>
      </w:r>
    </w:p>
    <w:p>
      <w:pPr>
        <w:spacing w:after="0" w:line="187" w:lineRule="exact"/>
        <w:rPr>
          <w:sz w:val="20"/>
          <w:szCs w:val="20"/>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40" w:firstLine="494"/>
        <w:spacing w:after="0" w:line="559" w:lineRule="auto"/>
        <w:tabs>
          <w:tab w:leader="none" w:pos="7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November 19,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 LaRue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95" w:lineRule="exact"/>
              <w:rPr>
                <w:sz w:val="20"/>
                <w:szCs w:val="20"/>
                <w:color w:val="auto"/>
              </w:rPr>
            </w:pPr>
            <w:r>
              <w:rPr>
                <w:rFonts w:ascii="Arial" w:cs="Arial" w:eastAsia="Arial" w:hAnsi="Arial"/>
                <w:sz w:val="18"/>
                <w:szCs w:val="18"/>
                <w:color w:val="auto"/>
              </w:rPr>
              <w:t>Alex LaRue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w w:val="96"/>
              </w:rPr>
              <w:t>Chief Financial Officer – Secretary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04"/>
    </w:lvl>
  </w:abstractNum>
  <w:abstractNum w:abstractNumId="5">
    <w:nsid w:val="140E0F7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
    <w:nsid w:val="3352255A"/>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7">
    <w:nsid w:val="109CF92E"/>
    <w:multiLevelType w:val="hybridMultilevel"/>
    <w:lvl w:ilvl="0">
      <w:lvlJc w:val="left"/>
      <w:lvlText w:val="%1"/>
      <w:numFmt w:val="lowerRoman"/>
      <w:start w:val="1"/>
    </w:lvl>
    <w:lvl w:ilvl="1">
      <w:lvlJc w:val="left"/>
      <w:lvlText w:val="(%2)"/>
      <w:numFmt w:val="upperLetter"/>
      <w:start w:val="3"/>
    </w:lvl>
    <w:lvl w:ilvl="2">
      <w:lvlJc w:val="left"/>
      <w:lvlText w:val="-"/>
      <w:numFmt w:val="bullet"/>
      <w:start w:val="1"/>
    </w:lvl>
  </w:abstractNum>
  <w:abstractNum w:abstractNumId="8">
    <w:nsid w:val="DED7263"/>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9">
    <w:nsid w:val="7FDCC23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lvl w:ilvl="3">
      <w:lvlJc w:val="left"/>
      <w:lvlText w:val="-"/>
      <w:numFmt w:val="bullet"/>
      <w:start w:val="1"/>
    </w:lvl>
  </w:abstractNum>
  <w:abstractNum w:abstractNumId="10">
    <w:nsid w:val="1BEFD79F"/>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
      <w:numFmt w:val="bullet"/>
      <w:start w:val="1"/>
    </w:lvl>
  </w:abstractNum>
  <w:abstractNum w:abstractNumId="11">
    <w:nsid w:val="41A7C4C9"/>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12">
    <w:nsid w:val="6B68079A"/>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13">
    <w:nsid w:val="4E6AFB66"/>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39" Type="http://schemas.openxmlformats.org/officeDocument/2006/relationships/hyperlink" Target="http://www.sec.gov/Archives/edgar/data/39092/000143774916043636/ex3-1.htm" TargetMode="External"/><Relationship Id="rId40" Type="http://schemas.openxmlformats.org/officeDocument/2006/relationships/hyperlink" Target="http://www.sec.gov/Archives/edgar/data/39092/000143774916043636/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2021-11-19T16:20:34Z</dcterms:created>
  <dcterms:modified xsi:type="dcterms:W3CDTF">2021-11-19T16:20:34Z</dcterms:modified>
</cp:coreProperties>
</file>