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3160" w:right="1660" w:hanging="3152"/>
        <w:spacing w:after="0" w:line="500" w:lineRule="auto"/>
        <w:tabs>
          <w:tab w:leader="none" w:pos="4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4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FRIEDMAN INDUSTRIES,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74-1504405</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6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(Check one):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2, 2022, the number of shares outstanding of the issuer’s only class of stock was 7,368,613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2" w:right="339" w:bottom="20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Financial Statements</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438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II — OTHER INFORMATION</w:t>
            </w:r>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40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FRIEDMAN INDUSTRIES, INCORPORATED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8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 UNAUDITED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r>
      <w:tr>
        <w:trPr>
          <w:trHeight w:val="210"/>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6,635,809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2,598,102</w:t>
            </w:r>
          </w:p>
        </w:tc>
      </w:tr>
      <w:tr>
        <w:trPr>
          <w:trHeight w:val="198"/>
        </w:trPr>
        <w:tc>
          <w:tcPr>
            <w:tcW w:w="7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bad debts and cash discounts of $99,819 at 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March 31, 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53,942,863</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35,670,657</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88,593,950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67,946,122</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2,958,720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4,240,740</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4,335,663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14,906,194</w:t>
            </w:r>
          </w:p>
        </w:tc>
      </w:tr>
      <w:tr>
        <w:trPr>
          <w:trHeight w:val="20"/>
        </w:trPr>
        <w:tc>
          <w:tcPr>
            <w:tcW w:w="1280" w:type="dxa"/>
            <w:vAlign w:val="bottom"/>
            <w:shd w:val="clear" w:color="auto" w:fill="CCEEFF"/>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156,467,005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125,361,815</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1,669,831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1,179,831</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20,700,077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8,581,676</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36,286,109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30,422,066</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22,035,059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15,925,306</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(27,175,874)</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(26,002,820)</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53,515,202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30,106,059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value of officers’ life insurance and other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558,061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157,248</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1,306,267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113,168</w:t>
            </w:r>
          </w:p>
        </w:tc>
      </w:tr>
      <w:tr>
        <w:trPr>
          <w:trHeight w:val="229"/>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2,133,295</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1,403,485</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211,846,535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159,275,070</w:t>
            </w:r>
          </w:p>
        </w:tc>
      </w:tr>
      <w:tr>
        <w:trPr>
          <w:trHeight w:val="196"/>
        </w:trPr>
        <w:tc>
          <w:tcPr>
            <w:tcW w:w="76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57,259,815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44,803,602</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147,372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137,120</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262,500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3,742,772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1,085,676</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2,240,995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financing lease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105,703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104,689</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3,102,160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14,429,520</w:t>
            </w:r>
          </w:p>
        </w:tc>
      </w:tr>
      <w:tr>
        <w:trPr>
          <w:trHeight w:val="210"/>
        </w:trPr>
        <w:tc>
          <w:tcPr>
            <w:tcW w:w="768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66,861,317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60,810,607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125,082</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119,591</w:t>
            </w:r>
          </w:p>
        </w:tc>
      </w:tr>
      <w:tr>
        <w:trPr>
          <w:trHeight w:val="230"/>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624,111</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1,326,832</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221,767</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36,219,441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18,436,457</w:t>
            </w:r>
          </w:p>
        </w:tc>
      </w:tr>
      <w:tr>
        <w:trPr>
          <w:trHeight w:val="209"/>
        </w:trPr>
        <w:tc>
          <w:tcPr>
            <w:tcW w:w="7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105,156,783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79,588,422</w:t>
            </w:r>
          </w:p>
        </w:tc>
        <w:tc>
          <w:tcPr>
            <w:tcW w:w="10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$1: Authorized shares — 10,000,000; Issued shares — 8,861,016 shares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8,344,975 shares at September 30, and March 31, 2022, respectively</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8,861,016</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8,344,975</w:t>
            </w:r>
          </w:p>
        </w:tc>
      </w:tr>
      <w:tr>
        <w:trPr>
          <w:trHeight w:val="216"/>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34,856,326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30,442,361</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(1,516,359)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(10,268,509)</w:t>
            </w:r>
          </w:p>
        </w:tc>
      </w:tr>
      <w:tr>
        <w:trPr>
          <w:trHeight w:val="198"/>
        </w:trPr>
        <w:tc>
          <w:tcPr>
            <w:tcW w:w="7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at cost (1,492,403 shares and 1,488,966 shares at September 30, and March 31, 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(7,770,465)</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(7,741,197)</w:t>
            </w:r>
          </w:p>
        </w:tc>
      </w:tr>
      <w:tr>
        <w:trPr>
          <w:trHeight w:val="216"/>
        </w:trPr>
        <w:tc>
          <w:tcPr>
            <w:tcW w:w="7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72,259,234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58,909,018</w:t>
            </w:r>
          </w:p>
        </w:tc>
      </w:tr>
      <w:tr>
        <w:trPr>
          <w:trHeight w:val="20"/>
        </w:trPr>
        <w:tc>
          <w:tcPr>
            <w:tcW w:w="1280" w:type="dxa"/>
            <w:vAlign w:val="bottom"/>
            <w:shd w:val="clear" w:color="auto" w:fill="CCEEFF"/>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106,689,752</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79,686,648</w:t>
            </w:r>
          </w:p>
        </w:tc>
      </w:tr>
      <w:tr>
        <w:trPr>
          <w:trHeight w:val="20"/>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211,846,535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159,275,070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760" w:type="dxa"/>
            <w:vAlign w:val="bottom"/>
            <w:gridSpan w:val="5"/>
          </w:tcPr>
          <w:p>
            <w:pPr>
              <w:jc w:val="center"/>
              <w:ind w:right="16"/>
              <w:spacing w:after="0"/>
              <w:rPr>
                <w:sz w:val="20"/>
                <w:szCs w:val="20"/>
                <w:color w:val="auto"/>
              </w:rPr>
            </w:pPr>
            <w:r>
              <w:rPr>
                <w:rFonts w:ascii="Times New Roman" w:cs="Times New Roman" w:eastAsia="Times New Roman" w:hAnsi="Times New Roman"/>
                <w:sz w:val="18"/>
                <w:szCs w:val="18"/>
                <w:color w:val="auto"/>
                <w:w w:val="99"/>
              </w:rPr>
              <w:t>FRIEDMAN INDUSTRIES, INCORPORATED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740" w:type="dxa"/>
            <w:vAlign w:val="bottom"/>
            <w:gridSpan w:val="1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149,692,409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92,570,895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311,495,499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158,487,334</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products sold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145,014,017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62,875,913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288,145,179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111,462,417</w:t>
            </w:r>
          </w:p>
        </w:tc>
      </w:tr>
      <w:tr>
        <w:trPr>
          <w:trHeight w:val="216"/>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4,607,834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5,290,055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10,960,626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8,640,165</w:t>
            </w:r>
          </w:p>
        </w:tc>
      </w:tr>
      <w:tr>
        <w:trPr>
          <w:trHeight w:val="216"/>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621,215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1,050,596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95,506</w:t>
            </w:r>
          </w:p>
        </w:tc>
      </w:tr>
      <w:tr>
        <w:trPr>
          <w:trHeight w:val="20"/>
        </w:trPr>
        <w:tc>
          <w:tcPr>
            <w:tcW w:w="12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150,243,066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68,238,264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300,156,401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120,198,088</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(550,657)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24,332,631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11,339,098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38,289,246</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3,756,174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(6,840,317)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6,523,877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(6,528,255)</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3,205,517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17,492,314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17,862,975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31,760,991</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749,972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4,426,619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4,238,418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7,494,507</w:t>
            </w:r>
          </w:p>
        </w:tc>
      </w:tr>
      <w:tr>
        <w:trPr>
          <w:trHeight w:val="216"/>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(15,363)</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(111,919)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(30,725)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(222,927)</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734,609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4,314,700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4,207,693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7,271,580</w:t>
            </w:r>
          </w:p>
        </w:tc>
      </w:tr>
      <w:tr>
        <w:trPr>
          <w:trHeight w:val="20"/>
        </w:trPr>
        <w:tc>
          <w:tcPr>
            <w:tcW w:w="12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2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2,470,908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13,177,614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13,655,282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24,489,411</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891"/>
        </w:trPr>
        <w:tc>
          <w:tcPr>
            <w:tcW w:w="1280" w:type="dxa"/>
            <w:vAlign w:val="bottom"/>
          </w:tcPr>
          <w:p>
            <w:pPr>
              <w:spacing w:after="0"/>
              <w:rPr>
                <w:sz w:val="24"/>
                <w:szCs w:val="24"/>
                <w:color w:val="auto"/>
              </w:rPr>
            </w:pPr>
          </w:p>
        </w:tc>
        <w:tc>
          <w:tcPr>
            <w:tcW w:w="8740" w:type="dxa"/>
            <w:vAlign w:val="bottom"/>
            <w:gridSpan w:val="1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 UNAUDITED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2,470,908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13,177,614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13,655,282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24,489,411</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1,578,033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4,227,185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8,752,150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(9,466,152)</w:t>
            </w:r>
          </w:p>
        </w:tc>
      </w:tr>
      <w:tr>
        <w:trPr>
          <w:trHeight w:val="20"/>
        </w:trPr>
        <w:tc>
          <w:tcPr>
            <w:tcW w:w="12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1,578,033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4,227,185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8,752,150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(9,466,152)</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4,048,941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17,404,799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22,407,432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15,023,259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FRIEDMAN INDUSTRIES, INCORPORATED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4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13,655,282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24,489,411</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1,173,054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663,164</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(222,927)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146,306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247,741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4,373</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Gain recognized on open derivatives not designated for hedge accounting</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(1,073,060)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(1,551,840)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realized gain (loss) on derivatives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1,551,821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(17,052,580)</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Forgiveness of Paycheck Protection Program Loan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(1,706,614)</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operating assets, net of amounts acquired in business combination: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(18,272,206)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(11,955,641)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56,898,761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(31,721,525)</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1,403,485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303,655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(1,274,124)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 operating liabilities, net of amounts assumed in business combination: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(6,022,238)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11,801,806</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2,240,995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1,876,441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2,657,096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1,711,265</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54,650,217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(24,591,050)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Plateplus business combination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(71,720,208)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(7,193,664)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(2,905,751)</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on sale from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160,542</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in cash surrender value of officers’ life insurance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(78,920,798)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Debt issuance cost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(393,887)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(294,814)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(275,981)</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(52,092)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(51,097)</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(29,268)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based lending facility proceeds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17,782,984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14,578,487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17,012,923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14,251,409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RESTRICTED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(7,257,658)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(13,090,641)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16,121,518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20,192,486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8,863,860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7,101,845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Cash and restricted cash at September 30, 2022 and March 31, 2022 included $2,228,051 and $13,523,416, respectively, of cash required to collateralize open derivative positions. These amounts are reported in "Other current assets" on the Company's consolidated balance sheets at September 30, 2022 and March 31, 2022. The Company had $4,158,248 in restricted cash at September 30, 2021.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2022.</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results of a business acquired in a business combination are included in the Company’s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 Please refer to Note B for additional discussion of the acquisition completed by the Company during the quarter ended June 30,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BUSINESS COMBINATIONS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Transaction resulted in the Company acquiring the assets noted above, for a total consideration of $76.5 million, of which $71.7 million was cash consideration and $4.8 million related to 516,041 shares of the Company's common stock issued to the Seller. The fair value of the 516,041 shares issued was determined based on the closing market price of the Company’s common stock on April 29, 2022, the last trading day prior to the Acquisition Date. At the Acquisition Date, the Transaction was funded with net borrowings of $64.0 million made under the Company's asset-based lending facility ("ABL Facility") provided by JPMorgan Chase Bank. An additional $7.9 million was funded by the ABL Facility during the quarter ended September 30, 2022 to pay the final net working capital adjustment.</w:t>
      </w:r>
    </w:p>
    <w:p>
      <w:pPr>
        <w:spacing w:after="0" w:line="18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was accounted for using the acquisition method of accounting, in accordance with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 The estimated fair values of assets acquired and liabilities assumed are provisional and are based on the information that was available as of the Acquisition Date to estimate the fair value of assets acquired and liabilities assumed. Therefore, the provisional measurements of fair value reflected are subject to change and such changes could be significant. The Company expects to finalize its fair value estimates as soon as practicable but no later than one year from the Acquisition Date.</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77,546,000</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18,022,000</w:t>
            </w:r>
          </w:p>
        </w:tc>
        <w:tc>
          <w:tcPr>
            <w:tcW w:w="80" w:type="dxa"/>
            <w:vAlign w:val="bottom"/>
          </w:tcPr>
          <w:p>
            <w:pPr>
              <w:spacing w:after="0"/>
              <w:rPr>
                <w:sz w:val="18"/>
                <w:szCs w:val="18"/>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1,237,097</w:t>
            </w:r>
          </w:p>
        </w:tc>
        <w:tc>
          <w:tcPr>
            <w:tcW w:w="8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(19,065,000)</w:t>
            </w:r>
          </w:p>
        </w:tc>
      </w:tr>
      <w:tr>
        <w:trPr>
          <w:trHeight w:val="23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(1,237,097)</w:t>
            </w:r>
          </w:p>
        </w:tc>
      </w:tr>
      <w:tr>
        <w:trPr>
          <w:trHeight w:val="214"/>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76,503,000</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operating results give effect to the Transaction as if it had been completed as of April 1, 2021. These pro forma amounts are not necessarily indicative of the operating results that would have occurred if the Transaction had occurred on such date. The pro forma adjustments are based on certain assumptions that we believe are reasonable.</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10"/>
        </w:trPr>
        <w:tc>
          <w:tcPr>
            <w:tcW w:w="3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149,692,409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156,012,863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330,895,932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269,156,632</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(298,575)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20,599,821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11,309,807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34,987,712</w:t>
            </w:r>
          </w:p>
        </w:tc>
      </w:tr>
    </w:tbl>
    <w:p>
      <w:pPr>
        <w:spacing w:after="0" w:line="1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consolidated statements of operations for the three month and six month periods ended September 30, 2022, include net sales of approximately $69.4 million and $123 million, respectively, and earnings from operations of approximately $1.5 million and $5.7 million, respectively, attributable to the East Chicago and Granite City facilities acquired from Plateplus. At the Acquisition Date, the Company acquired the inventory on hand at Plateplus' Houston and Loudon facilities and also assumed inventory on order related to these locations. Plateplus provided toll processing services for this material for a period of time following the Acquisition Date with these services having concluded by August 31, 2022. In addition to the East Chicago and Granite City sales and earnings from operations, our consolidated statements of operations for the three month and six month periods ended September 30, 2022, include net sales of approximately $14.7 million and $43.4 million, respectively, and a loss from operations of approximately $1.7 million for the</w:t>
      </w:r>
    </w:p>
    <w:p>
      <w:pPr>
        <w:sectPr>
          <w:pgSz w:w="11900" w:h="16838" w:orient="portrait"/>
          <w:cols w:equalWidth="0" w:num="1">
            <w:col w:w="11240"/>
          </w:cols>
          <w:pgMar w:left="320" w:top="121" w:right="339" w:bottom="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three months ended September 30, 2022 and earnings from operations of approximately $300,000 for the six months ended September 30, 2022 attributable to sales of inventory from Houston and Loudon where the fixed assets were not acquired. The Company recorded transaction specific costs of approximately $460,000 and $1,212,000 in the three month and six month periods ended September 30, 2022 as a component of "Selling, general and administrative" expenses on the Condensed Consolidated Statements of Operations. Information about the debt issuance costs associated with the acquisition financing is provided in Note 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INVENTORIES</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inventory values by product group follows: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30, 2022</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Coil Inventory</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75,353,312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50,482,022</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Non-Standard Coil Inventory</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505,497</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1,063,374</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Tubular Raw Material</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8,996,488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9,049,598</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Tubular Finished Goods</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3,738,653</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7,351,128</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88,593,950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67,946,122</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Tubular raw material inventory consists of hot-rolled steel coils that the Company will manufacture into pipe. Tubular finished goods inventory consists of pipe the Company has manufactured.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DEBT</w:t>
      </w:r>
    </w:p>
    <w:p>
      <w:pPr>
        <w:spacing w:after="0" w:line="225"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On June 22, 2021, the Small Business Administration authorized full forgiveness of the Company's Paycheck Protection Program loan. The gain of $1,706,614 from this extinguishment of debt included both principal and interest and is recorded as a component of "Other income (loss), net" on the Company's Condensed Consolidated Statement of Operations for the six months ended September 30, 2021.</w:t>
      </w:r>
    </w:p>
    <w:p>
      <w:pPr>
        <w:spacing w:after="0" w:line="176"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providing for a $10 million revolving line of credit facility (the "Interim Credit Facility) with JPMorgan Chase Bank, N.A. (the "Bank").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("ABL Facility") with the Bank that amended and restated the Interim Credit Facility and provided for asset-based revolving loans in an aggregate principal amount up to $40 million. On March 11, 2022, the Company executed a first amendment to the ABL Facility which increased the size of the facility from $40 million to $75 million. On April 29, 2022, the Company entered into a Second Amendment to the ABL Facility. The Second Amendment increased the revolving loans available under the ABL facility from an aggregate principal amount of up to $75 million to an aggregate principal amount of up to $150 million. On July 6, 2022, the Company entered into a Third Amendment to the ABL Facility. The Third Amendment to the ABL Facility provided for the syndication of the asset-based revolving loans available thereunder with BMO Harris Bank, N.A. ("BMO") with JPMorgan Chase Bank serving as the arranging agent (the "Agent"). The Third Amendment also amended provisions of the ABL Facility authorizing the Agent to make protective advances under the ABL Facility and added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one-third syndicated participant in the Company's ABL facility.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September 30, 2022, the Company had a balance of $36,219,441 under the ABL Facility with an applicable interest rate of 3.04%. At September 30, 2022, the Company's applicable borrowing base calculation supported access to $114 million of the ABL Facility.</w:t>
      </w:r>
    </w:p>
    <w:p>
      <w:pPr>
        <w:spacing w:after="0" w:line="20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$239,887 in connection with the Second Amendment to the ABL Facility and $154,000 in connection with the Third Amendment to the ABL Facility. The Company recorded these debt issuance costs as non-current other assets and will amortize these costs on an equal monthly basis over the remaining term of the ABL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E — LEASES</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was assigned an operating lease associated with the real property and leasehold improvements for the Granite City, IL facility acquired from Plateplus pursuant to the Transaction disclosed in Note B. The current lease expires August 31, 2023 but contains a 20 year extension option in favor of the Company which the Company expects to exercise. The lease calls for quarterly rental payments of $18,832. The Company recognized an initial right-of-use ("ROU") asset and lease liability of $1,237,097 during the June 30, 2022 quarter related to this lease. The anticipated 20 year extension of this lease is included in the ROU asset and lease liability calculation. The Company’s lease of its office space in Longview, Texas is the only other operating lease included in the Company's ROU assets and lease liabilities. The lease calls for monthly rent payments of $4,878 and expires on April 30, 2024. The Company’s other operating leases for items such as IT equipment and storage space are either short-term in nature or immaterial.</w:t>
      </w:r>
    </w:p>
    <w:p>
      <w:pPr>
        <w:spacing w:after="0" w:line="18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October 2019, the Company received a new heavy-duty forklift under a 5-year finance lease arrangement with a financed amount of $518,616 and a monthly payment of $9,074.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for the three and six months ended September 30, 2022 and 2021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39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ROU asset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25,610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52,092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51,097</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1,613</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3,349</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60,654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29,268</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60,689</w:t>
            </w:r>
          </w:p>
        </w:tc>
        <w:tc>
          <w:tcPr>
            <w:tcW w:w="20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41,857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83,714</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September 30, 2022 and March 31, 2022:</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1,306,267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455,948</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Property, plant &amp; equipment</w:t>
            </w:r>
          </w:p>
        </w:tc>
      </w:tr>
      <w:tr>
        <w:trPr>
          <w:trHeight w:val="209"/>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1,749,249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569,116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104,689</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160,869</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378,726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2022, the weighted-average remaining lease term was 19.6 years for operating leases and 2 years for finance leases. The weighted average discount rate was 2.7% for operating leases and 1.9% for finance leases.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September 30,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66,931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54,446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133,863</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108,892</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80,205</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54,446</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75,327</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and beyond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1,311,941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1,668,267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217,784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(349,691)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(4,318)</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8"/>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1,318,576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213,466</w:t>
            </w:r>
          </w:p>
        </w:tc>
        <w:tc>
          <w:tcPr>
            <w:tcW w:w="860" w:type="dxa"/>
            <w:vAlign w:val="bottom"/>
          </w:tcPr>
          <w:p>
            <w:pPr>
              <w:spacing w:after="0"/>
              <w:rPr>
                <w:sz w:val="19"/>
                <w:szCs w:val="19"/>
                <w:color w:val="auto"/>
              </w:rPr>
            </w:pPr>
          </w:p>
        </w:tc>
      </w:tr>
      <w:tr>
        <w:trPr>
          <w:trHeight w:val="414"/>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PROPERTY, PLANT AND EQUIPMENT</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would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with an annual rental payment of $1. The facility is equipped with a stretcher leveler cut-to-length line that is capable of handling material up to 1” thick, widths up to 96” and yields exceeding 100,000 psi. The Company put the facility into service at the end of October 2022 and estimates the total cost of the project to be approximately $22 million. At September 30, 2022, the Company's construction in process related to the Sinton project was $22,035,059 consisting of $13,834,826 in cash payments and $8,200,233 of accrued capital expenditures.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STOCK BASED COMPENSATION</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("RSUs") for the six months ended September 30, 2022:</w:t>
      </w:r>
    </w:p>
    <w:p>
      <w:pPr>
        <w:sectPr>
          <w:pgSz w:w="11900" w:h="16838" w:orient="portrait"/>
          <w:cols w:equalWidth="0" w:num="1">
            <w:col w:w="11240"/>
          </w:cols>
          <w:pgMar w:left="320" w:top="121" w:right="339" w:bottom="4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March 31, 2022</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September 30,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139,523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5.96</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09"/>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40" w:space="720"/>
            <w:col w:w="3880"/>
          </w:cols>
          <w:pgMar w:left="320" w:top="121" w:right="339" w:bottom="457" w:gutter="0" w:footer="0" w:header="0"/>
          <w:type w:val="continuous"/>
        </w:sect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measures compensation expense for RSUs at the market price of the common stock as of the grant date. Compensation expense is recognized over the requisite service period applicable to each award. The Company recorded compensation expense of $146,306 and $247,741 in the six months ended September 30, 2022 and 2021, respectively, relating to the RSUs issued under the Plan. As of September 30, 2022, unrecognized compensation expense related to unvested RSUs was approximately $399,000, which is expected to be recognized over a weighted average period of approximately 1.9 years. As of September 30, 2022, a total of 130,185 shares were still available to be issued under the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DERIVATIVE FINANCIAL INSTRUMENTS</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1" w:right="339" w:bottom="457"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57"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At September 30, 2022 and March 31, 2022, the Company held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the three and six months ended September 30, 2022,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September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2,958,720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3,102,160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2022:</w:t>
      </w:r>
    </w:p>
    <w:p>
      <w:pPr>
        <w:sectPr>
          <w:pgSz w:w="11900" w:h="16838" w:orient="portrait"/>
          <w:cols w:equalWidth="0" w:num="1">
            <w:col w:w="11240"/>
          </w:cols>
          <w:pgMar w:left="320" w:top="121" w:right="339" w:bottom="3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color w:val="auto"/>
        </w:rPr>
        <w:t>Derivatives designated as cash flow hedges:</w:t>
      </w:r>
    </w:p>
    <w:p>
      <w:pPr>
        <w:spacing w:after="0" w:line="1"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Hot-rolled coil steel contracts hedging sales</w:t>
      </w:r>
    </w:p>
    <w:p>
      <w:pPr>
        <w:spacing w:after="0" w:line="17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r>
      <w:tr>
        <w:trPr>
          <w:trHeight w:val="232"/>
        </w:trPr>
        <w:tc>
          <w:tcPr>
            <w:tcW w:w="2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6"/>
        </w:trPr>
        <w:tc>
          <w:tcPr>
            <w:tcW w:w="2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2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-273685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137160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2920" w:space="120"/>
            <w:col w:w="8200"/>
          </w:cols>
          <w:pgMar w:left="320" w:top="121" w:right="339" w:bottom="312" w:gutter="0" w:footer="0" w:header="0"/>
          <w:type w:val="continuous"/>
        </w:sectPr>
      </w:pPr>
    </w:p>
    <w:tbl>
      <w:tblPr>
        <w:tblLayout w:type="fixed"/>
        <w:tblInd w:w="180" w:type="dxa"/>
        <w:tblCellMar>
          <w:top w:w="0" w:type="dxa"/>
          <w:left w:w="0" w:type="dxa"/>
          <w:bottom w:w="0" w:type="dxa"/>
          <w:right w:w="0" w:type="dxa"/>
        </w:tblCellMar>
      </w:tblPr>
      <w:tr>
        <w:trPr>
          <w:trHeight w:val="198"/>
        </w:trPr>
        <w:tc>
          <w:tcPr>
            <w:tcW w:w="2540" w:type="dxa"/>
            <w:vAlign w:val="bottom"/>
          </w:tcPr>
          <w:p>
            <w:pPr>
              <w:spacing w:after="0"/>
              <w:rPr>
                <w:sz w:val="17"/>
                <w:szCs w:val="17"/>
                <w:color w:val="auto"/>
              </w:rPr>
            </w:pPr>
          </w:p>
        </w:tc>
        <w:tc>
          <w:tcPr>
            <w:tcW w:w="2600" w:type="dxa"/>
            <w:vAlign w:val="bottom"/>
          </w:tcPr>
          <w:p>
            <w:pPr>
              <w:jc w:val="center"/>
              <w:ind w:left="210"/>
              <w:spacing w:after="0" w:line="199"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assets</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4,240,740</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5,524,020</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2022 and March 31, 2022, the Company reported $743,380 and $933,200, respectively, in "Other current assets" on its Consolidated Balance Sheets related to futures contracts which were closed but were pending cash settlement.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did not have any open cash flow hedges at September 30, 2022.</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gain (loss) recognized in other comprehensive income and the gain (loss) reclassified from accumulated other comprehensive loss into earnings for derivative financial instruments designated as cash flow hedges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Pre- Tax Gain</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Pre-Tax Gain</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(Loss) Reclassified</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from</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AOCI into Net</w:t>
            </w:r>
          </w:p>
        </w:tc>
      </w:tr>
      <w:tr>
        <w:trPr>
          <w:trHeight w:val="238"/>
        </w:trPr>
        <w:tc>
          <w:tcPr>
            <w:tcW w:w="54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Recognized in OCI</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AOCI into Net Earnings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September 30, 2022:</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590,380</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(1,490,360)</w:t>
            </w:r>
          </w:p>
        </w:tc>
      </w:tr>
      <w:tr>
        <w:trPr>
          <w:trHeight w:val="25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September 30, 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1,557,820</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(3,086,780)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9,001,500</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1,557,820</w:t>
            </w: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5,914,720</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 the six months ended September 30, 2022:</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9,423,740</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(2,116,540)</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9,423,740</w:t>
            </w: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(2,116,540)</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 the six months ended September 30, 2021: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(20,013,560)</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(8,184,800)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10,583,700</w:t>
            </w:r>
          </w:p>
        </w:tc>
      </w:tr>
      <w:tr>
        <w:trPr>
          <w:trHeight w:val="249"/>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estimated amount of net losses recognized in AOCI at September 30, 2022 expected to be reclassified into net earnings (loss) within the succeeding twelve months is $1,999,420 with all of this amount associated with closed hedges.</w:t>
      </w:r>
    </w:p>
    <w:p>
      <w:pPr>
        <w:sectPr>
          <w:pgSz w:w="11900" w:h="16838" w:orient="portrait"/>
          <w:cols w:equalWidth="0" w:num="1">
            <w:col w:w="11240"/>
          </w:cols>
          <w:pgMar w:left="320" w:top="121" w:right="339" w:bottom="312"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1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recognized in earnings for derivative instruments not designated as hedging instruments during the three and six months ended September 30, 2022:</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3,749,420</w:t>
            </w:r>
          </w:p>
        </w:tc>
      </w:tr>
      <w:tr>
        <w:trPr>
          <w:trHeight w:val="410"/>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6,503,660</w:t>
            </w:r>
          </w:p>
        </w:tc>
      </w:tr>
    </w:tbl>
    <w:p>
      <w:pPr>
        <w:spacing w:after="0" w:line="198"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losses recognized in earnings for derivative instruments not designated as hedging instruments during the three and six months ended September 30, 2021:</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(6,830,780)</w:t>
            </w:r>
          </w:p>
        </w:tc>
      </w:tr>
      <w:tr>
        <w:trPr>
          <w:trHeight w:val="410"/>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(8,219,740)</w:t>
            </w:r>
          </w:p>
        </w:tc>
      </w:tr>
    </w:tbl>
    <w:p>
      <w:pPr>
        <w:spacing w:after="0" w:line="19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notional amount (quantity) of our derivative instruments not designated as hedging instruments at September 30, 2022 consisted of 5,160 tons of long positions with maturity dates ranging from October 2022 to December 2022 and 41,460 tons of short positions with maturity dates ranging from October 2022 to December 2023.</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change in accumulated other comprehensive income (loss), net of tax, for the periods presented:</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(10,268,509)</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7,146,966</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1,605,184</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8,752,150</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(1,516,359)</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56"/>
        <w:spacing w:after="0" w:line="282" w:lineRule="auto"/>
        <w:tabs>
          <w:tab w:leader="none" w:pos="9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$511,356 which are included in the provision for (benefit from) income taxes on the Company's Consolidated Statement of Operations for the six months ended September 30, 2022.</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(11,187,841)</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(15,178,284)</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5,712,132</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(9,466,152)</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(20,653,993)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20" w:firstLine="656"/>
        <w:spacing w:after="0" w:line="28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$1,819,688 which are included in the provision for (benefit from) income taxes on the Company's Consolidated Statement of Operations for the six months ended September 30, 2021.</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September 30, 2022 and March 31, 2022, cash of $2,228,051 and $13,523,416, respectively, was held by our clearing agent to collateralize our open derivative positions. These cash requirements are included in "Other current assets" on the Company's Consolidated Balance Sheets at September 30, 2022 and March 31, 2022.</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MEASUREMENTS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2022,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(143,440)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(143,440)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(143,440)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2022,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(10,188,780)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(10,188,780)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(10,188,780)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(10,188,780)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560" w:hanging="5039"/>
        <w:spacing w:after="0" w:line="532" w:lineRule="auto"/>
        <w:rPr>
          <w:sz w:val="20"/>
          <w:szCs w:val="20"/>
          <w:color w:val="auto"/>
        </w:rPr>
      </w:pPr>
      <w:r>
        <w:rPr>
          <w:rFonts w:ascii="Times New Roman" w:cs="Times New Roman" w:eastAsia="Times New Roman" w:hAnsi="Times New Roman"/>
          <w:sz w:val="18"/>
          <w:szCs w:val="18"/>
          <w:color w:val="auto"/>
        </w:rPr>
        <w:t>At September 30, 2022 and March 31, 2022, the Company did not have any fair value measurements on a non-recurring basis.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J — SEGMENT INFORMATION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Coil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129,722</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78,324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272,599</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131,019</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19,970</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14,247</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38,896</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27,468</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149,692</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92,571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311,495</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158,487</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Coil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820" w:type="dxa"/>
            <w:vAlign w:val="bottom"/>
            <w:tcBorders>
              <w:left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37,529</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3,341</w:t>
            </w:r>
          </w:p>
        </w:tc>
        <w:tc>
          <w:tcPr>
            <w:tcW w:w="4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1,997</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4,598</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profit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2,223</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26,270</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42,127</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2,152</w:t>
            </w:r>
          </w:p>
        </w:tc>
        <w:tc>
          <w:tcPr>
            <w:tcW w:w="4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1,866</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3,742</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3,756</w:t>
            </w:r>
          </w:p>
        </w:tc>
        <w:tc>
          <w:tcPr>
            <w:tcW w:w="4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(6,840)</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(6,528)</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3,206</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820" w:type="dxa"/>
            <w:vAlign w:val="bottom"/>
            <w:tcBorders>
              <w:left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31,761</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Coil</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115,232</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24,017</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139,249</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20,026</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211,847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159,275</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Operating profit is total net sales less operating expenses, excluding general corporate expenses,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(loss) for the three and six month periods ended September 30, 2022 consisted primarily of gains related to derivatives not designated for hedge accounting of $3,749,420 and $6,503,660, respectively. Other income (loss) for the three months ended September 30, 2021 consisted primarily of a $6,830,780 loss related to derivatives not designated for hedge accounting. Other income (loss) for the six months ended September 30, 2021 consisted primarily of a $8,219,740 loss related to derivatives not designated for hedge accounting partially offset by a $1,706,614 gain from the PPP Loan forgiveness. Corporate assets consist primarily of cash, restricted cash and the cash value of officers’ life insurance. Although inventory is transferred at cost between product groups, there are no sales between product groups.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REVENUE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manufacturing and distributing steel pipe. Tubular segment revenue has consisted of two main product types: Manufactured Pipe and Mill Reject Pipe. In March 2020, U.S. Steel announced the idling of their Lone Star Tubular Operations which was the Company's sole supplier of mill reject pipe. U.S. Steel's facility was idled as announced and the Company's receipts of mill reject pipe ceased in August 2020. At June 30, 2022, the Company was sold out of mill reject pipe so manufactured pipe was the sole revenue stream for the tubular segment for the three months ended September 30, 2022. The Company has expanded its focus on manufactured pipe sales to counteract the impact of mill reject pipe revenue concluding. The following table disaggregates our revenue by product for each of our reportable business segments for the three and six months ended September 30, 2022 and 2021, respectively:</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Coil Segment:</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Prime Coil</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128,502,733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74,928,149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269,483,087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124,507,742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Non-standard Coil</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891,625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3,028,787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2,422,931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5,851,990</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Customer Owned Coil</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693,167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658,925</w:t>
            </w:r>
          </w:p>
        </w:tc>
        <w:tc>
          <w:tcPr>
            <w:tcW w:w="80" w:type="dxa"/>
            <w:vAlign w:val="bottom"/>
          </w:tcPr>
          <w:p>
            <w:pPr>
              <w:spacing w:after="0"/>
              <w:rPr>
                <w:sz w:val="18"/>
                <w:szCs w:val="18"/>
                <w:color w:val="auto"/>
              </w:rPr>
            </w:pPr>
          </w:p>
        </w:tc>
      </w:tr>
      <w:tr>
        <w:trPr>
          <w:trHeight w:val="250"/>
        </w:trPr>
        <w:tc>
          <w:tcPr>
            <w:tcW w:w="2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129,722,213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78,323,927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272,599,185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131,018,657</w:t>
            </w:r>
          </w:p>
        </w:tc>
      </w:tr>
      <w:tr>
        <w:trPr>
          <w:trHeight w:val="196"/>
        </w:trPr>
        <w:tc>
          <w:tcPr>
            <w:tcW w:w="24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8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Manufactured Pipe</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19,970,196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11,376,626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38,442,294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20,983,436</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Mill Reject Pipe</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2,870,342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454,020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6,485,241</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19,970,196</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14,246,968</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38,896,314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27,468,677</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STOCKHOLDERS’ EQUITY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tables reflect the changes in stockholders’ equity for each of the six months ended September 30, 2022 and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820"/>
              <w:spacing w:after="0" w:line="191" w:lineRule="exact"/>
              <w:rPr>
                <w:sz w:val="20"/>
                <w:szCs w:val="20"/>
                <w:color w:val="auto"/>
              </w:rPr>
            </w:pPr>
            <w:r>
              <w:rPr>
                <w:rFonts w:ascii="Times New Roman" w:cs="Times New Roman" w:eastAsia="Times New Roman" w:hAnsi="Times New Roman"/>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8,344,975</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(10,268,509)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30,442,361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(7,741,197)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58,909,018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79,686,648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11,184,374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11,184,374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7,174,117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7,174,117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73,153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 Plateplus business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516,041</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4,267,659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4,783,700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(157,694)</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8,861,016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(3,094,392)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34,783,173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(7,770,465)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69,935,698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102,715,030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2,470,908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2,470,908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1,578,033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1,578,033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(147,372)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(147,372)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shd w:val="clear" w:color="auto" w:fill="CCEEFF"/>
          </w:tcPr>
          <w:p>
            <w:pPr>
              <w:ind w:left="820"/>
              <w:spacing w:after="0" w:line="191" w:lineRule="exact"/>
              <w:rPr>
                <w:sz w:val="20"/>
                <w:szCs w:val="20"/>
                <w:color w:val="auto"/>
              </w:rPr>
            </w:pPr>
            <w:r>
              <w:rPr>
                <w:rFonts w:ascii="Times New Roman" w:cs="Times New Roman" w:eastAsia="Times New Roman" w:hAnsi="Times New Roman"/>
                <w:sz w:val="18"/>
                <w:szCs w:val="18"/>
                <w:color w:val="auto"/>
              </w:rPr>
              <w:t>BALANCE AT SEPTEMBER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8,861,016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(1,516,359)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34,856,326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(7,770,465)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72,259,234</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106,689,752</w:t>
            </w: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820"/>
              <w:spacing w:after="0" w:line="194" w:lineRule="exact"/>
              <w:rPr>
                <w:sz w:val="20"/>
                <w:szCs w:val="20"/>
                <w:color w:val="auto"/>
              </w:rPr>
            </w:pPr>
            <w:r>
              <w:rPr>
                <w:rFonts w:ascii="Times New Roman" w:cs="Times New Roman" w:eastAsia="Times New Roman" w:hAnsi="Times New Roman"/>
                <w:sz w:val="18"/>
                <w:szCs w:val="18"/>
                <w:color w:val="auto"/>
              </w:rPr>
              <w:t>30, 2022</w:t>
            </w:r>
          </w:p>
        </w:tc>
        <w:tc>
          <w:tcPr>
            <w:tcW w:w="1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80" w:type="dxa"/>
            <w:vAlign w:val="bottom"/>
            <w:gridSpan w:val="2"/>
            <w:shd w:val="clear" w:color="auto" w:fill="CCEEFF"/>
          </w:tcPr>
          <w:p>
            <w:pPr>
              <w:ind w:left="820"/>
              <w:spacing w:after="0" w:line="191" w:lineRule="exact"/>
              <w:rPr>
                <w:sz w:val="20"/>
                <w:szCs w:val="20"/>
                <w:color w:val="auto"/>
              </w:rPr>
            </w:pPr>
            <w:r>
              <w:rPr>
                <w:rFonts w:ascii="Times New Roman" w:cs="Times New Roman" w:eastAsia="Times New Roman" w:hAnsi="Times New Roman"/>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2021</w:t>
            </w:r>
          </w:p>
        </w:tc>
        <w:tc>
          <w:tcPr>
            <w:tcW w:w="20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8,334,785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(11,187,841)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30,003,462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(7,203,342)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45,392,912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65,339,976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11,311,797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11,311,797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(13,693,337)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(13,693,337)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(137,865)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8,334,785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(24,881,178)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30,125,166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(7,203,342)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56,566,844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62,942,275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13,177,614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13,177,614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4,227,185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4,227,185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126,037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(138,110)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820"/>
              <w:spacing w:after="0" w:line="191" w:lineRule="exact"/>
              <w:rPr>
                <w:sz w:val="20"/>
                <w:szCs w:val="20"/>
                <w:color w:val="auto"/>
              </w:rPr>
            </w:pPr>
            <w:r>
              <w:rPr>
                <w:rFonts w:ascii="Times New Roman" w:cs="Times New Roman" w:eastAsia="Times New Roman" w:hAnsi="Times New Roman"/>
                <w:sz w:val="18"/>
                <w:szCs w:val="18"/>
                <w:color w:val="auto"/>
              </w:rPr>
              <w:t>BALANCE AT SEPTEMBER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8,340,785</w:t>
            </w:r>
          </w:p>
        </w:tc>
        <w:tc>
          <w:tcPr>
            <w:tcW w:w="2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(20,653,993)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30,245,203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(7,203,342)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69,606,348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80,335,001</w:t>
            </w:r>
          </w:p>
        </w:tc>
        <w:tc>
          <w:tcPr>
            <w:tcW w:w="0" w:type="dxa"/>
            <w:vAlign w:val="bottom"/>
          </w:tcPr>
          <w:p>
            <w:pPr>
              <w:spacing w:after="0"/>
              <w:rPr>
                <w:sz w:val="1"/>
                <w:szCs w:val="1"/>
                <w:color w:val="auto"/>
              </w:rPr>
            </w:pPr>
          </w:p>
        </w:tc>
      </w:tr>
      <w:tr>
        <w:trPr>
          <w:trHeight w:val="194"/>
        </w:trPr>
        <w:tc>
          <w:tcPr>
            <w:tcW w:w="3280" w:type="dxa"/>
            <w:vAlign w:val="bottom"/>
            <w:gridSpan w:val="2"/>
          </w:tcPr>
          <w:p>
            <w:pPr>
              <w:ind w:left="820"/>
              <w:spacing w:after="0" w:line="194" w:lineRule="exact"/>
              <w:rPr>
                <w:sz w:val="20"/>
                <w:szCs w:val="20"/>
                <w:color w:val="auto"/>
              </w:rPr>
            </w:pPr>
            <w:r>
              <w:rPr>
                <w:rFonts w:ascii="Times New Roman" w:cs="Times New Roman" w:eastAsia="Times New Roman" w:hAnsi="Times New Roman"/>
                <w:sz w:val="18"/>
                <w:szCs w:val="18"/>
                <w:color w:val="auto"/>
              </w:rPr>
              <w:t>30, 2021</w:t>
            </w: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tax effects on each component of Other Comprehensive Income (Loss)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(502,707)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1,578,033</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2,080,740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(502,707)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1,578,033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5,573,820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(1,346,635)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4,227,185</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5,573,820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(1,346,635)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4,227,185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 September 30, 2022</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11,540,280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(2,788,130)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8,752,150</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11,540,280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(2,788,130)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8,752,150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 September 30, 2021</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(12,481,740)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3,015,588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(9,466,152)</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(12,481,740)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3,015,588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(9,466,152)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2,470,908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13,177,614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13,655,282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24,489,411</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Allocation to unvested restricted stock</w:t>
            </w:r>
          </w:p>
        </w:tc>
        <w:tc>
          <w:tcPr>
            <w:tcW w:w="2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42,249</w:t>
            </w:r>
          </w:p>
        </w:tc>
        <w:tc>
          <w:tcPr>
            <w:tcW w:w="4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608,873</w:t>
            </w: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236,244</w:t>
            </w:r>
          </w:p>
        </w:tc>
        <w:tc>
          <w:tcPr>
            <w:tcW w:w="2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1,124,767</w:t>
            </w:r>
          </w:p>
        </w:tc>
        <w:tc>
          <w:tcPr>
            <w:tcW w:w="0" w:type="dxa"/>
            <w:vAlign w:val="bottom"/>
          </w:tcPr>
          <w:p>
            <w:pPr>
              <w:spacing w:after="0"/>
              <w:rPr>
                <w:sz w:val="1"/>
                <w:szCs w:val="1"/>
                <w:color w:val="auto"/>
              </w:rPr>
            </w:pPr>
          </w:p>
        </w:tc>
      </w:tr>
      <w:tr>
        <w:trPr>
          <w:trHeight w:val="22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2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earnings attributable to common</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2,428,659</w:t>
            </w:r>
          </w:p>
        </w:tc>
        <w:tc>
          <w:tcPr>
            <w:tcW w:w="44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8"/>
              </w:rPr>
              <w:t>12,568,741</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13,419,038</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23,364,644</w:t>
            </w:r>
          </w:p>
        </w:tc>
        <w:tc>
          <w:tcPr>
            <w:tcW w:w="0" w:type="dxa"/>
            <w:vAlign w:val="bottom"/>
          </w:tcPr>
          <w:p>
            <w:pPr>
              <w:spacing w:after="0"/>
              <w:rPr>
                <w:sz w:val="1"/>
                <w:szCs w:val="1"/>
                <w:color w:val="auto"/>
              </w:rPr>
            </w:pPr>
          </w:p>
        </w:tc>
      </w:tr>
      <w:tr>
        <w:trPr>
          <w:trHeight w:val="194"/>
        </w:trPr>
        <w:tc>
          <w:tcPr>
            <w:tcW w:w="33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shareholders</w:t>
            </w:r>
          </w:p>
        </w:tc>
        <w:tc>
          <w:tcPr>
            <w:tcW w:w="2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7,243,080</w:t>
            </w:r>
          </w:p>
        </w:tc>
        <w:tc>
          <w:tcPr>
            <w:tcW w:w="4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6,584,912</w:t>
            </w: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7,157,073</w:t>
            </w:r>
          </w:p>
        </w:tc>
        <w:tc>
          <w:tcPr>
            <w:tcW w:w="2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6,584,912</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right="64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 periods ended September 30, 2022 and 2021, the Company allocated dividends and undistributed earnings to the unvested restricted stock units.</w:t>
      </w:r>
    </w:p>
    <w:p>
      <w:pPr>
        <w:spacing w:after="0" w:line="162" w:lineRule="exact"/>
        <w:rPr>
          <w:sz w:val="20"/>
          <w:szCs w:val="20"/>
          <w:color w:val="auto"/>
        </w:rPr>
      </w:pPr>
    </w:p>
    <w:p>
      <w:pPr>
        <w:ind w:left="160" w:right="300" w:firstLine="324"/>
        <w:spacing w:after="0" w:line="282" w:lineRule="auto"/>
        <w:rPr>
          <w:sz w:val="20"/>
          <w:szCs w:val="20"/>
          <w:color w:val="auto"/>
        </w:rPr>
      </w:pPr>
      <w:r>
        <w:rPr>
          <w:rFonts w:ascii="Times New Roman" w:cs="Times New Roman" w:eastAsia="Times New Roman" w:hAnsi="Times New Roman"/>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7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34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33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76,811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263,552</w:t>
            </w:r>
          </w:p>
        </w:tc>
        <w:tc>
          <w:tcPr>
            <w:tcW w:w="14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73,211</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254,759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SUPPLEMENTAL CASH FLOW INFORMATION</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paid interest of approximately $557,000 during the six months ended September 30, 2022 and $96,000 during the six months ended September 30, 2021. The Company paid income taxes of approximately $400,000 during the six months ended September 30, 2022 and paid income taxes of approximately $5,645,000 during the six months ended September 30, 2021. At September 30, 2022, the “Construction in process” balance of $22,035,059 consisted of non-cash investing activities of $8,200,233 in accrued capital expenditures for which cash outlay had not occurred. During the six months ended September 30, 2022, the Company issued 516,041 shares of common stock as part of the Plateplus business combination resulting in non-cash investing activity of $4,783,700.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 — INCOME TAXES</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For the six months ended September 30, 2022, the Company recorded an income tax provision of $4,207,693, or 23.6% of earnings before income taxes, compared to an income tax provision of $7,271,580, or 22.9% of earnings before income taxes for the six months ended September 30, 2021. For the six months ended September 30, 2022, the effective tax rate differed from the federal statutory rate due primarily to the inclusion of state tax expenses in the provision. For the six months ended September 30, 2021, the Company’s effective tax rate differed from the federal statutory rate due to a combination of the inclusion of state tax expenses in the provision and the exclusion of the non-taxable gain associated with forgiveness of the Company’s PPP Loan from the provision.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steel products and operates in two reportable segments; coil products and tubular products.</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coil product segment includes the operation of five hot-rolled coil processing facilities located in Hickman, AR; Decatur, AL; Granite City, IL; East Chicago, IN and Sinton, TX. The facilities in Granite City and East Chicago were acquired on April 30, 2022 from Plateplus, Inc ("Plateplus"). More information about the Plateplus transaction can be found in Note B to the Company's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improves the flatness and surface quality of the coils and cuts the coils into sheet and plate of prescribed lengths. On a combined basis, the facilities are capable of cutting sheet and plate with thicknesses ranging from 16 gauge to 1” thick in widths ranging from 36” wide to 96” wide.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discussed above, the Company commenced operations at its new facility in Sinton, Texas in October 2022 which is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The facility is equipped with one of the world’s largest stretcher leveler cut-to-length lines, capable of handling material up to 1” thick, widths up to 96” and yields exceeding 100,000 psi. The total cost of the project is estimated to be $22 million. At September 30, 2022, the Company's construction in process related to the Sinton project was $22,035,059 consisting of $13,834,826 in cash payments and $8,200,233 of accrued capital expenditures. The Company expects to fund the remainder of the Sinton capital expenditure through a combination of cash generated from operations and funds drawn under the ABL Facility. The Company expects the remainder of fiscal 2023 to be a ramp up period for the facility and then expects the facility’s annual shipments could be in the range of 110,000 tons to 140,000 tons for fiscal 2024.</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TTP’s inventory consists of raw materials and finished goods. Raw material inventory consists of hot-rolled steel coils that TTP will manufacture into pipe. Finished goods inventory consists of pipe TTP has manufactured.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September 30, 2022 Compared to Six Months Ended September 30, 2021</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During the six months ended September 30, 2022 (the “2022 period”), sales and costs of goods sold increased $153,008,165 and $176,682,762, respectively, and gross profit decreased $23,674,597 compared to the amounts recorded during the six months ended September 30, 2021 (the “2021 period”). The increase in sales was primarily related to an increase in tons sold. Tons sold increased from approximately 108,500 tons in the 2021 period to approximately 221,500 tons in the 2022 period. The significant growth in sales volume was related to the acquisition of facilities and inventory from Plateplus, Inc. which is discussed in more detail in Note B to the Company's Financial Statements. Discussion of the change in sales is expanded upon at the segment level in the following paragraphs. Gross profit decreased from approximately $47,024,917 for the 2021 period to approximately $23,350,320 for the 2022 period. Gross profit as a percentage of sales decreased from approximately 29.7% for the 2021 period to approximately 7.5% for the 2022 period. Gross profit for the 2022 period included $2,116,540 in recognized losses related to hedging activities while gross profit for the 2021 period included $2,398,900 in recognized net gains related to hedging activities. Excluding the recognized hedging gains and losses, gross profit related to physical material as a percentage of sales was approximately 8.1% for the 2022 period compared to approximately 26.8% for the 2021 period.</w:t>
      </w:r>
    </w:p>
    <w:p>
      <w:pPr>
        <w:spacing w:after="0" w:line="19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hot-rolled steel coil ("HRC"). The Company experienced significant volatility in steel price during both the 2022 period and the 2021 period. HRC prices were on a historic rise entering the 2021 period that continued until reaching an all-time high of approximately $1,950 per ton at the end of August 2021. These circumstances created a high margin environment during the 2021 period in a period of historically high steel prices. From September 2021 to February 2022, HRC prices declined approximately 52% until the Russian invasion of Ukraine triggered a sharp and abrupt increase. HRC prices increased approximately 60% from the beginning of March 2022 to the end of April 2022 and then declined approximately 47% by the end of the 2022 period. These circumstances created strong margins to start the 2022 period and then margin compression for the remainder of the 2022 period.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Coil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Coil product segment sales for the 2022 period totaled $272,599,185 compared to $131,018,657 for the 2021 period. For a more complete understanding of the average selling prices of goods sold, it is helpful to exclude any hedging related gains or losses that are captured in sales and any sales generated from processing of customer owned material. Coil segment sales for the 2022 period were reduced by $2,116,540 for the recognition of hedging related losses. Coil segment sales for the 2021 period were reduced by $7,751,460 for the recognition of hedging related losses. Sales generated from processing of customer owned material totaled $693,167 for the 2022 period compared to $658,925 for the 2021 period. Sales generated from coil segment inventory, excluding the impact of any hedging related gains or losses, totaled $274,022,558 for the 2022 period compared to $138,111,192 for the 2021 period. The average per ton selling price related to these shipments decreased from approximately $1,681 per ton in the 2021 period to approximately $1,367 per ton in the 2022 period. Inventory tons sold increased from approximately 82,000 tons in the 2021 period to approximately 200,500 tons in the 2022 period. The significant increase in sales volume was primarily attributable to the facilities and inventory acquired from Plateplus which account for approximately 119,000 tons of the 200,500 tons sold in the 2022 period. Coil segment operations recorded operating profits of approximately $12,425,000 and $37,529,000 for the 2022 period and 2021 period, respectively. The operating profit for the 2022 period includes recognized net losses on hedging activities of $2,116,540 while the 2021 period operating profit included recognized net gains on hedging activities of $2,609,000.</w:t>
      </w:r>
    </w:p>
    <w:p>
      <w:pPr>
        <w:spacing w:after="0" w:line="19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coil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Tubular product segment sales for the 2022 period totaled $38,896,314 compared to $27,468,677 for the 2021 period. Sales increased due to an increase in the average selling price per ton, partially offset by a decline in the volume sold. For a more complete understanding of the average selling prices of goods sold, it is helpful to exclude any hedging related gains or losses that are captured in sales. Tubular segment sales for the 2022 period were not impacted by any hedging related gains or losses. Tubular segment sales for the 2021 period were reduced by $433,340 for the recognition of hedging related losses. Sales generated from tubular segment inventory, excluding the impact of any hedging related gains or losses, totaled $38,896,314 for the 2022 period compared to $27,902,017 for the 2021 period. The average per ton selling price related to these shipments increased from approximately $1,060 per ton in the 2021 period to approximately $1,831 per ton in the 2022 period. Tons sold decreased from approximately 26,500 tons in the 2021 period to approximately 21,000 tons in the 2022 period. The decline in sales volume was primarily related to a decline in mill reject pipe sales partially offset by an increase in manufactured pipe sales. U.S. Steel's Lone Star Tubular Operations was the Company's sole source of supply for mill reject pipe. With U.S. Steel's idling of their Lone Star Operations, the Company's receipts of mill reject pipe ceased in August 2020 and the inventory balance started to decline steadily each quarter. The Company sold out of mill reject pipe during the quarter ended June 30, 2022. Mill reject pipe sales volume was approximately 1,000 tons for the 2022 period compared to approximately 13,500 tons for the 2021 period. Manufactured pipe sales volume was approximately 20,000 tons for the 2022 period compared to approximately 13,000 tons for the 2021 period. The average selling price increase was also primarily related to this shift in sales mix between manufactured pipe and mill reject pipe. The selling price associated with manufactured pipe is typically much higher than the selling prices associated with mill reject pipe. The Company will continue to focus on the expansion of its manufactured pipe operations to counteract the impact of mill reject pipe sales ending. The tubular segment recorded operating profits of approximately $5,445,000 and $4,598,000 for the 2022 period and 2021 period, respectively. The operating profit for the 2021 period included recognized net losses on hedging activities of approximately $210,000 while the Company did not have any hedging related gains or losses affecting operating results for the 2022 period.</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2022 period, general, selling and administrative costs increased $2,320,461 compared to the 2021 period. This increase is primarily associated with costs associated with the Plateplus transaction but partially offset by less incentive based compensation expense for the 2022 period. Cost for the 2022 period includes approximately $1,212,000 of one-time expenses related to the Plateplus transaction. Cost for the 2022 period includes approximately $2,344,000 of general, selling and administrative costs for the East Chicago and Granite City locations acquired from Plateplus.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 the 2022 period, the Company reported other income of $6,523,877. This income consists primarily of a $6,503,660 gain on derivative instruments not designated for hedge accounting. For the 2021 period, the Company reported other loss of $6,528,255. This loss consists primarily of a loss of $8,219,740 on derivative instruments not designated for hedge accounting partially offset by a $1,706,614 gain associated with the forgiveness of the Company's Paycheck Protection Program loan.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Income taxes decreased from a provision for the 2021 period of $7,271,580 to a provision for the 2022 period of $4,207,693. This decrease was primarily related to the lower earnings before income tax for the 2022 period but partially offset by the non-taxable treatment of the Paycheck Protection Program loan forgiveness which was recognized as part of earnings before income taxes for the 2021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2022 Compared to Three Months Ended September 30, 2021</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2022 (the “2022 quarter”), sales and costs of goods sold increased $57,121,514 and $82,138,104, respectively, and gross profit decreased $25,016,590 compared to the amounts recorded during the three months ended September 30, 2021 (the “2021 quarter”). The increase in sales was primarily related to an increase in tons sold. Tons sold increased from approximately 54,500 tons in the 2021 quarter to approximately 117,000 tons in the 2022 quarter. The significant growth in sales volume was related to the acquisition of facilities and inventory from Plateplus, Inc. which is discussed in more detail in Note B to the Company's Financial Statements. Discussion of the change in sales is expanded upon at the segment level in the following paragraphs. Gross profit decreased from $29,694,982 for the 2021 quarter to $4,678,392 for the 2022 quarter. Gross profit as a percentage of sales decreased from approximately 32.1% for the 2021 quarter to approximately 3.1% for the 2022 quarter. Gross profit for the 2022 quarter included $1,490,360 in recognized losses related to hedging activities while gross profit for the 2021 quarter included $5,914,720 in recognized net gains related to hedging activities. Excluding the recognized hedging gains and losses, gross profit related to physical material as a percentage of sales was approximately 4.1% for the 2022 quarter compared to approximately 24.9% for the 2021 quarter.</w:t>
      </w:r>
    </w:p>
    <w:p>
      <w:pPr>
        <w:spacing w:after="0" w:line="19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hot-rolled steel coil ("HRC"). The Company experienced significant volatility in steel price during both the 2022 quarter and the 2021 quarter. HRC prices were on a historic rise entering the 2021 quarter that continued until reaching an all-time high of approximately $1,950 per ton at the end of August 2021. These circumstances created a high margin environment during the 2021 quarter in a period of historically high steel prices. From September 2021 to February 2022, HRC prices declined approximately 52% until the Russian invasion of Ukraine triggered a sharp and abrupt increase. HRC prices increased approximately 60% from the beginning of March 2022 to the end of April 2022 and then declined approximately 47% by the end of the 2022 quarter. These circumstances created compressed margins during the 2022 quarter due to the downward trend in HRC prices during the quarter.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Coil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Coil product segment sales for the 2022 quarter totaled $129,722,213 compared to $78,323,927 for the 2021 quarter. For a more complete understanding of the average selling prices of goods sold, it is helpful to exclude any hedging related gains or losses that are captured in sales and any sales generated from processing of customer owned material. Coil segment sales for the 2022 quarter were reduced by $1,490,360 for the recognition of hedging related losses. Coil segment sales for the 2021 quarter were reduced by $3,065,780 for the recognition of hedging related losses. Sales generated from processing of customer owned material totaled $327,855 for the 2022 quarter compared to $366,991 for the 2021 quarter. Sales generated from coil segment inventory, excluding the impact of any hedging related gains or losses, totaled $130,884,718 for the 2022 quarter compared to $81,022,716 for the 2021 quarter. The average per ton selling price related to these shipments decreased from approximately $1,884 per ton in the 2021 quarter to approximately $1,228 per ton in the 2022 quarter. Inventory tons sold increased from approximately 43,000 tons in the 2021 quarter to approximately 106,500 tons in the 2022 quarter. The significant increase in sales volume was primarily attributable to the facilities and inventory acquired from Plateplus which account for approximately 65,000 tons of the 106,500 tons sold in the 2022 quarter. Coil segment operations recorded an operating loss of approximately $1,118,000 for the 2022 quarter compared to an operating profit of approximately $24,273,000 for the 2021 quarter. The operating profit for the 2022 quarter includes recognized net losses on hedging activities of $1,490,360 while the 2021 quarter operating profit included recognized net gains on hedging activities of $5,914,720.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coil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Tubular product segment sales for the 2022 quarter totaled $19,970,196 compared to $14,246,968 for the 2021 quarter. Sales increased due to an increase in the average selling price per ton, offset by a slight decrease in tons sold. For a more complete understanding of the average selling prices of goods sold, it is helpful to exclude any hedging related gains or losses that are captured in sales. Tubular segment sales for the 2022 quarter were not impacted by any hedging related gains or losses. Tubular segment sales for the 2021 quarter were reduced by $21,000 for the recognition of hedging related losses. Sales generated from tubular segment inventory, excluding the impact of any hedging related gains or losses, totaled $19,970,196 for the 2022 quarter compared to $14,267,968 for the 2021 quarter. The average per ton selling price related to these shipments increased from approximately $1,223 per ton in the 2021 quarter to approximately $1,883 per ton in the 2022 quarter. Tons sold decreased from approximately 11,500 tons in the 2021 quarter to approximately 10,500 tons in the 2022 quarter. The decline in sales volume was primarily related to a decline in mill reject pipe sales partially offset by an increase in manufactured pipe sales. U.S. Steel's Lone Star Tubular Operations was the Company's sole source of supply for mill reject pipe. With U.S. Steel's idling of their Lone Star Operations, the Company's receipts of mill reject pipe ceased in August 2020 and the inventory balance started to decline steadily each quarter. The Company sold out of mill reject pipe during the quarter ended June 30, 2022. Mill reject pipe sales were approximately 5,500 tons for the 2021 quarter. All of the 2022 quarter's sales volume of approximately 10,500 tons was from manufactured pipe sales compared to approximately 6,000 tons for the 2021 period.. The average selling price increase was also primarily related to this shift in sales mix between manufactured pipe and mill reject pipe. The selling price associated with manufactured pipe is typically much higher than the selling prices associated with mill reject pipe. The Company will continue to focus on the expansion of its manufactured pipe operations to counteract the impact of mill reject pipe sales ending. The tubular segment recorded operating profits of approximately $3,341,000 and $1,997,000 for the 2022 quarter and 2021 quarter, respectively. The operating profit for the 2021 quarter included recognized net gains on hedging activities of $203,000 while the Company did not have any hedging related gains or losses affecting operating results for the 2022 quarter.</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2022 quarter, general, selling and administrative costs decreased $682,221 compared to the 2021 quarter. This decrease is due primarily to lower incentive related compensation in the 2022 quarter compared to the 2021 quarter. This decrease was mostly offset by increased payroll expenses associated with the additional sales, purchasing and administrative personnel that converted to Friedman employment after the Plateplus transaction and increased professional fees.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For the 2022 quarter, the Company reported other income of $3,756,174. This income consists primarily of a $3,749,420 gain on derivative instruments not designated for hedge accounting. For the 2021 quarter, the Company reported other loss of $6,840,317. This loss consists primarily of a $6,830,780 loss on derivative instruments not designated for hedge accounting.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Income taxes decreased from a provision for the 2021 quarter of $4,314,700 to a provision for the 2022 quarter of $734,609. The decrease in the provision for income taxes is primarily associated with the lower earnings before income taxes for the 2022 quarter.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was 2.3 at September 30, 2022 and 2.1 at March 31, 2022. Working capital was $89,605,688 at September 30, 2022 and $64,551,208 at March 31, 2022.</w:t>
      </w:r>
    </w:p>
    <w:p>
      <w:pPr>
        <w:spacing w:after="0" w:line="16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During the six months ended September 30, 2022, the Company maintained assets and liabilities at levels it believed were commensurate with operations. Changes in balance sheet amounts occurred in the ordinary course of business and due to the transaction with Plateplus described in Note B. Accounts receivable and inventories increased significantly due primarily to the Plateplus transaction. Cash and restricted cash decreased primarily due to the Plateplus acquisition investing activities partially offset by cash generated from the Company's operating activities and by cash provided from the Company's credit facility. The Company expects to continue to monitor, evaluate and manage balance sheet components depending on changes in market conditions and the Company’s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On April 29, 2022, the Company entered into a Second Amendment to its asset-based lending facility ("ABL Facility") provided by JPMorgan Chase Bank, N.A. The Second Amendment increased the revolving loans available under the ABL facility from an aggregate principal amount of up to $75 million to an aggregate principal amount of up to $150 million.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On July 6, 2022, the Company entered into a Third Amendment to the ABL Facility. The Third Amendment to the ABL Facility provides for the syndication of the asset based revolving loans available thereunder with BMO Harris Bank, N.A. ("BMO") with JPMorgan Chase Bank serving as the arranging agent (the "Agent"). The Third Amendment also amends provisions of the ABL Facility authorizing the Agent to make protective advances under the ABL Facility and adds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one-third syndicated participant in the Company's ABL facility. At September 30, 2022, the Company had a balance of $36,219,441 under the ABL Facility with an applicable interest rate of 3.04%. At September 30, 2022, the Company's applicable borrowing base calculation supported access to approximately $114 million of the ABL Facility. As of the filing date of this Form 10-Q, the Company had borrowings of approximately $34 million outstanding under the ABL Facility and the Company's most recent borrowing base calculation provided access to approximately $107 million of the ABL Facility.</w:t>
      </w:r>
    </w:p>
    <w:p>
      <w:pPr>
        <w:spacing w:after="0" w:line="20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CONTRACTS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use futures contracts to partially manage exposure to commodity price risk. The Company elects hedge accounting for some of its derivatives and classifies the transactions as either cash flow hedges or fair value hedges. From time to time, the Company may also transact futures contracts where hedge accounting is not elected. The Company recognized losses related to derivatives designated for hedge accounting of $1,490,360 and $2,116,540 for the three month and six month periods ended September 30, 2022. For derivatives not designated for hedge accounting, the Company recognized gains of $3,749,420 and $6,503,660 for the three month and six month periods ended September 30, 2022. See Note H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expects sales volume of approximately 105,000 tons for its third quarter of fiscal 2023. The third quarter volume expectation is slightly lower than the second quarter volume due primarily to the impact of holidays during the third quarter of fiscal 2023. The Company expects slight margin improvement during the third quarter and for hedging activities to benefit the quarter’s results. At the end of November 2022, multiple domestic steel producers announced price increases for hot-rolled coil. If the announced price increases gain acceptance, the Company would expect margin improvement entering the fourth fiscal quarter with additional margin improvement anticipated if steel mills were to announce further price increases.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pipe-finishing facility, when impaired. From time to time, the Company hedges these forecasted purchases and sales and may designate those transactions for hedge accounting. If the original forecasts are subsequently reduced, it could result in the Company’s hedged positions exceeding revised forecasts, thus warranting immediate recognition in earnings of previously deferred hedge income or losses associated with excess hedges. A pattern of missed forecasts could call into question the Company’s ability to accurately predict forecasted transactions and the propriety of using hedge accounting in the future for similar forecasted transactions. To mitigate against the negative consequences of missing forecasts we have set an internal policy to designate hedging instruments for accounting purposes only up to 75% of forecasted sales or purchases. Determination of forecasted purchases of hot-rolled coil and forecasted sales of prime coil inventory and manufactured pipe inventory require the Company to make assumptions related to customer demand and the volume and timing of inventory purchases. The pipe-finishing facility impairment analysis requires assumptions related to future operations of the facility and estimates related to the replacement cost and value in exchange for the assets. Actual results could differ from these estimates.</w:t>
      </w:r>
    </w:p>
    <w:p>
      <w:pPr>
        <w:sectPr>
          <w:pgSz w:w="11900" w:h="16838" w:orient="portrait"/>
          <w:cols w:equalWidth="0" w:num="1">
            <w:col w:w="11240"/>
          </w:cols>
          <w:pgMar w:left="320" w:top="121" w:right="3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and our expectations for the construction and performance of our new Sinton, TX facility.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disclosure controls and procedures were not effective as of the end of the period covered by this Quarterly Report on Form 10-Q because the Company has not yet completed its remediation of the material weaknesses previously identified and disclosed in the Company’s Annual Report on Form 10-K for the fiscal year ended March 31, 2022 and because the Company's Form 10-K for the fiscal year ended March 31, 2022 and this Form 10-Q have not been filed timely.</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Notwithstanding the identified material weaknesses,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 and six month periods ended September 30, 2022 and 2021 in accordance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audit process related to our fiscal year ended March 31, 2022, management, in connection with our independent auditors, identified the following material weaknesses:</w:t>
      </w:r>
    </w:p>
    <w:p>
      <w:pPr>
        <w:spacing w:after="0" w:line="162" w:lineRule="exact"/>
        <w:rPr>
          <w:sz w:val="20"/>
          <w:szCs w:val="20"/>
          <w:color w:val="auto"/>
        </w:rPr>
      </w:pPr>
    </w:p>
    <w:p>
      <w:pPr>
        <w:jc w:val="both"/>
        <w:ind w:firstLine="494"/>
        <w:spacing w:after="0" w:line="257"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relevant control activities necessary to address all identified risks of material misstatement or in some circumstances, controls were designed appropriately but were implemented late in the fiscal year not allowing a sufficient period of time to evidence operating effectiveness.</w:t>
      </w:r>
    </w:p>
    <w:p>
      <w:pPr>
        <w:spacing w:after="0" w:line="1" w:lineRule="exact"/>
        <w:rPr>
          <w:rFonts w:ascii="Times New Roman" w:cs="Times New Roman" w:eastAsia="Times New Roman" w:hAnsi="Times New Roman"/>
          <w:sz w:val="18"/>
          <w:szCs w:val="18"/>
          <w:color w:val="auto"/>
        </w:rPr>
      </w:pPr>
    </w:p>
    <w:p>
      <w:pPr>
        <w:ind w:firstLine="494"/>
        <w:spacing w:after="0" w:line="250" w:lineRule="auto"/>
        <w:tabs>
          <w:tab w:leader="none" w:pos="6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control activities to ensure completeness and accuracy of key reports used in the performance of certain controls.</w:t>
      </w:r>
    </w:p>
    <w:p>
      <w:pPr>
        <w:ind w:left="640" w:hanging="14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review were not designed to operate at a level of precision sufficient to identify all potential material errors.</w:t>
      </w:r>
    </w:p>
    <w:p>
      <w:pPr>
        <w:spacing w:after="0" w:line="9"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controls were not executed or performed or were performed without sufficient documentation supporting the execution of the controls.</w:t>
      </w:r>
    </w:p>
    <w:p>
      <w:pPr>
        <w:spacing w:after="0" w:line="9"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inadequate segregation of duties for certain business transactions.</w:t>
      </w:r>
    </w:p>
    <w:p>
      <w:pPr>
        <w:sectPr>
          <w:pgSz w:w="11900" w:h="16838" w:orient="portrait"/>
          <w:cols w:equalWidth="0" w:num="1">
            <w:col w:w="11240"/>
          </w:cols>
          <w:pgMar w:left="320" w:top="121" w:right="33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determined that the number of accounting personnel and the limited utilization of information technology in its control structure are the primary contributing factors to the material weaknesses identified. As a part of the transaction with Plateplus, the Company had eight additional accounting personnel convert from Plateplus employment to Friedman employment with five of these individuals becoming Friedman employees on September 1, 2022 and the remaining three individuals becoming Friedman employees on October 1, 2022. The Company also hired an individual with an internal audit and SOX internal control background during September 2022. Additionally, as part of the Plateplus transaction, the Company transferred the enterprise resource planning (“ERP”) system that was in place at Plateplus to Friedman at the end of August 2022. The Company is currently working to integrate all of its operations into the transferred ERP system. The Company expects the additional accounting personnel to allow for improved segregation of duties and consistent execution of controls. The Company expects the new ERP system to allow for many of the Company’s current manual controls and missing controls to be performed by the design and capabilities of the ERP system rather than relying on manual human execution.</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monitor the design and effectiveness of these procedures and controls and make any further changes the Company determines appropriate. We believe the additional investment in human capital and technology described above will remediate the material weaknesses the Company has identified. However, the material weaknesses will not be considered remediated until the applicable remedial actions operate effectively for a sufficient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discussed above, there were no changes in the Company's internal control over financial reporting that occurred during the fiscal quarter ended September 30, 2022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color w:val="0000EE"/>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color w:val="0000EE"/>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color w:val="0000EE"/>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Michael J. Taylor.</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Alex LaRue.</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Michael J. Taylor.</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Alex LaRue.</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Presentation Linkbase Document.</w:t>
            </w:r>
          </w:p>
        </w:tc>
      </w:tr>
    </w:tbl>
    <w:p>
      <w:pPr>
        <w:spacing w:after="0" w:line="198" w:lineRule="exact"/>
        <w:rPr>
          <w:sz w:val="20"/>
          <w:szCs w:val="20"/>
          <w:color w:val="auto"/>
        </w:rPr>
      </w:pPr>
    </w:p>
    <w:p>
      <w:pPr>
        <w:ind w:left="5540" w:right="3500" w:hanging="5532"/>
        <w:spacing w:after="0" w:line="386" w:lineRule="auto"/>
        <w:tabs>
          <w:tab w:leader="none" w:pos="11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File (formatted as Inline XBRL and contained in Exhibit 101)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FRIEDMAN INDUSTRIES, INCORPORATED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2,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17145</wp:posOffset>
            </wp:positionV>
            <wp:extent cx="3463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640" w:space="720"/>
            <w:col w:w="1520" w:space="720"/>
            <w:col w:w="3640"/>
          </w:cols>
          <w:pgMar w:left="320" w:top="121"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7"/>
          <w:szCs w:val="17"/>
          <w:color w:val="auto"/>
        </w:rPr>
        <w:t>Alex LaRue, Chief Financial Officer – Secretary and</w:t>
      </w:r>
    </w:p>
    <w:p>
      <w:pPr>
        <w:spacing w:after="0" w:line="3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 2022</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80" w:firstLine="980"/>
        <w:spacing w:after="0" w:line="282" w:lineRule="auto"/>
        <w:tabs>
          <w:tab w:leader="none" w:pos="11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September 30, 2022,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 w:firstLine="494"/>
        <w:spacing w:after="0" w:line="563" w:lineRule="auto"/>
        <w:tabs>
          <w:tab w:leader="none" w:pos="7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December 2, 2022</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September 30, 2022,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 w:firstLine="494"/>
        <w:spacing w:after="0" w:line="563" w:lineRule="auto"/>
        <w:tabs>
          <w:tab w:leader="none" w:pos="7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December 2, 2022</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LaRue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LaRue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3" Type="http://schemas.openxmlformats.org/officeDocument/2006/relationships/hyperlink" Target="http://www.sec.gov/Archives/edgar/data/39092/000143774916043636/ex3-1.htm" TargetMode="External"/><Relationship Id="rId44"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2022-12-02T16:05:06Z</dcterms:created>
  <dcterms:modified xsi:type="dcterms:W3CDTF">2022-12-02T16:05:06Z</dcterms:modified>
</cp:coreProperties>
</file>